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Du 7 septembre au 13 septembre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Droit des marques : La Cour de justice précise les conditions dans lesquelles le titulaire d’une marque renommée peut s’opposer à son usage par un parti politique</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sy7giipxetxc9uweaarsb">
              <w:r>
                <w:rPr>
                  <w:color w:val="507D82"/>
                  <w:u w:val="single"/>
                </w:rPr>
                <w:t xml:space="preserve">CJUE, affaire C-298/23, Inter IKEA Systems, arrêt du 8 septembre 2026, 8 septembre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Par cet arrêt de grande chambre, la Cour de justice précise l’articulation entre la protection renforcée des marques renommées et la liberté d’expression garantie par l’article 11 de la Charte des droits fondamentaux de l’Union européenne. Elle admet que l’expression d’opinions politiques et la parodie politique peuvent constituer un « juste motif », sous réserve d’une mise en balance avec le droit de propriété intellectuelle du titulaire, protégé par l’article 17, paragraphe 2, de la Charte.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Inter IKEA Systems BV était titulaire de plusieurs marques IKEA, Benelux et de l’Union européenne, dont la renommée n’était pas contestée. Le 14 novembre 2022, Vlaams Belang a présenté un programme relatif à l’asile et à l’immigration, intitulé « IKEA-PLAN, Immigratie Kan Echt Anders ». Ses quinze propositions étaient accompagnées de signes reprenant les marques IKEA et d’illustrations évoquant les instructions de montage de l’entreprise. Le programme a également été diffusé en ligne et sur les réseaux sociaux. Inter IKEA a engagé une action en contrefaçon devant le tribunal de l’entreprise néerlandophone de Bruxelles. Cette action a été déclarée recevable contre le Vrijheidsfonds, qui avait conduit la campagne et s’était engagé à cesser l’usage litigieux jusqu’à la décision au fond. La juridiction belge a saisi la Cour à titre préjudiciel.</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Vrijheidsfonds soutenait avoir mobilisé la renommée des marques afin de renforcer la diffusion de son message politique et invoquait un juste motif fondé sur la liberté d’expression. Il faisait valoir que l’objectif poursuivi était d’ouvrir un débat politique, et non de commercialiser des produits ou services, tout en indiquant ultérieurement que l’usage relevait de la vie des affaires en raison de l’avantage économique recherché. Inter IKEA faisait notamment valoir que le débat sur l’asile et l’immigration était contraire à sa neutralité politique et que l’usage pouvait nuire à la réputation de ses marques.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Cour devait déterminer si l’article 9, paragraphe 2, sous c), du règlement 2017/1001 et l’article 10, paragraphe 2, sous c), ainsi que le paragraphe 6, de la directive 2015/2436 permettent à un tiers d’invoquer sa liberté d’expression, y compris politique et parodique, comme juste motif d’utiliser un signe identique ou similaire à une marque renommée. Elle devait également préciser les critères de conciliation des droits fondamentaux en cause.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Cour rappelle que le droit exclusif du titulaire d’une marque renommée ne présente pas un caractère absolu. Lorsque le titulaire établit une atteinte effective, ou un risque sérieux d’atteinte, au caractère distinctif ou à la renommée de sa marque, ou encore un profit indûment tiré de celle-ci, il appartient au tiers d’établir l’existence d’un juste motif. Cette notion peut recouvrir les intérêts subjectifs du tiers et exige un équilibre entre les intérêts en présence. La liberté d’expression peut, en principe, constituer un tel motif, mais sa seule invocation est insuffisante. Le tiers doit exposer les raisons concrètes de l’usage, liées à l’exercice de cette liberté, et démontrer qu’elles prévalent sur les droits et intérêts du titulaire. Le juge national doit notamment apprécier l’intention et la bonne foi du tiers, la contribution de l’expression à un débat d’intérêt général, son éventuel caractère commercial, ainsi que l’intensité, l’étendue et les modalités de l’usage. Il tient également compte de la renommée de la marque, du degré de similitude des signes et du risque que le public perçoive une adhésion du titulaire au message ou aux idées politiques diffusés.</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Cour dit pour droit que la liberté d’expression, y compris la liberté d’exprimer des opinions politiques et la parodie politique, peut constituer un juste motif d’usage d’un signe identique ou similaire à une marque renommée, à condition qu’elle prévale, après mise en balance, sur le droit exclusif du titulaire. En l’espèce, sous réserve des vérifications de la juridiction de renvoi, elle relève que l’usage répété de signes identiques ou très similaires, diffusé sur Internet afin d’amplifier le message politique, était susceptible de causer un préjudice important à la renommée des marques et aux intérêts de leur titulaire. Cet usage ne paraissait donc pas prévaloir sur ces droits et intérêts.</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L’arrêt impose une analyse circonstanciée à tout tiers souhaitant mobiliser une marque renommée dans une communication politique, militante ou parodique. L’inscription du message dans un débat d’intérêt général ne confère aucune immunité à l’égard du droit des marques. L’utilisateur doit justifier concrètement la bonne foi et les raisons de son recours à la marque. Une reprise visuelle étendue, répétée et fortement évocatrice, susceptible de suggérer l’association ou le soutien politique du titulaire, pèsera particulièrement en faveur de la protection de la marque.</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L’EUIPO alerte sur des sites frauduleux usurpant son identité</w:t>
      </w:r>
    </w:p>
    <w:p>
      <w:pPr>
        <w:keepNext/>
        <w:spacing w:after="240"/>
      </w:pPr>
      <w:hyperlink w:history="1" r:id="rIdcfnv9xetqwmt-wsid4iun">
        <w:r>
          <w:rPr>
            <w:color w:val="507D82"/>
            <w:u w:val="single"/>
          </w:rPr>
          <w:t xml:space="preserve">Publié par l’EUIPO le 9 septembre 2026, 9 septembre 2026</w:t>
        </w:r>
      </w:hyperlink>
    </w:p>
    <w:p>
      <w:pPr>
        <w:keepLines/>
        <w:spacing w:after="130" w:line="276"/>
        <w:jc w:val="both"/>
      </w:pPr>
      <w:r>
        <w:rPr>
          <w:b/>
          <w:bCs/>
          <w:color w:val="1F4E79"/>
        </w:rPr>
        <w:t xml:space="preserve">Contexte. </w:t>
      </w:r>
      <w:r>
        <w:t xml:space="preserve">L’EUIPO a publié, le 9 septembre 2026, une alerte de sécurité relative à des sites internet frauduleux usurpant l’apparence de ses pages officielles, notamment au moyen de logos et d’éléments de présentation susceptibles de créer une apparence de légitimité. Selon l’Office, ces sites ont pour objet de tromper les visiteurs afin de les conduire à réaliser des opérations non autorisées ou à télécharger des logiciels malveillants. L’EUIPO précise expressément que ses systèmes et bases de données officiels n’ont pas été compromis.</w:t>
      </w:r>
    </w:p>
    <w:p>
      <w:pPr>
        <w:keepLines/>
        <w:spacing w:after="130" w:line="276"/>
        <w:jc w:val="both"/>
      </w:pPr>
      <w:r>
        <w:rPr>
          <w:b/>
          <w:bCs/>
          <w:color w:val="1F4E79"/>
        </w:rPr>
        <w:t xml:space="preserve">Fondement et champ d’application. </w:t>
      </w:r>
      <w:r>
        <w:t xml:space="preserve">Cette communication constitue une alerte de sécurité opérationnelle émanant de l’EUIPO. Elle ne comporte ni référence à un fondement juridique spécifique, ni annonce d’une décision, d’une procédure ou d’une mesure réglementaire. Son champ porte sur la prévention des tentatives d’usurpation de l’identité numérique de l’Office et sur la protection des utilisateurs accédant à ses services en ligne.</w:t>
      </w:r>
    </w:p>
    <w:p>
      <w:pPr>
        <w:keepLines/>
        <w:spacing w:after="130" w:line="276"/>
        <w:jc w:val="both"/>
      </w:pPr>
      <w:r>
        <w:rPr>
          <w:b/>
          <w:bCs/>
          <w:color w:val="1F4E79"/>
        </w:rPr>
        <w:t xml:space="preserve">Principales dispositions. </w:t>
      </w:r>
      <w:r>
        <w:t xml:space="preserve">L’EUIPO rappelle que les contrôles de sécurité légitimes, y compris les CAPTCHA, ne demandent jamais à l’utilisateur d’ouvrir une ligne de commande, PowerShell, Terminal ou la boîte de dialogue Exécuter. Ils ne requièrent pas davantage le copier-coller de code sur l’appareil de l’utilisateur. L’Office recommande de vérifier que l’adresse du site consulté relève strictement du domaine « .europa.eu », de ne pas exécuter de commandes ni copier de code à la demande d’un site inattendu, et de signaler tout site suspect à son service à la clientèle ou à l’équipe locale de sécurité informatique.</w:t>
      </w:r>
    </w:p>
    <w:p>
      <w:pPr>
        <w:keepLines/>
        <w:spacing w:after="130" w:line="276"/>
        <w:jc w:val="both"/>
      </w:pPr>
      <w:r>
        <w:rPr>
          <w:b/>
          <w:bCs/>
          <w:color w:val="1F4E79"/>
        </w:rPr>
        <w:t xml:space="preserve">Mise en œuvre. </w:t>
      </w:r>
      <w:r>
        <w:t xml:space="preserve">L’alerte a été publiée le 9 septembre 2026. Elle appelle à une vigilance immédiate lors de l’accès aux services numériques de l’EUIPO. Aucun calendrier de déploiement, échéance de mise en conformité ou dispositif temporaire supplémentaire n’est précisé.</w:t>
      </w:r>
    </w:p>
    <w:p>
      <w:pPr>
        <w:pBdr>
          <w:left w:val="single" w:color="507D82" w:sz="10" w:space="8"/>
        </w:pBdr>
        <w:spacing w:after="260" w:before="80"/>
        <w:ind w:left="180"/>
        <w:jc w:val="both"/>
      </w:pPr>
      <w:r>
        <w:rPr>
          <w:b/>
          <w:bCs/>
        </w:rPr>
        <w:t xml:space="preserve">Portée pratique. </w:t>
      </w:r>
      <w:r>
        <w:t xml:space="preserve">Les titulaires de droits, mandataires et autres utilisateurs des services de l’EUIPO sont invités à renforcer la vérification de l’authenticité des adresses internet utilisées avant toute connexion, transmission d’information ou exécution d’une instruction affichée en ligne. La vigilance doit porter particulièrement sur toute prétendue vérification de sécurité exigeant l’exécution de commandes ou le copier-coller de code.</w:t>
      </w:r>
    </w:p>
    <w:p>
      <w:pPr>
        <w:pStyle w:val="Heading2"/>
        <w:keepNext/>
        <w:spacing w:after="100" w:before="180"/>
      </w:pPr>
      <w:r>
        <w:rPr>
          <w:b/>
          <w:bCs/>
          <w:color w:val="1F4E79"/>
        </w:rPr>
        <w:t xml:space="preserve">Design Meets Reality : l’EUIPO consacre un webinaire au passage de la conception au marché</w:t>
      </w:r>
    </w:p>
    <w:p>
      <w:pPr>
        <w:keepNext/>
        <w:spacing w:after="240"/>
      </w:pPr>
      <w:hyperlink w:history="1" r:id="rIdisgniayezlfd0cxzi9l2j">
        <w:r>
          <w:rPr>
            <w:color w:val="507D82"/>
            <w:u w:val="single"/>
          </w:rPr>
          <w:t xml:space="preserve">Webinaire de l’EUIPO Academy du 8 septembre 2026, 9 septembre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Publié le 9 septembre 2026, le deuxième épisode de la série DesignEuropa Mentoring Webinar Series: From Emerging Talent to Design Legacy est consacré au passage de la conception d’un produit à sa commercialisation. Le webinaire réunit Žan Kavčič, copropriétaire, directeur et designer de Kavčič Furniture, et Edi Panarisi, de l’EUIPO Academy. Il est présenté comme un échange de 30 minutes destiné à illustrer les enjeux concrets rencontrés au cours du développement d’un design.</w:t>
      </w:r>
    </w:p>
    <w:p>
      <w:pPr>
        <w:keepLines/>
        <w:spacing w:after="130" w:line="276"/>
        <w:jc w:val="both"/>
      </w:pPr>
      <w:r>
        <w:rPr>
          <w:b/>
          <w:bCs/>
          <w:color w:val="1F4E79"/>
        </w:rPr>
        <w:t xml:space="preserve">Fondement et champ d’application. </w:t>
      </w:r>
      <w:r>
        <w:t xml:space="preserve">Le contenu ne constitue ni un texte normatif ni une décision. Son champ est pédagogique et pratique : il porte sur le parcours d’un design depuis sa conception jusqu’à sa mise sur le marché. La présentation officielle annonce également une introduction à la protection des designs, centrée sur son utilité et sur le moment auquel cette protection doit être envisagée durant le processus de développement. Les modalités juridiques précises de protection ne sont pas détaillées dans les éléments accessibles.</w:t>
      </w:r>
    </w:p>
    <w:p>
      <w:pPr>
        <w:keepLines/>
        <w:spacing w:after="130" w:line="276"/>
        <w:jc w:val="both"/>
      </w:pPr>
      <w:r>
        <w:rPr>
          <w:b/>
          <w:bCs/>
          <w:color w:val="1F4E79"/>
        </w:rPr>
        <w:t xml:space="preserve">Principales dispositions. </w:t>
      </w:r>
      <w:r>
        <w:t xml:space="preserve">L’échange traite des contraintes pratiques susceptibles d’influer sur la concrétisation et la commercialisation d’un design, notamment le budget, les attentes des clients, la production et les délais. Il met ainsi en relation les choix intervenant lors de la conception avec la nécessité d’anticiper les questions de protection des dessins et modèles. Aucun développement complémentaire relatif aux conditions d’enregistrement, à l’étendue des droits conférés ou aux voies de recours n’est précisé.</w:t>
      </w:r>
    </w:p>
    <w:p>
      <w:pPr>
        <w:keepLines/>
        <w:spacing w:after="130" w:line="276"/>
        <w:jc w:val="both"/>
      </w:pPr>
      <w:r>
        <w:rPr>
          <w:b/>
          <w:bCs/>
          <w:color w:val="1F4E79"/>
        </w:rPr>
        <w:t xml:space="preserve">Mise en œuvre. </w:t>
      </w:r>
      <w:r>
        <w:t xml:space="preserve">Le webinaire a été enregistré le 8 septembre 2026 et publié dans le catalogue de l’EUIPO Academy le 9 septembre 2026. Aucune échéance réglementaire, mesure transitoire ou calendrier de mise en conformité n’est applicable, le contenu ayant une vocation d’information et de sensibilisation.</w:t>
      </w:r>
    </w:p>
    <w:p>
      <w:pPr>
        <w:pBdr>
          <w:left w:val="single" w:color="507D82" w:sz="10" w:space="8"/>
        </w:pBdr>
        <w:spacing w:after="260" w:before="80"/>
        <w:ind w:left="180"/>
        <w:jc w:val="both"/>
      </w:pPr>
      <w:r>
        <w:rPr>
          <w:b/>
          <w:bCs/>
        </w:rPr>
        <w:t xml:space="preserve">Portée pratique. </w:t>
      </w:r>
      <w:r>
        <w:t xml:space="preserve">Cette ressource attire l’attention des créateurs et des entreprises sur l’intérêt d’intégrer la réflexion relative à la protection des designs dans le déroulement du projet, plutôt que de la dissocier des contraintes de budget, de production, de délais et d’attentes des clients. Elle ne permet toutefois pas, au regard des éléments accessibles, d’identifier des recommandations opérationnelles plus détaillées.</w:t>
      </w:r>
    </w:p>
    <w:p>
      <w:pPr>
        <w:pStyle w:val="Heading2"/>
        <w:keepNext/>
        <w:spacing w:after="100" w:before="180"/>
      </w:pPr>
      <w:r>
        <w:rPr>
          <w:b/>
          <w:bCs/>
          <w:color w:val="1F4E79"/>
        </w:rPr>
        <w:t xml:space="preserve">L’OMPI publie le classement 2026 des principaux pôles mondiaux d’innovation</w:t>
      </w:r>
    </w:p>
    <w:p>
      <w:pPr>
        <w:keepNext/>
        <w:spacing w:after="240"/>
      </w:pPr>
      <w:hyperlink w:history="1" r:id="rIdckwk4-nzv65tpq_ne-1ww">
        <w:r>
          <w:rPr>
            <w:color w:val="507D82"/>
            <w:u w:val="single"/>
          </w:rPr>
          <w:t xml:space="preserve">Communiqué et analyse publiés par l’OMPI le 8 septembre 2026, 8 septembre 2026</w:t>
        </w:r>
      </w:hyperlink>
    </w:p>
    <w:p>
      <w:pPr>
        <w:keepLines/>
        <w:spacing w:after="130" w:line="276"/>
        <w:jc w:val="both"/>
      </w:pPr>
      <w:r>
        <w:rPr>
          <w:b/>
          <w:bCs/>
          <w:color w:val="1F4E79"/>
        </w:rPr>
        <w:t xml:space="preserve">Contexte. </w:t>
      </w:r>
      <w:r>
        <w:t xml:space="preserve">Le 8 septembre 2026, l’Organisation Mondiale de la Propriété Intellectuelle a diffusé, sous la référence PR/2026/958, un extrait du chapitre consacré aux 100 principaux pôles d’innovation de l’Indice mondial de l’innovation 2026. Ce classement identifie des concentrations géographiques d’activités innovantes, au niveau infranational et indépendamment des frontières administratives ou politiques. La publication intervient avant la présentation de l’édition complète de l’Indice mondial de l’innovation, annoncée pour le 29 septembre 2026 à Genève. ([wipo.int](https://www.wipo.int/pressroom/fr/articles/2026/article_0013.html))</w:t>
      </w:r>
    </w:p>
    <w:p>
      <w:pPr>
        <w:keepLines/>
        <w:spacing w:after="130" w:line="276"/>
        <w:jc w:val="both"/>
      </w:pPr>
      <w:r>
        <w:rPr>
          <w:b/>
          <w:bCs/>
          <w:color w:val="1F4E79"/>
        </w:rPr>
        <w:t xml:space="preserve">Fondement et champ d’application. </w:t>
      </w:r>
      <w:r>
        <w:t xml:space="preserve">Ce classement annuel s’inscrit dans le cadre de l’Indice mondial de l’innovation de l’OMPI, lequel évalue les résultats en matière d’innovation de près de 140 économies. Le classement par pôles a un champ distinct : il recense les zones présentant les plus fortes densités d’inventeurs, d’auteurs scientifiques et d’investisseurs en capital-risque. Il ne constitue pas une norme juridiquement contraignante ni un mécanisme d’attribution de droits de propriété intellectuelle. ([wipo.int](https://www.wipo.int/pressroom/fr/articles/2026/article_0013.html))</w:t>
      </w:r>
    </w:p>
    <w:p>
      <w:pPr>
        <w:keepLines/>
        <w:spacing w:after="130" w:line="276"/>
        <w:jc w:val="both"/>
      </w:pPr>
      <w:r>
        <w:rPr>
          <w:b/>
          <w:bCs/>
          <w:color w:val="1F4E79"/>
        </w:rPr>
        <w:t xml:space="preserve">Principales dispositions. </w:t>
      </w:r>
      <w:r>
        <w:t xml:space="preserve">La méthodologie repose sur trois critères : la localisation des inventeurs mentionnés dans les demandes internationales déposées selon le PCT, l’affiliation des auteurs de publications scientifiques et la localisation des entreprises bénéficiaires de financements en capital-risque. Le classement corrigé place Shenzhen-Hong Kong-Guangzhou au premier rang, devant Tokyo-Yokohama, San José-San Francisco, Beijing et Séoul. Shanghai-Suzhou, New York, Londres, Boston-Cambridge et Osaka-Kobe-Kyoto complètent les dix premiers rangs. La Chine compte 25 pôles parmi les 100 premiers, contre 20 pour les États-Unis d’Amérique. Riyad entre pour la première fois dans ce classement. ([wipo.int](https://www.wipo.int/pressroom/fr/articles/2026/article_0013.html))</w:t>
      </w:r>
    </w:p>
    <w:p>
      <w:pPr>
        <w:keepLines/>
        <w:spacing w:after="130" w:line="276"/>
        <w:jc w:val="both"/>
      </w:pPr>
      <w:r>
        <w:rPr>
          <w:b/>
          <w:bCs/>
          <w:color w:val="1F4E79"/>
        </w:rPr>
        <w:t xml:space="preserve">Mise en œuvre. </w:t>
      </w:r>
      <w:r>
        <w:t xml:space="preserve">Le communiqué a été publié le 8 septembre 2026. Il indique qu’une erreur de saisie affectant des données de capital-risque a été corrigée pour huit pôles, dont Shenzhen-Hong Kong-Guangzhou, Beijing, Shanghai-Suzhou et Amsterdam-Rotterdam. Un nouveau calcul a dès lors été effectué et certains rangs ont évolué. L’édition 2026 complète de l’Indice mondial de l’innovation doit être présentée le 29 septembre 2026. ([wipo.int](https://www.wipo.int/pressroom/fr/articles/2026/article_0013.html))</w:t>
      </w:r>
    </w:p>
    <w:p>
      <w:pPr>
        <w:pBdr>
          <w:left w:val="single" w:color="507D82" w:sz="10" w:space="8"/>
        </w:pBdr>
        <w:spacing w:after="260" w:before="80"/>
        <w:ind w:left="180"/>
        <w:jc w:val="both"/>
      </w:pPr>
      <w:r>
        <w:rPr>
          <w:b/>
          <w:bCs/>
        </w:rPr>
        <w:t xml:space="preserve">Portée pratique. </w:t>
      </w:r>
      <w:r>
        <w:t xml:space="preserve">Pour les entreprises innovantes, les titulaires de portefeuilles de brevets et les investisseurs, cette publication fournit un indicateur comparatif de la concentration territoriale des activités de recherche, d’invention et de financement. La prise en compte conjointe des demandes PCT, des publications scientifiques et du capital-risque souligne l’intérêt d’une lecture intégrée des actifs de propriété intellectuelle, de la production scientifique et de l’accès au financement dans l’appréciation des écosystèmes d’innovation. ([wipo.int](https://www.wipo.int/pressroom/fr/articles/2026/article_0013.html))</w:t>
      </w:r>
    </w:p>
    <w:p>
      <w:pPr>
        <w:pStyle w:val="Heading2"/>
        <w:keepNext/>
        <w:spacing w:after="100" w:before="180"/>
      </w:pPr>
      <w:r>
        <w:rPr>
          <w:b/>
          <w:bCs/>
          <w:color w:val="1F4E79"/>
        </w:rPr>
        <w:t xml:space="preserve">Le CSPLA publie un rapport d’étape sur les hypertrucages générés ou manipulés par l’intelligence artificielle</w:t>
      </w:r>
    </w:p>
    <w:p>
      <w:pPr>
        <w:keepNext/>
        <w:spacing w:after="240"/>
      </w:pPr>
      <w:hyperlink w:history="1" r:id="rIdzqeqictbkmqoqnnkvlpce">
        <w:r>
          <w:rPr>
            <w:color w:val="507D82"/>
            <w:u w:val="single"/>
          </w:rPr>
          <w:t xml:space="preserve">Rapport d’étape du CSPLA publié le 7 septembre 2026, 7 septembre 2026</w:t>
        </w:r>
      </w:hyperlink>
    </w:p>
    <w:p>
      <w:pPr>
        <w:keepLines/>
        <w:spacing w:after="130" w:line="276"/>
        <w:jc w:val="both"/>
      </w:pPr>
      <w:r>
        <w:rPr>
          <w:b/>
          <w:bCs/>
          <w:color w:val="1F4E79"/>
        </w:rPr>
        <w:t xml:space="preserve">Contexte. </w:t>
      </w:r>
      <w:r>
        <w:t xml:space="preserve">Dans un contexte de diffusion accrue de contenus générés ou manipulés par l’intelligence artificielle, le CSPLA examine les conséquences des hypertrucages pour les secteurs culturels et créatifs. La mission, coprésidée par Joëlle Farchy et Célia Zolynski, avec Bastien Blain et Alexandre Trémolière comme corapporteurs, appréhende ces contenus dans leurs dimensions économique, juridique, technique et cognitive. Elle analyse notamment leurs incidences sur la création, l’interprétation, la mise en scène et la confiance accordée aux contenus audiovisuels.</w:t>
      </w:r>
    </w:p>
    <w:p>
      <w:pPr>
        <w:keepLines/>
        <w:spacing w:after="130" w:line="276"/>
        <w:jc w:val="both"/>
      </w:pPr>
      <w:r>
        <w:rPr>
          <w:b/>
          <w:bCs/>
          <w:color w:val="1F4E79"/>
        </w:rPr>
        <w:t xml:space="preserve">Fondement et champ d’application. </w:t>
      </w:r>
      <w:r>
        <w:t xml:space="preserve">Le rapport prend pour point de départ le règlement européen sur l’intelligence artificielle. Son article 3, point 60, définit l’hypertrucage comme une image ou un contenu audio ou vidéo généré ou manipulé par l’IA, présentant une ressemblance avec des personnes, objets, lieux, entités ou événements existants et susceptible d’être perçu à tort comme authentique ou véridique. Les contenus textuels ne relèvent donc pas de cette définition spécifique. Le rapport étudie l’articulation de ce cadre avec les droits de la personnalité, le droit à l’image, la protection de la voix, le droit d’auteur, les droits voisins, le règlement sur les services numériques et la LCEN.</w:t>
      </w:r>
    </w:p>
    <w:p>
      <w:pPr>
        <w:keepLines/>
        <w:spacing w:after="130" w:line="276"/>
        <w:jc w:val="both"/>
      </w:pPr>
      <w:r>
        <w:rPr>
          <w:b/>
          <w:bCs/>
          <w:color w:val="1F4E79"/>
        </w:rPr>
        <w:t xml:space="preserve">Principales dispositions. </w:t>
      </w:r>
      <w:r>
        <w:t xml:space="preserve">Le document établit un diagnostic de l’encadrement applicable et consacre une analyse substantielle aux obligations de transparence, au marquage et à l’étiquetage des contenus générés ou manipulés par IA. Il distingue le marquage de ces contenus de l’étiquetage propre aux hypertrucages et examine les difficultés d’articulation entre les obligations incombant aux fournisseurs de systèmes d’IA, aux déployeurs et les régimes de responsabilité relatifs aux contenus illicites. Il rappelle que le droit d’auteur et les droits voisins peuvent trouver à s’appliquer lorsqu’un hypertrucage porte atteinte à des droits de propriété littéraire et artistique.</w:t>
      </w:r>
    </w:p>
    <w:p>
      <w:pPr>
        <w:keepLines/>
        <w:spacing w:after="130" w:line="276"/>
        <w:jc w:val="both"/>
      </w:pPr>
      <w:r>
        <w:rPr>
          <w:b/>
          <w:bCs/>
          <w:color w:val="1F4E79"/>
        </w:rPr>
        <w:t xml:space="preserve">Mise en œuvre. </w:t>
      </w:r>
      <w:r>
        <w:t xml:space="preserve">Publié le 7 septembre 2026, le rapport constitue une étape de la mission. Le Ministère de la Culture indique qu’une seconde phase de travail, consacrée aux pistes de remédiation, doit conduire à un second rapport attendu au premier semestre 2027.</w:t>
      </w:r>
    </w:p>
    <w:p>
      <w:pPr>
        <w:pBdr>
          <w:left w:val="single" w:color="507D82" w:sz="10" w:space="8"/>
        </w:pBdr>
        <w:spacing w:after="260" w:before="80"/>
        <w:ind w:left="180"/>
        <w:jc w:val="both"/>
      </w:pPr>
      <w:r>
        <w:rPr>
          <w:b/>
          <w:bCs/>
        </w:rPr>
        <w:t xml:space="preserve">Portée pratique. </w:t>
      </w:r>
      <w:r>
        <w:t xml:space="preserve">Pour les titulaires de droits et les acteurs des filières culturelles et créatives, le rapport souligne la nécessité d’identifier les qualifications juridiques mobilisables selon le contenu, l’atteinte alléguée et l’acteur impliqué. Il appelle une attention particulière aux stipulations contractuelles relatives aux usages de l’image, de la voix et des contenus protégés, ainsi qu’aux dispositifs de marquage, de détection et de traçabilité. La transparence occupe une place centrale dans le règlement européen sur l’intelligence artificielle, sans épuiser les questions d’illicéité et de responsabilité liées à la diffusion d’hypertrucages.</w:t>
      </w:r>
    </w:p>
    <w:p>
      <w:pPr>
        <w:pStyle w:val="Heading2"/>
        <w:keepNext/>
        <w:spacing w:after="100" w:before="180"/>
      </w:pPr>
      <w:r>
        <w:rPr>
          <w:b/>
          <w:bCs/>
          <w:color w:val="1F4E79"/>
        </w:rPr>
        <w:t xml:space="preserve">Au Togo, l’INPIT renforce la sensibilisation à la protection des marques et dessins ou modèles</w:t>
      </w:r>
    </w:p>
    <w:p>
      <w:pPr>
        <w:keepNext/>
        <w:spacing w:after="240"/>
      </w:pPr>
      <w:hyperlink w:history="1" r:id="rIdibbxue8ctm8jnuvpbxklx">
        <w:r>
          <w:rPr>
            <w:color w:val="507D82"/>
            <w:u w:val="single"/>
          </w:rPr>
          <w:t xml:space="preserve">Article publié le 12 septembre 2026, 11 septembre 2026</w:t>
        </w:r>
      </w:hyperlink>
    </w:p>
    <w:p>
      <w:pPr>
        <w:keepNext/>
        <w:spacing w:after="180"/>
      </w:pPr>
      <w:r>
        <w:rPr>
          <w:b/>
          <w:bCs/>
          <w:i/>
          <w:iCs/>
          <w:color w:val="2E75B6"/>
        </w:rPr>
        <w:t xml:space="preserve">Signalé par l’alerte de Juliette.</w:t>
      </w:r>
    </w:p>
    <w:p>
      <w:pPr>
        <w:keepLines/>
        <w:spacing w:after="130" w:line="276"/>
        <w:jc w:val="both"/>
      </w:pPr>
      <w:r>
        <w:rPr>
          <w:b/>
          <w:bCs/>
          <w:color w:val="1F4E79"/>
        </w:rPr>
        <w:t xml:space="preserve">Contexte. </w:t>
      </w:r>
      <w:r>
        <w:t xml:space="preserve">Le 10 septembre 2026, à Lomé, l’Institut national de la propriété intellectuelle et de la Technologie, dit INPIT, a tenu une conférence-débat consacrée à la protection des marques ainsi que des dessins et modèles industriels contre la contrefaçon. Cette initiative s’inscrivait dans le cadre de la 27e Journée africaine de la technologie et de la propriété intellectuelle. Elle a réuni des entrepreneurs, industriels, créateurs, inventeurs et autres acteurs économiques, autour des enjeux de sécurisation des actifs immatériels dans un contexte où l’innovation et l’image de marque sont présentées comme des facteurs de compétitivité.</w:t>
      </w:r>
    </w:p>
    <w:p>
      <w:pPr>
        <w:keepLines/>
        <w:spacing w:after="130" w:line="276"/>
        <w:jc w:val="both"/>
      </w:pPr>
      <w:r>
        <w:rPr>
          <w:b/>
          <w:bCs/>
          <w:color w:val="1F4E79"/>
        </w:rPr>
        <w:t xml:space="preserve">Fondement et champ d’application. </w:t>
      </w:r>
      <w:r>
        <w:t xml:space="preserve">L’article ne fait état d’aucune mesure normative nouvelle ni d’une modification du cadre applicable. Il met en avant la protection juridique des marques et des dessins et modèles industriels, en rappelant aux titulaires l’importance du dépôt de leurs titres auprès de l’Organisation Africaine de la Propriété Intellectuelle, dite OAPI. Selon la source, cette démarche permet de faire reconnaître et de sécuriser les droits sur les créations concernées. Le champ de la sensibilisation couvre ainsi les signes distinctifs et les créations industrielles détenus ou développés par les opérateurs économiques et les créateurs.</w:t>
      </w:r>
    </w:p>
    <w:p>
      <w:pPr>
        <w:keepLines/>
        <w:spacing w:after="130" w:line="276"/>
        <w:jc w:val="both"/>
      </w:pPr>
      <w:r>
        <w:rPr>
          <w:b/>
          <w:bCs/>
          <w:color w:val="1F4E79"/>
        </w:rPr>
        <w:t xml:space="preserve">Principales dispositions. </w:t>
      </w:r>
      <w:r>
        <w:t xml:space="preserve">La conférence a principalement porté sur la prévention de la contrefaçon par l’anticipation de la protection des actifs immatériels. L’INPIT souligne que la contrefaçon est susceptible d’entraîner des pertes de revenus, de fragiliser les investissements et d’affecter la réputation des entreprises. La source relève également que, dans certains secteurs, elle peut exposer les consommateurs à des produits ne répondant pas aux exigences de qualité, de sécurité ou de traçabilité. Aucune obligation nouvelle, sanction particulière ou procédure administrative n’est précisée.</w:t>
      </w:r>
    </w:p>
    <w:p>
      <w:pPr>
        <w:keepLines/>
        <w:spacing w:after="130" w:line="276"/>
        <w:jc w:val="both"/>
      </w:pPr>
      <w:r>
        <w:rPr>
          <w:b/>
          <w:bCs/>
          <w:color w:val="1F4E79"/>
        </w:rPr>
        <w:t xml:space="preserve">Mise en œuvre. </w:t>
      </w:r>
      <w:r>
        <w:t xml:space="preserve">L’action de sensibilisation s’est déroulée le 10 septembre 2026 à Lomé. L’article institutionnel a été publié le 11 septembre 2026 à 12 h 25. Aucun calendrier de mise en œuvre ultérieur, aucune échéance de dépôt et aucune mesure d’accompagnement opérationnelle assortie d’une date ne sont précisés.</w:t>
      </w:r>
    </w:p>
    <w:p>
      <w:pPr>
        <w:pBdr>
          <w:left w:val="single" w:color="507D82" w:sz="10" w:space="8"/>
        </w:pBdr>
        <w:spacing w:after="260" w:before="80"/>
        <w:ind w:left="180"/>
        <w:jc w:val="both"/>
      </w:pPr>
      <w:r>
        <w:rPr>
          <w:b/>
          <w:bCs/>
        </w:rPr>
        <w:t xml:space="preserve">Portée pratique. </w:t>
      </w:r>
      <w:r>
        <w:t xml:space="preserve">Cette actualité invite les entreprises, industriels et créateurs concernés à intégrer la protection de leurs marques et dessins ou modèles dans une démarche préventive, sans attendre la survenance d’un différend. Elle attire plus particulièrement l’attention sur l’intérêt du dépôt auprès de l’OAPI afin de sécuriser les droits revendiqués sur les créations et signes distinctifs. Sa portée demeure informative : la source ne rapporte ni réforme législative, ni instruction contraignante, ni dispositif contentieux nouveau.</w:t>
      </w:r>
    </w:p>
    <w:p>
      <w:pPr>
        <w:spacing w:after="140" w:before="260"/>
      </w:pPr>
      <w:r>
        <w:rPr>
          <w:i/>
          <w:iCs/>
          <w:color w:val="666666"/>
          <w:sz w:val="18"/>
          <w:szCs w:val="18"/>
        </w:rPr>
        <w:t xml:space="preserve">Cette édition réunit une jurisprudence et cinq actualités publiées au cours de la semaine du 7 septembre au 13 septembre 2026. Les six sujets ont été retenus après vérification de leur source primaire et représentent 6 catégories éditoriales distinctes. Un sujet a été initialement signalé par les alertes de Juliette, puis vérifié sur sa source primaire.</w:t>
      </w:r>
    </w:p>
    <w:sectPr>
      <w:footerReference w:type="default" r:id="rId7"/>
      <w:pgSz w:w="11906" w:h="16838" w:orient="portrait"/>
      <w:pgMar w:top="1020" w:right="1020" w:bottom="102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Veille IP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sy7giipxetxc9uweaarsb" Type="http://schemas.openxmlformats.org/officeDocument/2006/relationships/hyperlink" Target="https://eur-lex.europa.eu/legal-content/FR/TXT/HTML/?uri=CELEX:62023CJ0298" TargetMode="External"/><Relationship Id="rIdcfnv9xetqwmt-wsid4iun" Type="http://schemas.openxmlformats.org/officeDocument/2006/relationships/hyperlink" Target="https://www.euipo.europa.eu/en/news/security-alert-beware-of-fraudulent-websites-impersonating-the-euipo" TargetMode="External"/><Relationship Id="rIdisgniayezlfd0cxzi9l2j" Type="http://schemas.openxmlformats.org/officeDocument/2006/relationships/hyperlink" Target="https://euipo.europa.eu/knowledge/course/view.php?id=5622" TargetMode="External"/><Relationship Id="rIdckwk4-nzv65tpq_ne-1ww" Type="http://schemas.openxmlformats.org/officeDocument/2006/relationships/hyperlink" Target="https://www.wipo.int/pressroom/fr/articles/2026/article_0013.html" TargetMode="External"/><Relationship Id="rIdzqeqictbkmqoqnnkvlpce" Type="http://schemas.openxmlformats.org/officeDocument/2006/relationships/hyperlink" Target="https://www.culture.gouv.fr/mc/content/download/394095/pdf_file/Rapport%20hypertrucages%20final.pdf?inLanguage=fre-FR&amp;version=1" TargetMode="External"/><Relationship Id="rIdibbxue8ctm8jnuvpbxklx" Type="http://schemas.openxmlformats.org/officeDocument/2006/relationships/hyperlink" Target="https://www.republiquetogolaise.tg/gouvernance-economique/1109-12270-propriete-industrielle-l-inpit-renforce-la-sensibilisation-contre-la-contrefaco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7 septembre au 13 septembre 2026</dc:title>
  <dc:creator>Veille IP DLA</dc:creator>
  <dc:description>Veille hebdomadaire de propriété intellectuelle</dc:description>
  <cp:lastModifiedBy>Un-named</cp:lastModifiedBy>
  <cp:revision>1</cp:revision>
  <dcterms:created xsi:type="dcterms:W3CDTF">2026-09-13T13:27:59.721Z</dcterms:created>
  <dcterms:modified xsi:type="dcterms:W3CDTF">2026-09-13T13:27:59.721Z</dcterms:modified>
</cp:coreProperties>
</file>

<file path=docProps/custom.xml><?xml version="1.0" encoding="utf-8"?>
<Properties xmlns="http://schemas.openxmlformats.org/officeDocument/2006/custom-properties" xmlns:vt="http://schemas.openxmlformats.org/officeDocument/2006/docPropsVTypes"/>
</file>