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2"/>
          <w:szCs w:val="32"/>
        </w:rPr>
        <w:t xml:space="preserve">Veille Propriété intellectuelle</w:t>
      </w:r>
    </w:p>
    <w:p>
      <w:pPr>
        <w:spacing w:after="420"/>
        <w:jc w:val="center"/>
      </w:pPr>
      <w:r>
        <w:rPr>
          <w:rFonts w:ascii="Arial" w:cs="Arial" w:eastAsia="Arial" w:hAnsi="Arial"/>
          <w:sz w:val="22"/>
          <w:szCs w:val="22"/>
        </w:rPr>
        <w:t xml:space="preserve">23 octobre 2026</w:t>
      </w:r>
    </w:p>
    <w:p>
      <w:pPr>
        <w:pStyle w:val="Heading1"/>
        <w:pBdr>
          <w:bottom w:val="single" w:color="222222" w:sz="6" w:space="6"/>
        </w:pBdr>
        <w:spacing w:after="180" w:before="240"/>
      </w:pPr>
      <w:r>
        <w:rPr>
          <w:b/>
          <w:bCs/>
        </w:rPr>
        <w:t xml:space="preserve">JURISPRUDENCES</w:t>
      </w:r>
    </w:p>
    <w:p>
      <w:pPr>
        <w:pStyle w:val="Heading2"/>
        <w:keepNext/>
        <w:spacing w:after="100" w:before="180"/>
      </w:pPr>
      <w:r>
        <w:rPr>
          <w:b/>
          <w:bCs/>
          <w:color w:val="1F4E79"/>
        </w:rPr>
        <w:t xml:space="preserve">Marques : Le risque de confusion entre « papyros by Modus » et « PAPYRUS » confirmé par le Tribunal</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c>
          <w:tcPr>
            <w:tcW w:type="dxa" w:w="9866"/>
            <w:tcBorders>
              <w:top w:val="single" w:color="7F7F7F" w:sz="6"/>
              <w:left w:val="single" w:color="7F7F7F" w:sz="6"/>
              <w:bottom w:val="none" w:color="FFFFFF" w:sz="0"/>
              <w:right w:val="single" w:color="7F7F7F" w:sz="6"/>
            </w:tcBorders>
            <w:tcMar>
              <w:top w:type="dxa" w:w="120"/>
              <w:left w:type="dxa" w:w="180"/>
              <w:bottom w:type="dxa" w:w="20"/>
              <w:right w:type="dxa" w:w="180"/>
            </w:tcMar>
          </w:tcPr>
          <w:p>
            <w:pPr>
              <w:keepNext/>
              <w:spacing w:after="240"/>
            </w:pPr>
            <w:hyperlink w:history="1" r:id="rIdzlyivoyugga1g-hpphphw">
              <w:r>
                <w:rPr>
                  <w:color w:val="507D82"/>
                  <w:u w:val="single"/>
                </w:rPr>
                <w:t xml:space="preserve">EUR-Lex, texte intégral officiel du Tribunal de l’Union européenne, 19 octobre 2026.</w:t>
              </w:r>
            </w:hyperlink>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70" w:line="252"/>
              <w:jc w:val="left"/>
            </w:pPr>
            <w:r>
              <w:t xml:space="preserve">Modus AE introduit un recours en annulation devant le Tribunal contre les décisions de la première chambre de recours de l’EUIPO. </w:t>
            </w:r>
            <w:r>
              <w:rPr>
                <w:i/>
                <w:iCs/>
                <w:color w:val="666666"/>
              </w:rPr>
              <w:t xml:space="preserve">(6 septembre 2025)</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70" w:line="252"/>
              <w:jc w:val="left"/>
            </w:pPr>
            <w:r>
              <w:t xml:space="preserve">→ La requête est publiée au Journal officiel de l’Union européenne. </w:t>
            </w:r>
            <w:r>
              <w:rPr>
                <w:i/>
                <w:iCs/>
                <w:color w:val="666666"/>
              </w:rPr>
              <w:t xml:space="preserve">(10 novembre 2025)</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70" w:line="252"/>
              <w:jc w:val="left"/>
            </w:pPr>
            <w:r>
              <w:t xml:space="preserve">→ Le Tribunal, première chambre, rend son arrêt dans l’affaire T-608/25. </w:t>
            </w:r>
            <w:r>
              <w:rPr>
                <w:i/>
                <w:iCs/>
                <w:color w:val="666666"/>
              </w:rPr>
              <w:t xml:space="preserve">(9 septembre 2026)</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val="false"/>
              <w:spacing w:after="70" w:line="252"/>
              <w:jc w:val="left"/>
            </w:pPr>
            <w:r>
              <w:t xml:space="preserve">→ L’arrêt est publié au Journal officiel de l’Union européenne et son texte intégral officiel est disponible sur EUR-Lex. </w:t>
            </w:r>
            <w:r>
              <w:rPr>
                <w:i/>
                <w:iCs/>
                <w:color w:val="666666"/>
              </w:rPr>
              <w:t xml:space="preserve">(19 octobre 2026)</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Par arrêt du 9 septembre 2026, le Tribunal de l’Union européenne rejette le recours formé par Modus AE contre une décision de la première chambre de recours de l’EUIPO rendue dans le cadre d’une procédure de nullité. Le litige opposait la marque figurative de l’Union européenne « papyros by Modus » à l’enregistrement international antérieur de la marque verbale « PAPYRUS », invoqué par ISIS Papyrus Europe AG. La décision présente un intérêt particulier pour l’appréciation globale du risque de confusion entre des signes complexes et une marque verbale antérieure, lorsque les signes partagent un élément verbal très proche et que le public pertinent est composé de professionnels attentifs.</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La marque contestée comprend l’élément verbal « papyros », en bleu, l’élément verbal « by modus », placé au-dessus de la fin du premier élément et présenté dans une taille nettement inférieure, ainsi qu’un élément figuratif rouge représentant un rouleau de papyrus stylisé. La marque antérieure consiste dans le signe verbal « PAPYRUS ». Les produits et services concernés relevaient notamment des classes 9 et 42. La marque contestée visait, en substance, des logiciels de gestion du flux de travail de documents commerciaux ainsi que des services informatiques. La chambre de recours avait retenu une similitude moyenne entre les produits de la classe 9 concernés et les produits de la marque antérieure. Elle avait également retenu, à tout le moins, une faible similitude entre les services de la classe 42 et les produits couverts par la marque antérieure. Modus AE a saisi le Tribunal d’un recours en annulation contre les décisions R 1548/2024-1 et R 1628/2024-1 de la première chambre de recours.</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Modus AE contestait d’abord la comparaison des produits et services. Elle soutenait que les produits logiciels couverts par sa marque se distinguaient par leur nature des produits matériels visés par la marque antérieure. Elle faisait également valoir que les produits et services en cause ne participaient pas d’un secteur homogène, ne visaient pas les mêmes consommateurs, ne recouraient pas aux mêmes canaux de distribution et ne présentaient pas une origine commerciale commune. Elle invoquait encore le niveau d’attention élevé du public pertinent, les modalités de commercialisation des services et leur coût. S’agissant des signes, la requérante faisait état des différences de police, de couleur, de longueur, de structure et de présence d’éléments verbaux et figuratifs supplémentaires. Elle soutenait notamment que « by modus » renvoyait à l’origine commerciale des produits et services. L’EUIPO et ISIS Papyrus Europe AG contestaient cette argumentation.</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Le Tribunal devait déterminer si la chambre de recours avait valablement conclu, sur le fondement de l’article 8, paragraphe 1, sous b), lu conjointement avec l’article 60, paragraphe 1, sous a), du règlement (UE) 2017/1001, à l’existence d’un risque de confusion entre la marque figurative « papyros by Modus » et la marque verbale antérieure « PAPYRUS ». La question impliquait d’apprécier cumulativement la similitude des produits et services, les éléments distinctifs et dominants du signe contesté, ainsi que les similitudes visuelle, phonétique et conceptuelle des signes, au regard d’un public professionnel faisant preuve d’une attention accrue.</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Le Tribunal relève, à titre liminaire, que le public pertinent est constitué de professionnels attentifs sur l’ensemble du territoire de l’Union. Il confirme néanmoins que ce degré d’attention accru ne fait pas, à lui seul, obstacle à la constatation d’un risque de confusion. Concernant les produits et services, le Tribunal observe que la requérante se bornait à contester les conclusions de la chambre de recours sans les étayer d’éléments concrets. Il retient que la chambre de recours ne s’était pas fondée sur une identité de nature entre logiciels et produits matériels, mais sur leur complémentarité, le chevauchement des consommateurs visés, les canaux de distribution et la possibilité d’une offre émanant des mêmes entreprises. Pour les services de la classe 42, le rattachement commun au domaine des technologies de l’information et l’existence d’offres de solutions informatiques intégrées justifiaient la similitude retenue. Sur les signes, le Tribunal juge que « papyros » sera compris dans l’ensemble de l’Union comme renvoyant au papyrus, plante ou matériau d’écriture. Cette référence ne décrit pas les produits et services de gestion documentaire en cause et conserve, dès lors, un caractère distinctif moyen. L’élément « by modus » est susceptible d’être perçu comme une référence à un nom commercial, mais son positionnement et sa taille lui confèrent une incidence secondaire dans l’impression d’ensemble. Quant au rouleau de papyrus stylisé, il constitue une simple illustration de l’élément verbal principal et ne présente pas un caractère dominant. Le Tribunal confirme ainsi que « papyros » est l’unique élément dominant de la marque contestée. Sur le plan visuel, les signes coïncident par six des sept lettres composant « PAPYRUS » et « papyros ». Les différences tenant à la voyelle, à l’élément « by modus », au graphisme, aux couleurs et à la typographie ne neutralisent pas cette proximité, de sorte qu’une similitude moyenne est retenue. Sur le plan phonétique, le caractère secondaire de « by modus » conduit le Tribunal à considérer qu’une partie significative du public prononcera seulement « papyros ». Il en résulte une similitude élevée avec « PAPYRUS ». Enfin, les deux signes renvoient au même concept de papyrus, l’élément « by modus » ne formant pas une unité conceptuelle avec « papyros ». La similitude conceptuelle est donc élevée. L’appréciation globale de ces éléments conduit à confirmer le risque de confusion.</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Le Tribunal rejette le recours dans son intégralité. La décision attaquée de la chambre de recours demeure donc inchangée, de sorte que la cause relative de nullité tirée de la marque antérieure « PAPYRUS » est confirmée à l’égard de la marque figurative « papyros by Modus ». Modus AE est condamnée à supporter ses propres dépens ainsi que ceux exposés par ISIS Papyrus Europe AG. L’EUIPO supporte ses propres dépens.</w:t>
            </w:r>
          </w:p>
        </w:tc>
      </w:tr>
      <w:tr>
        <w:tc>
          <w:tcPr>
            <w:tcW w:type="dxa" w:w="9866"/>
            <w:tcBorders>
              <w:top w:val="none" w:color="FFFFFF" w:sz="0"/>
              <w:left w:val="single" w:color="7F7F7F" w:sz="6"/>
              <w:bottom w:val="single" w:color="7F7F7F" w:sz="6"/>
              <w:right w:val="single" w:color="7F7F7F" w:sz="6"/>
            </w:tcBorders>
            <w:tcMar>
              <w:top w:type="dxa" w:w="20"/>
              <w:left w:type="dxa" w:w="180"/>
              <w:bottom w:type="dxa" w:w="120"/>
              <w:right w:type="dxa" w:w="180"/>
            </w:tcMar>
          </w:tcPr>
          <w:p>
            <w:pPr>
              <w:pBdr>
                <w:left w:val="single" w:color="507D82" w:sz="10" w:space="8"/>
              </w:pBdr>
              <w:spacing w:after="260" w:before="80"/>
              <w:ind w:left="180"/>
              <w:jc w:val="both"/>
            </w:pPr>
            <w:r>
              <w:rPr>
                <w:b/>
                <w:bCs/>
              </w:rPr>
              <w:t xml:space="preserve">Portée pratique. </w:t>
            </w:r>
            <w:r>
              <w:t xml:space="preserve">L’arrêt rappelle que l’adjonction d’un élément figuratif et d’une mention secondaire renvoyant à l’entreprise du titulaire ne suffit pas nécessairement à individualiser un signe lorsque son élément verbal principal reprend presque à l’identique la structure, la sonorité et le concept d’une marque antérieure. Il souligne également que, dans les secteurs informatiques, l’opposition entre produits logiciels et produits matériels ne permet pas, en elle-même, d’écarter leur similitude. L’analyse demeure fonctionnelle et prend en compte la complémentarité des produits, les consommateurs visés, les canaux de distribution et la capacité des mêmes opérateurs à proposer des solutions intégrées. Enfin, la décision confirme que l’attention élevée d’un public professionnel ne neutralise pas mécaniquement le risque de confusion. Lorsque les similitudes phonétique et conceptuelle sont fortes et que les produits ou services présentent un degré de proximité suffisant, ce risque peut subsister malgré une perception plus avisée du public.</w:t>
            </w:r>
          </w:p>
        </w:tc>
      </w:tr>
    </w:tbl>
    <w:p>
      <w:pPr>
        <w:pStyle w:val="Heading1"/>
        <w:pBdr>
          <w:bottom w:val="single" w:color="222222" w:sz="6" w:space="6"/>
        </w:pBdr>
        <w:spacing w:after="180" w:before="300"/>
      </w:pPr>
      <w:r>
        <w:rPr>
          <w:b/>
          <w:bCs/>
        </w:rPr>
        <w:t xml:space="preserve">ACTUALITÉS</w:t>
      </w:r>
    </w:p>
    <w:p>
      <w:pPr>
        <w:pStyle w:val="Heading2"/>
        <w:keepNext/>
        <w:spacing w:after="100" w:before="180"/>
      </w:pPr>
      <w:r>
        <w:rPr>
          <w:b/>
          <w:bCs/>
          <w:color w:val="1F4E79"/>
        </w:rPr>
        <w:t xml:space="preserve">L’OMPI annonce la deuxième phase de la National IP Awareness Mission indienne sur le PCT</w:t>
      </w:r>
    </w:p>
    <w:p>
      <w:pPr>
        <w:keepNext/>
        <w:spacing w:after="240"/>
      </w:pPr>
      <w:hyperlink w:history="1" r:id="rId0akk-uji1zv1f74fxgk_e">
        <w:r>
          <w:rPr>
            <w:color w:val="507D82"/>
            <w:u w:val="single"/>
          </w:rPr>
          <w:t xml:space="preserve">Organisation Mondiale de la Propriété Intellectuelle, « India’s National IP Awareness Mission on the PCT returns for Phase II », 21 octobre 2026.</w:t>
        </w:r>
      </w:hyperlink>
    </w:p>
    <w:p>
      <w:pPr>
        <w:keepLines/>
        <w:spacing w:after="130" w:line="276"/>
        <w:jc w:val="both"/>
      </w:pPr>
      <w:r>
        <w:t xml:space="preserve">L’Organisation Mondiale de la Propriété Intellectuelle, l’Office du contrôleur général des brevets, dessins et marques de l’Inde et l’All India Council for Technical Education annoncent l’organisation de la deuxième phase de la National IP Awareness Mission consacrée au Traité de coopération en matière de brevets. Cette initiative prend la forme d’un webinaire organisé en ligne, en langue anglaise, le 28 octobre 2026.</w:t>
      </w:r>
    </w:p>
    <w:p>
      <w:pPr>
        <w:keepLines/>
        <w:spacing w:after="130" w:line="276"/>
        <w:jc w:val="both"/>
      </w:pPr>
      <w:r>
        <w:t xml:space="preserve">Cette seconde phase doit notamment traiter des taxes applicables dans le cadre du PCT, des possibilités de réduction des coûts, du dépôt d’une demande internationale au moyen d’ePCT ainsi que du traitement de cette demande par l’Office indien des brevets. Le programme prévoit l’intervention d’experts de l’OMPI et de l’Office indien des brevets, suivie d’une séance de questions-réponses. Il est identifié sous la référence WIPO/WEBINAR/PCT/2026/31/INF.</w:t>
      </w:r>
    </w:p>
    <w:p>
      <w:pPr>
        <w:pBdr>
          <w:left w:val="single" w:color="507D82" w:sz="10" w:space="8"/>
        </w:pBdr>
        <w:spacing w:after="260" w:before="80"/>
        <w:ind w:left="180"/>
        <w:jc w:val="both"/>
      </w:pPr>
      <w:r>
        <w:t xml:space="preserve">Le webinaire annoncera des informations pratiques sur les taxes PCT, les mécanismes de réduction des coûts, l’utilisation d’ePCT et le traitement des demandes internationales par l’Office indien des brevets.</w:t>
      </w:r>
    </w:p>
    <w:p>
      <w:pPr>
        <w:pStyle w:val="Heading2"/>
        <w:keepNext/>
        <w:spacing w:after="100" w:before="180"/>
      </w:pPr>
      <w:r>
        <w:rPr>
          <w:b/>
          <w:bCs/>
          <w:color w:val="1F4E79"/>
        </w:rPr>
        <w:t xml:space="preserve">L’OMPI accompagne les innovateurs turcs dans leur accès aux marchés internationaux</w:t>
      </w:r>
    </w:p>
    <w:p>
      <w:pPr>
        <w:keepNext/>
        <w:spacing w:after="240"/>
      </w:pPr>
      <w:hyperlink w:history="1" r:id="rIdgvbm2aldznrjxzu1r79yo">
        <w:r>
          <w:rPr>
            <w:color w:val="507D82"/>
            <w:u w:val="single"/>
          </w:rPr>
          <w:t xml:space="preserve">Organisation mondiale de la propriété intellectuelle (OMPI), 19 octobre 2026</w:t>
        </w:r>
      </w:hyperlink>
    </w:p>
    <w:p>
      <w:pPr>
        <w:keepLines/>
        <w:spacing w:after="130" w:line="276"/>
        <w:jc w:val="both"/>
      </w:pPr>
      <w:r>
        <w:rPr>
          <w:b/>
          <w:bCs/>
          <w:color w:val="1F4E79"/>
        </w:rPr>
        <w:t xml:space="preserve">Contexte. </w:t>
      </w:r>
      <w:r>
        <w:t xml:space="preserve">À l’occasion du TEKNOFEST et de l’International Inventions Fair, ISIF’26, l’Organisation mondiale de la propriété intellectuelle a rencontré des innovateurs, start-up et chercheurs en Türkiye afin de présenter le rôle de la propriété intellectuelle dans la valorisation des innovations et leur accès à de nouveaux marchés. L’OMPI et l’Office turc des brevets et des marques, TÜRKPATENT, y ont présenté leurs services, organisé des concours et tenu un atelier d’une journée à destination des start-up. Dix start-up sélectionnées ont en outre bénéficié de consultations individualisées.</w:t>
      </w:r>
    </w:p>
    <w:p>
      <w:pPr>
        <w:keepLines/>
        <w:spacing w:after="130" w:line="276"/>
        <w:jc w:val="both"/>
      </w:pPr>
      <w:r>
        <w:t xml:space="preserve">L’OMPI rappelle que le Traité de coopération en matière de brevets, ou PCT, permet de rechercher une protection par brevet dans plusieurs pays par le dépôt d’une demande internationale unique. Le système couvre 159 États contractants. Il ne se substitue toutefois pas aux procédures ultérieures devant les offices compétents des territoires dans lesquels le déposant choisit de poursuivre la protection.</w:t>
      </w:r>
    </w:p>
    <w:p>
      <w:pPr>
        <w:keepLines/>
        <w:spacing w:after="130" w:line="276"/>
        <w:jc w:val="both"/>
      </w:pPr>
      <w:r>
        <w:t xml:space="preserve">L’exemple de HAVELSAN illustre l’utilisation du dispositif par une entreprise turque active notamment dans les réseaux 5G et l’intelligence artificielle. Selon l’OMPI, cette société a déposé cumulativement 197 demandes internationales PCT. Le mécanisme lui permet de disposer d’un délai pouvant atteindre 30 mois pour déterminer les pays dans lesquels elle souhaite poursuivre la protection, tout en obtenant un rapport de recherche internationale fournissant une première indication sur la brevetabilité de l’invention.</w:t>
      </w:r>
    </w:p>
    <w:p>
      <w:pPr>
        <w:pBdr>
          <w:left w:val="single" w:color="507D82" w:sz="10" w:space="8"/>
        </w:pBdr>
        <w:spacing w:after="260" w:before="80"/>
        <w:ind w:left="180"/>
        <w:jc w:val="both"/>
      </w:pPr>
      <w:r>
        <w:t xml:space="preserve">Le dépôt d’une demande PCT unique permet d’organiser la stratégie de territorialisation d’une invention avant l’engagement des procédures nationales ou régionales, tout en bénéficiant d’une première appréciation issue de la recherche internationale.</w:t>
      </w:r>
    </w:p>
    <w:p>
      <w:pPr>
        <w:pStyle w:val="Heading2"/>
        <w:keepNext/>
        <w:spacing w:after="100" w:before="180"/>
      </w:pPr>
      <w:r>
        <w:rPr>
          <w:b/>
          <w:bCs/>
          <w:color w:val="1F4E79"/>
        </w:rPr>
        <w:t xml:space="preserve">Les premières séances de travail du Cooperation Board mettent en pratique le nouveau cadre de l’EUIPN</w:t>
      </w:r>
    </w:p>
    <w:p>
      <w:pPr>
        <w:keepNext/>
        <w:spacing w:after="240"/>
      </w:pPr>
      <w:hyperlink w:history="1" r:id="rIde5y-kegbwjewh5scdg8lu">
        <w:r>
          <w:rPr>
            <w:color w:val="507D82"/>
            <w:u w:val="single"/>
          </w:rPr>
          <w:t xml:space="preserve">Office de l’Union européenne pour la propriété intellectuelle (EUIPO), 21 octobre 2026</w:t>
        </w:r>
      </w:hyperlink>
    </w:p>
    <w:p>
      <w:pPr>
        <w:keepNext/>
        <w:spacing w:after="220"/>
        <w:jc w:val="both"/>
      </w:pPr>
      <w:r>
        <w:rPr>
          <w:b/>
          <w:bCs/>
          <w:i/>
          <w:iCs/>
          <w:color w:val="C55A11"/>
        </w:rPr>
        <w:t xml:space="preserve">Attention : les informations présentées dans cette section doivent être vérifiées, l’accès à la source étant incomplet, limité ou restreint.</w:t>
      </w:r>
    </w:p>
    <w:p>
      <w:pPr>
        <w:keepLines/>
        <w:spacing w:after="130" w:line="276"/>
        <w:jc w:val="both"/>
      </w:pPr>
      <w:r>
        <w:rPr>
          <w:b/>
          <w:bCs/>
          <w:color w:val="1F4E79"/>
        </w:rPr>
        <w:t xml:space="preserve">Contexte. </w:t>
      </w:r>
      <w:r>
        <w:t xml:space="preserve">L’Office de l’Union européenne pour la propriété intellectuelle a annoncé la tenue, à Alicante les 20 et 21 octobre 2026, des premières séances de travail du Cooperation Board de l’EUIPN. Selon les éléments officiellement accessibles, cette réunion a réuni des offices de propriété intellectuelle ainsi que des partenaires de coopération.</w:t>
      </w:r>
    </w:p>
    <w:p>
      <w:pPr>
        <w:keepLines/>
        <w:spacing w:after="130" w:line="276"/>
        <w:jc w:val="both"/>
      </w:pPr>
      <w:r>
        <w:t xml:space="preserve">Ces séances avaient pour objet de mettre en pratique le nouveau cadre de l’EUIPN. Elles constituent ainsi la première mise en œuvre, dans le cadre des travaux du Cooperation Board, de cette nouvelle organisation de la coopération au sein de l’EUIPN.</w:t>
      </w:r>
    </w:p>
    <w:p>
      <w:pPr>
        <w:keepLines/>
        <w:spacing w:after="130" w:line="276"/>
        <w:jc w:val="both"/>
      </w:pPr>
      <w:r>
        <w:t xml:space="preserve">La communication publiée par l’EUIPO confirme donc l’ouverture d’une phase de travail du Cooperation Board. Les éléments accessibles permettent d’établir la tenue de la réunion et son objet général, sans préciser les mesures examinées, les orientations arrêtées ou les modalités opérationnelles susceptibles d’en résulter.</w:t>
      </w:r>
    </w:p>
    <w:p>
      <w:pPr>
        <w:pBdr>
          <w:left w:val="single" w:color="507D82" w:sz="10" w:space="8"/>
        </w:pBdr>
        <w:spacing w:after="260" w:before="80"/>
        <w:ind w:left="180"/>
        <w:jc w:val="both"/>
      </w:pPr>
      <w:r>
        <w:t xml:space="preserve">La réunion marque l’ouverture des premières séances de travail du Cooperation Board dans le cadre renouvelé de l’EUIPN.</w:t>
      </w:r>
    </w:p>
    <w:p>
      <w:pPr>
        <w:pStyle w:val="Heading2"/>
        <w:keepNext/>
        <w:spacing w:after="100" w:before="180"/>
      </w:pPr>
      <w:r>
        <w:rPr>
          <w:b/>
          <w:bCs/>
          <w:color w:val="1F4E79"/>
        </w:rPr>
        <w:t xml:space="preserve">Le défi européen du transfert de technologie, de la recherche publique au marché</w:t>
      </w:r>
    </w:p>
    <w:p>
      <w:pPr>
        <w:keepNext/>
        <w:spacing w:after="240"/>
      </w:pPr>
      <w:hyperlink w:history="1" r:id="rIdf2esufrfgdwxnpkxss5oh">
        <w:r>
          <w:rPr>
            <w:color w:val="507D82"/>
            <w:u w:val="single"/>
          </w:rPr>
          <w:t xml:space="preserve">Office européen des brevets, actualité relative à une étude de l’Observatoire, 22 octobre 2026.</w:t>
        </w:r>
      </w:hyperlink>
    </w:p>
    <w:p>
      <w:pPr>
        <w:keepNext/>
        <w:spacing w:after="180"/>
      </w:pPr>
      <w:r>
        <w:rPr>
          <w:b/>
          <w:bCs/>
          <w:i/>
          <w:iCs/>
          <w:color w:val="2E75B6"/>
        </w:rPr>
        <w:t xml:space="preserve">Signalé par l’alerte de Juliette.</w:t>
      </w:r>
    </w:p>
    <w:p>
      <w:pPr>
        <w:keepNext/>
        <w:spacing w:after="220"/>
        <w:jc w:val="both"/>
      </w:pPr>
      <w:r>
        <w:rPr>
          <w:b/>
          <w:bCs/>
          <w:i/>
          <w:iCs/>
          <w:color w:val="C55A11"/>
        </w:rPr>
        <w:t xml:space="preserve">Attention : les informations présentées dans cette section doivent être vérifiées, l’accès à la source étant incomplet, limité ou restreint.</w:t>
      </w:r>
    </w:p>
    <w:p>
      <w:pPr>
        <w:keepLines/>
        <w:spacing w:after="130" w:line="276"/>
        <w:jc w:val="both"/>
      </w:pPr>
      <w:r>
        <w:rPr>
          <w:b/>
          <w:bCs/>
          <w:color w:val="1F4E79"/>
        </w:rPr>
        <w:t xml:space="preserve">Contexte. </w:t>
      </w:r>
      <w:r>
        <w:t xml:space="preserve">L’Observatoire de l’Office européen des brevets a publié une étude consacrée au transfert de technologie en Europe, réalisée avec ASTP et Fraunhofer ISI. Les éléments présentés reposent sur les données de brevets de l’OEB, une analyse des inventions universitaires conduite avec Fraunhofer ISI, les réponses recueillies par ASTP auprès de plus de 800 bureaux de transfert de technologie, ainsi que des entretiens menés auprès de 22 professionnels du secteur.</w:t>
      </w:r>
    </w:p>
    <w:p>
      <w:pPr>
        <w:keepLines/>
        <w:spacing w:after="130" w:line="276"/>
        <w:jc w:val="both"/>
      </w:pPr>
      <w:r>
        <w:t xml:space="preserve">L’étude porte sur 809 bureaux de transfert de technologie, dont environ 90 % sont de petite ou moyenne taille. Elle souligne la contribution des institutions européennes de recherche à l’innovation brevetée dans des domaines à forte intensité technologique. En 2025, celles-ci représentaient 34 % des demandes de brevet européen d’origine européenne en biotechnologie, 29 % dans les technologies quantiques et 26 % dans le secteur pharmaceutique.</w:t>
      </w:r>
    </w:p>
    <w:p>
      <w:pPr>
        <w:keepLines/>
        <w:spacing w:after="130" w:line="276"/>
        <w:jc w:val="both"/>
      </w:pPr>
      <w:r>
        <w:t xml:space="preserve">L’OEB relève également une différence significative dans la durée de vie résiduelle des portefeuilles académiques. Selon les données rapportées, 40,7 % des brevets académiques européens directement détenus par des institutions européennes arrivent à échéance dans les dix ans, contre 26,3 % des brevets académiques détenus par des universités américaines. Cette donnée met en évidence l’importance du calendrier de valorisation et de la gestion des actifs de propriété industrielle issus de la recherche publique.</w:t>
      </w:r>
    </w:p>
    <w:p>
      <w:pPr>
        <w:pBdr>
          <w:left w:val="single" w:color="507D82" w:sz="10" w:space="8"/>
        </w:pBdr>
        <w:spacing w:after="260" w:before="80"/>
        <w:ind w:left="180"/>
        <w:jc w:val="both"/>
      </w:pPr>
      <w:r>
        <w:t xml:space="preserve">La proportion de brevets académiques européens susceptibles d’arriver à échéance dans les dix ans appelle une attention particulière à la stratégie de valorisation, de licence et de maintien des droits issus de la recherche publique.</w:t>
      </w:r>
    </w:p>
    <w:sectPr>
      <w:footerReference w:type="default" r:id="rId6"/>
      <w:pgSz w:w="12240" w:h="15840" w:orient="portrait"/>
      <w:pgMar w:top="1440" w:right="820" w:bottom="145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717"/>
        <w:sz w:val="22"/>
        <w:szCs w:val="22"/>
      </w:rPr>
    </w:rPrDefault>
    <w:pPrDefault>
      <w:pPr>
        <w:spacing w:after="13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71717"/>
      <w:sz w:val="24"/>
      <w:szCs w:val="24"/>
    </w:rPr>
  </w:style>
  <w:style w:type="paragraph" w:styleId="Heading2">
    <w:name w:val="Heading 2"/>
    <w:basedOn w:val="Normal"/>
    <w:next w:val="Normal"/>
    <w:qFormat/>
    <w:rPr>
      <w:rFonts w:ascii="Arial" w:cs="Arial" w:eastAsia="Arial" w:hAnsi="Arial"/>
      <w:b/>
      <w:bCs/>
      <w:color w:val="17171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zlyivoyugga1g-hpphphw" Type="http://schemas.openxmlformats.org/officeDocument/2006/relationships/hyperlink" Target="https://eur-lex.europa.eu/legal-content/FR/TXT/?uri=CELEX:62025TJ0608" TargetMode="External"/><Relationship Id="rId0akk-uji1zv1f74fxgk_e" Type="http://schemas.openxmlformats.org/officeDocument/2006/relationships/hyperlink" Target="https://www.wipo.int/en/web/pct-system/w/news/2026/india-s-national-ip-awareness-mission-on-the-pct-returns-for-phase-ii" TargetMode="External"/><Relationship Id="rIdgvbm2aldznrjxzu1r79yo" Type="http://schemas.openxmlformats.org/officeDocument/2006/relationships/hyperlink" Target="https://www.wipo.int/en/web/pct-system/w/news/2026/how-wipo-helps-innovators-in-t%C3%BCrkiye-reach-new-markets" TargetMode="External"/><Relationship Id="rIde5y-kegbwjewh5scdg8lu" Type="http://schemas.openxmlformats.org/officeDocument/2006/relationships/hyperlink" Target="https://www.euipo.europa.eu/news/first-cooperation-board-working-sessions-put-the-new-euipn-framework-into-practice" TargetMode="External"/><Relationship Id="rIdf2esufrfgdwxnpkxss5oh" Type="http://schemas.openxmlformats.org/officeDocument/2006/relationships/hyperlink" Target="https://www.epo.org/en/news-events/news/public-research-market-success-europes-tech-transfer-challenge"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Veille Propriété intellectuelle : Du 19 octobre au 22 octobre 2026</dc:title>
  <dc:creator>Veille IP DLA</dc:creator>
  <dc:description>Veille hebdomadaire de propriété intellectuelle</dc:description>
  <cp:lastModifiedBy>Un-named</cp:lastModifiedBy>
  <cp:revision>1</cp:revision>
  <dcterms:created xsi:type="dcterms:W3CDTF">2026-10-22T14:19:58.408Z</dcterms:created>
  <dcterms:modified xsi:type="dcterms:W3CDTF">2026-10-22T14:19:58.408Z</dcterms:modified>
</cp:coreProperties>
</file>

<file path=docProps/custom.xml><?xml version="1.0" encoding="utf-8"?>
<Properties xmlns="http://schemas.openxmlformats.org/officeDocument/2006/custom-properties" xmlns:vt="http://schemas.openxmlformats.org/officeDocument/2006/docPropsVTypes"/>
</file>