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Veille du 20 au 26 août 2026 — recherche élargie au 28 juillet–26 août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u w:val="single"/>
        </w:rPr>
        <w:t xml:space="preserve">Brevets — Motivation des décisions et vice substantiel de procédure – Une décision de rejet ambiguë ne satisfait pas à l’exigence de motivation prévue par la règle 111(2) CBE</w:t>
      </w:r>
    </w:p>
    <w:p>
      <w:pPr>
        <w:spacing w:after="240"/>
      </w:pPr>
      <w:hyperlink w:history="1" r:id="rIdfq_dreazdfmiz1_knh0qn">
        <w:r>
          <w:rPr>
            <w:color w:val="507D82"/>
            <w:u w:val="single"/>
          </w:rPr>
          <w:t xml:space="preserve">OEB, Chambre de recours juridique 3.1.01, 13 août 2026, J 0010/25, ECLI:EP:BA:2026:J001025.20260813 — mise en ligne le 21 août 2026, 21 août 2026 (mise en ligne ; décision rendue le 13 août 2026)</w:t>
        </w:r>
      </w:hyperlink>
    </w:p>
    <w:p>
      <w:pPr>
        <w:spacing w:after="180" w:line="300"/>
        <w:jc w:val="both"/>
      </w:pPr>
      <w:r>
        <w:t xml:space="preserve">Un litige opposait un demandeur de brevet, dont l’identité et le numéro de demande ont été anonymisés, à la section de dépôt de l’OEB au sujet du rejet de sa demande pour des irrégularités affectant les dessins, sans que la décision permette d’identifier avec certitude le motif déterminant du refus. ([epo.org](https://www.epo.org/boards-of-appeal/decisions/pdf/j250010eu1.pdf))</w:t>
      </w:r>
    </w:p>
    <w:p>
      <w:pPr>
        <w:spacing w:after="180" w:line="300"/>
        <w:jc w:val="both"/>
      </w:pPr>
      <w:r>
        <w:t xml:space="preserve">Le 10 octobre 2024, la section de dépôt avait adressé au demandeur une notification au titre de la règle 58 CBE l’invitant à remédier, dans un délai de deux mois, à plusieurs irrégularités formelles. La notification, établie au moyen d’un formulaire à cases préétablies, indiquait que les dessins figurant en page 6 comportaient des chiffres ou des lettres d’une hauteur inférieure à 0,32 centimètre et que certaines figures n’étaient pas numérotées consécutivement en chiffres arabes. Le demandeur n’avait pas répondu dans le délai fixé. Il avait cependant produit ultérieurement un premier jeu de dessins le 19 mars 2025, puis un jeu principal et un jeu subsidiaire le 15 juillet 2025. Une première décision de rejet avait été établie le 22 janvier 2025, mais sa remise au demandeur n’ayant pu être prouvée, la section de dépôt avait réémis une décision identique le 1er septembre 2025. Cette décision, rendue sur le fondement de l’article 90(5) CBE, énonçait que les irrégularités relevées dans la notification du 10 octobre 2024 n’avaient pas été corrigées dans le délai imparti ou n’avaient pas été correctement régularisées. Elle précisait seulement que la déficience concernait la forme des documents de la demande ou des documents de remplacement. Le demandeur avait formé un recours et joint les deux jeux de dessins déposés le 15 juillet 2025. Après une notification de la Chambre annonçant son intention d’annuler la décision et de renvoyer l’affaire, il avait retiré sa demande de procédure orale. ([epo.org](https://www.epo.org/boards-of-appeal/decisions/pdf/j250010eu1.pdf))</w:t>
      </w:r>
    </w:p>
    <w:p>
      <w:pPr>
        <w:spacing w:after="180" w:line="300"/>
        <w:jc w:val="both"/>
      </w:pPr>
      <w:r>
        <w:t xml:space="preserve">Le demandeur soutenait que les dessins produits le 15 juillet 2025 remédiaient aux irrégularités identifiées dans la notification du 10 octobre 2024. À titre principal ou subsidiaire selon le jeu de dessins retenu, il demandait l’annulation du rejet et la poursuite de la procédure devant la section de dépôt. Il sollicitait expressément le renvoi de l’affaire. La décision ne fait état d’aucune argumentation distincte de la section de dépôt devant la Chambre. Celle-ci devait donc examiner d’office si la décision attaquée permettait de comprendre le fondement juridique et factuel du rejet, indépendamment de la question de savoir si les jeux de dessins tardivement déposés satisfaisaient eux-mêmes aux prescriptions formelles de la CBE. ([epo.org](https://www.epo.org/boards-of-appeal/decisions/pdf/j250010eu1.pdf))</w:t>
      </w:r>
    </w:p>
    <w:p>
      <w:pPr>
        <w:spacing w:after="180" w:line="300"/>
        <w:jc w:val="both"/>
      </w:pPr>
      <w:r>
        <w:t xml:space="preserve">La question de droit posée à la Chambre était de savoir si une décision de rejet formulée de manière alternative, indiquant que les irrégularités n’avaient pas été corrigées dans le délai imparti ou n’avaient pas été correctement régularisées, satisfaisait à l’obligation de motivation prévue par la règle 111(2) CBE et permettait l’exercice effectif du recours. ([epo.org](https://www.epo.org/boards-of-appeal/decisions/pdf/j250010eu1.pdf))</w:t>
      </w:r>
    </w:p>
    <w:p>
      <w:pPr>
        <w:spacing w:after="180" w:line="300"/>
        <w:jc w:val="both"/>
      </w:pPr>
      <w:r>
        <w:t xml:space="preserve">La Chambre relève que l’affaire pouvait être tranchée par écrit, conformément à l’article 12(8) du règlement de procédure des chambres de recours et aux articles 113 et 116 CBE, dès lors que le demandeur avait retiré sa demande de procédure orale. Elle déclare d’abord le recours recevable, puis identifie comme question centrale la détermination du motif exact sur lequel reposait le rejet. Or, selon elle, le formulaire utilisé demeure fondamentalement ambigu. Une première lecture conduit à considérer que le rejet sanctionnait l’inobservation du délai de deux mois fixé au titre de la règle 58 CBE : les irrégularités n’auraient pas été corrigées en temps utile. Une seconde lecture suggère que la section de dépôt avait examiné les dessins ultérieurement produits et estimé qu’ils demeuraient contraires aux exigences de la règle 49 CBE : les irrégularités n’auraient pas été correctement régularisées. Ces deux fondements ne sont ni équivalents ni interchangeables. Le premier porte sur le respect d’un délai procédural et sur les conséquences attachées à son expiration. Le second suppose une appréciation matérielle de la conformité des nouveaux dessins. La décision ne précise pas laquelle de ces analyses a effectivement été retenue et ne fournit aucun raisonnement permettant de trancher entre elles. Pour la Chambre, le motif décisif du rejet reste ainsi indéterminé. Cette incertitude méconnaît la règle 111(2) CBE, qui exige que les décisions susceptibles de recours soient motivées. L’obligation de motivation ne constitue pas une exigence purement formelle : elle doit permettre à la partie de connaître les raisons pour lesquelles sa demande est rejetée et à la Chambre d’exercer son contrôle juridictionnel. En laissant ouverte la question de savoir si le rejet résultait de la tardiveté de la réponse ou de l’insuffisance des corrections, la décision prive le demandeur d’un raisonnement utile et empêche la Chambre de contrôler l’appréciation portée par la première instance. L’ambiguïté caractérise donc un vice substantiel de procédure. La Chambre n’examine pas elle-même la conformité des derniers dessins, cette question devant être reprise par la section de dépôt dans le cadre de la poursuite de l’examen. ([epo.org](https://www.epo.org/boards-of-appeal/decisions/pdf/j250010eu1.pdf))</w:t>
      </w:r>
    </w:p>
    <w:p>
      <w:pPr>
        <w:spacing w:after="180" w:line="300"/>
        <w:jc w:val="both"/>
      </w:pPr>
      <w:r>
        <w:t xml:space="preserve">La Chambre annule la décision du 1er septembre 2025 et renvoie l’affaire à la section de dépôt pour poursuite de la procédure. Constatant un vice substantiel de procédure résultant de la violation de la règle 111(2) CBE, elle ordonne également le remboursement de la taxe de recours sur le fondement de la règle 103(1)(a) CBE. Elle ne se prononce pas sur la conformité définitive des dessins déposés par le demandeur. ([epo.org](https://www.epo.org/en/boards-of-appeal/decisions/j250010eu1))</w:t>
      </w:r>
    </w:p>
    <w:p>
      <w:pPr>
        <w:pBdr>
          <w:left w:val="single" w:color="507D82" w:sz="10" w:space="8"/>
        </w:pBdr>
        <w:spacing w:after="260" w:before="80"/>
        <w:ind w:left="180"/>
        <w:jc w:val="both"/>
      </w:pPr>
      <w:r>
        <w:rPr>
          <w:b/>
          <w:bCs/>
        </w:rPr>
        <w:t xml:space="preserve">Portée pratique. </w:t>
      </w:r>
      <w:r>
        <w:t xml:space="preserve">La Chambre rappelle que l’usage de formulaires standardisés ne dispense pas l’OEB d’identifier sans équivoque le fondement déterminant d’un rejet. La décision est particulièrement pertinente lorsque plusieurs motifs procéduraux ou matériels sont susceptibles de conduire au même dispositif : leur présentation alternative, sans indication de celui effectivement retenu, expose la décision à l’annulation et au remboursement de la taxe de recours. ([epo.org](https://www.epo.org/boards-of-appeal/decisions/pdf/j250010eu1.pdf))</w:t>
      </w:r>
    </w:p>
    <w:p>
      <w:pPr>
        <w:pStyle w:val="Heading2"/>
        <w:keepNext/>
        <w:spacing w:after="100" w:before="180"/>
      </w:pPr>
      <w:r>
        <w:rPr>
          <w:b/>
          <w:bCs/>
          <w:u w:val="single"/>
        </w:rPr>
        <w:t xml:space="preserve">Brevets — Inventions mises en œuvre par ordinateur, clarté et recevabilité des requêtes tardives – Architecture de processeur multicœur : l’imprécision des notions fonctionnelles et l’absence de circonstances exceptionnelles conduisent au rejet du recours</w:t>
      </w:r>
    </w:p>
    <w:p>
      <w:pPr>
        <w:spacing w:after="240"/>
      </w:pPr>
      <w:hyperlink w:history="1" r:id="rIdxucs_mu3epiungj3ui0nt">
        <w:r>
          <w:rPr>
            <w:color w:val="507D82"/>
            <w:u w:val="single"/>
          </w:rPr>
          <w:t xml:space="preserve">OEB, Chambre de recours technique 3.5.07, 29 mai 2026, T 0847/25, ECLI:EP:BA:2026:T084725.20260529 — mise en ligne le 21 août 2026, 21 août 2026 (mise en ligne ; décision rendue le 29 mai 2026)</w:t>
        </w:r>
      </w:hyperlink>
    </w:p>
    <w:p>
      <w:pPr>
        <w:spacing w:after="180" w:line="300"/>
        <w:jc w:val="both"/>
      </w:pPr>
      <w:r>
        <w:t xml:space="preserve">Un litige opposait Tenstorrent AI ULC à la division d’examen de l’OEB après le rejet d’une demande portant sur l’architecture d’un processeur multicœur comprenant une couche de surimpression destinée à isoler logiquement le réseau sur puce de la couche de calcul. ([epo.org](https://www.epo.org/boards-of-appeal/decisions/pdf/t250847eu1.pdf))</w:t>
      </w:r>
    </w:p>
    <w:p>
      <w:pPr>
        <w:spacing w:after="180" w:line="300"/>
        <w:jc w:val="both"/>
      </w:pPr>
      <w:r>
        <w:t xml:space="preserve">La demande européenne n° 20188876.5, publiée sous le n° 3 771 989, décrivait un processeur multicœur comportant une couche de calcul, une couche de réseau sur puce, dite NoC, et une couche de surimpression du NoC. Cette dernière devait faciliter la transmission des données, administrer un graphe reliant les cœurs de traitement et permettre une exécution asynchrone par rapport aux opérations de calcul. Par décision du 3 janvier 2025, la division d’examen avait rejeté la demande. Elle avait notamment considéré que certaines revendications manquaient d’activité inventive, que plusieurs requêtes méconnaissaient l’article 84 CBE en raison d’un défaut de clarté et que certaines modifications contrevenaient à l’article 123(2) CBE. La demanderesse avait formé un recours en maintenant ou en adaptant plusieurs requêtes principales et subsidiaires. Dans son avis préliminaire accompagnant la citation à la procédure orale, la Chambre avait soulevé des objections relatives à la clarté, à l’activité inventive, à l’ajout de matière et à la recevabilité de certaines requêtes. Par une lettre du 24 avril 2026, Tenstorrent avait remplacé l’ensemble de ses requêtes et produit plusieurs nouveaux jeux de revendications. Au cours de la procédure orale, elle en avait retiré plusieurs et déposé une nouvelle première requête subsidiaire. À l’issue de l’audience, trois requêtes restaient à examiner : une requête principale modifiée, une nouvelle première requête subsidiaire et une requête subsidiaire 4*. ([epo.org](https://www.epo.org/boards-of-appeal/decisions/pdf/t250847eu1.pdf))</w:t>
      </w:r>
    </w:p>
    <w:p>
      <w:pPr>
        <w:spacing w:after="180" w:line="300"/>
        <w:jc w:val="both"/>
      </w:pPr>
      <w:r>
        <w:t xml:space="preserve">Tenstorrent soutenait que l’homme du métier comprendrait les notions de points d’entrée et de sortie comme les endroits où les données commencent et terminent leur parcours dans le graphe. Elle estimait également que le terme « état » possédait son sens technique ou ordinaire : l’état d’un graphe pouvait correspondre à sa topologie, à sa connectivité ou à la direction des flux, tandis qu’un changement d’état pouvait résulter de la modification de ses nœuds ou de ses arêtes. La demanderesse invoquait notamment les figures et passages de la description relatifs aux flux connectés ou déconnectés. Pour obtenir l’admission des requêtes tardives, elle faisait valoir que les modifications répondaient directement aux objections de la Chambre, restaient simples et ne nuisaient pas à l’économie de la procédure. S’agissant de la requête déposée pendant l’audience, elle expliquait avoir mieux compris à ce stade la portée des objections de clarté. Elle soutenait enfin que l’avis préliminaire de la Chambre contenait une analyse différente de celle de la décision de première instance et créait ainsi des circonstances exceptionnelles. ([epo.org](https://www.epo.org/boards-of-appeal/decisions/pdf/t250847eu1.pdf))</w:t>
      </w:r>
    </w:p>
    <w:p>
      <w:pPr>
        <w:spacing w:after="180" w:line="300"/>
        <w:jc w:val="both"/>
      </w:pPr>
      <w:r>
        <w:t xml:space="preserve">La question de droit posée à la Chambre était de savoir si les caractéristiques fonctionnelles relatives aux points d’entrée et de sortie, aux états du graphe et des flux et à l’isolation logique des couches définissaient l’objet revendiqué avec une précision technique suffisante au regard de l’article 84 CBE et, dans la négative, si les requêtes produites après la citation pouvaient être admises au titre de l’article 13 du règlement de procédure des chambres de recours. ([epo.org](https://www.epo.org/en/boards-of-appeal/decisions/t250847eu1))</w:t>
      </w:r>
    </w:p>
    <w:p>
      <w:pPr>
        <w:spacing w:after="180" w:line="300"/>
        <w:jc w:val="both"/>
      </w:pPr>
      <w:r>
        <w:t xml:space="preserve">La Chambre admet que l’homme du métier peut comprendre, sur un plan abstrait, que les points d’entrée et de sortie correspondent au début et à la fin du parcours des données. Cette compréhension conceptuelle ne constitue toutefois pas une définition technique suffisante. La revendication ne permet pas de déterminer comment ces points se rapportent aux autres composants du processeur, notamment s’ils correspondent aux cœurs de traitement ou à d’autres éléments. La même difficulté affecte la notion d’« état ». Un état pourrait désigner la topologie du graphe à un moment donné, l’état des flux circulant dans ses chemins, la connectivité d’un nœud ou encore la direction d’un flux. La revendication n’indique ni ce que les états reflètent précisément ni le rôle qu’ils jouent dans le fonctionnement technique du processeur. Les références de la description aux connexions entrantes et sortantes ou aux flux connectés et déconnectés ne peuvent suppléer l’absence de ces caractéristiques dans la revendication. La requête principale méconnaît donc l’article 84 CBE. La nouvelle première requête subsidiaire avait été déposée pendant la procédure orale et constituait une modification du cas de la demanderesse au sens de l’article 13(2) du règlement de procédure. Or, une meilleure compréhension d’une objection pendant l’audience ne constitue pas une circonstance exceptionnelle justifiée par des raisons convaincantes. La Chambre observe en outre que la demanderesse n’avait pas assisté à la procédure orale devant la division d’examen et que l’objection portant sur la signification technique de l’état avait déjà été exprimée dans la décision attaquée. Le dépôt tardif ne pouvait donc être imputé à une évolution imprévisible de l’affaire. La requête subsidiaire 4*, produite en réponse à l’avis préliminaire, n’est pas davantage admise. La Chambre considère que l’objection à laquelle elle prétend répondre était, pour l’essentiel, déjà contenue dans la décision de première instance. La situation diffère ainsi des précédents invoqués par la demanderesse, dans lesquels les chambres avaient soulevé pour la première fois une objection nouvelle. Surtout, les modifications ne remédiaient pas prima facie à l’imprécision des notions d’état du flux et d’état du graphe. Elles ne satisfaisaient donc ni à l’exigence de circonstances exceptionnelles de l’article 13(2), ni aux critères d’économie procédurale et d’aptitude à surmonter les objections prévus à l’article 13(1). ([epo.org](https://www.epo.org/boards-of-appeal/decisions/pdf/t250847eu1.pdf))</w:t>
      </w:r>
    </w:p>
    <w:p>
      <w:pPr>
        <w:spacing w:after="180" w:line="300"/>
        <w:jc w:val="both"/>
      </w:pPr>
      <w:r>
        <w:t xml:space="preserve">La Chambre refuse d’admettre la nouvelle première requête subsidiaire et la requête subsidiaire 4*. La seule requête admise demeurant contraire à l’article 84 CBE, elle rejette le recours. Le refus de la demande européenne est par conséquent confirmé, sans examen décisif des autres objections relatives notamment à l’activité inventive. ([epo.org](https://www.epo.org/en/boards-of-appeal/decisions/t250847eu1))</w:t>
      </w:r>
    </w:p>
    <w:p>
      <w:pPr>
        <w:pBdr>
          <w:left w:val="single" w:color="507D82" w:sz="10" w:space="8"/>
        </w:pBdr>
        <w:spacing w:after="260" w:before="80"/>
        <w:ind w:left="180"/>
        <w:jc w:val="both"/>
      </w:pPr>
      <w:r>
        <w:rPr>
          <w:b/>
          <w:bCs/>
        </w:rPr>
        <w:t xml:space="preserve">Portée pratique. </w:t>
      </w:r>
      <w:r>
        <w:t xml:space="preserve">La Chambre exige que les notions fonctionnelles employées dans les revendications informatiques soient rattachées à des composants et à des effets techniques identifiables. La décision illustre également la rigueur de l’article 13(2) RPCR : ni une prise de conscience tardive de la portée d’une objection ni la reformulation d’une analyse déjà présente en première instance ne suffisent à caractériser des circonstances exceptionnelles. ([epo.org](https://www.epo.org/boards-of-appeal/decisions/pdf/t250847eu1.pdf))</w:t>
      </w:r>
    </w:p>
    <w:p>
      <w:pPr>
        <w:pStyle w:val="Heading2"/>
        <w:keepNext/>
        <w:spacing w:after="100" w:before="180"/>
      </w:pPr>
      <w:r>
        <w:rPr>
          <w:b/>
          <w:bCs/>
          <w:u w:val="single"/>
        </w:rPr>
        <w:t xml:space="preserve">Brevets — Modifications, requêtes subsidiaires et renvoi après défaut de motivation – Lithographie laser : admission d’une requête subsidiaire et renvoi en raison de l’absence de motivation sur l’activité inventive</w:t>
      </w:r>
    </w:p>
    <w:p>
      <w:pPr>
        <w:spacing w:after="240"/>
      </w:pPr>
      <w:hyperlink w:history="1" r:id="rIdcsf0ba3ybasadzmqbbhbz">
        <w:r>
          <w:rPr>
            <w:color w:val="507D82"/>
            <w:u w:val="single"/>
          </w:rPr>
          <w:t xml:space="preserve">OEB, Chambre de recours technique 3.2.01, 28 juillet 2026, T 0675/25, ECLI:EP:BA:2026:T067525.20260728 — mise en ligne le 12 août 2026, 12 août 2026 (mise en ligne ; décision rendue le 28 juillet 2026)</w:t>
        </w:r>
      </w:hyperlink>
    </w:p>
    <w:p>
      <w:pPr>
        <w:spacing w:after="180" w:line="300"/>
        <w:jc w:val="both"/>
      </w:pPr>
      <w:r>
        <w:t xml:space="preserve">Un litige opposait UpNano GmbH à Nanoscribe Holding GmbH au sujet du maintien du brevet européen n° 3 621 766, relatif à la fabrication d’une structure tridimensionnelle par lithographie laser avec adaptation de la dose d’exposition dans les zones de bord. ([epo.org](https://www.epo.org/boards-of-appeal/decisions/pdf/t250675du1.pdf))</w:t>
      </w:r>
    </w:p>
    <w:p>
      <w:pPr>
        <w:spacing w:after="180" w:line="300"/>
        <w:jc w:val="both"/>
      </w:pPr>
      <w:r>
        <w:t xml:space="preserve">UpNano avait formé opposition contre le brevet dans son intégralité, en invoquant notamment le défaut de nouveauté et d’activité inventive, l’insuffisance de description et l’extension de l’objet au-delà du contenu de la demande telle que déposée. Par une décision intermédiaire du 5 mars 2025, la division d’opposition avait estimé que le brevet pouvait être maintenu sous une forme modifiée correspondant à la troisième requête subsidiaire de Nanoscribe. La revendication 1 portait sur un procédé dans lequel une sous-structure est composée d’éléments volumiques, ou voxels, et dans lequel la dose d’exposition est modifiée dans les zones de bord par rapport aux zones intérieures. UpNano avait interjeté appel. Elle contestait en particulier l’extraction isolée de la caractéristique relative à la composition de la sous-structure en voxels, qui aurait été divulguée initialement seulement en combinaison avec l’emploi d’un faisceau laser pulsé et d’autres paramètres. Nanoscribe avait déposé avec sa réponse un ensemble particulièrement important de requêtes subsidiaires, dont la requête subsidiaire 12, qui ajoutait à la revendication la caractéristique selon laquelle le faisceau d’écriture laser est constitué d’une séquence d’impulsions. L’opposante en demandait la non-admission, en faisant valoir que cette requête aurait dû être produite en première instance et que la présentation de 95 requêtes subsidiaires constituait un abus procédural dépourvu de convergence. ([epo.org](https://www.epo.org/boards-of-appeal/decisions/pdf/t250675du1.pdf))</w:t>
      </w:r>
    </w:p>
    <w:p>
      <w:pPr>
        <w:spacing w:after="180" w:line="300"/>
        <w:jc w:val="both"/>
      </w:pPr>
      <w:r>
        <w:t xml:space="preserve">UpNano soutenait que la revendication maintenue procédait à une généralisation intermédiaire non admissible : la demande initiale ne divulguait pas la composition de la sous-structure en voxels indépendamment d’un faisceau laser pulsé. Même la requête subsidiaire 12 resterait, selon elle, insuffisante, puisqu’elle reprenait la caractéristique du faisceau pulsé sans intégrer deux autres caractéristiques de la revendication initiale, relatives à l’utilisation de chaque impulsion pour écrire un voxel et à la variation de la fréquence ou de la durée des impulsions. Elle contestait également la clarté de l’expression « zones intérieures », estimant que son emploi au pluriel ne permettait pas de déterminer s’il s’agissait d’une zone continue ou de plusieurs zones séparées. Nanoscribe répondait que la composition en voxels constituait une condition autonome, indépendante du type de laser et du mode de variation de la dose. Pour la requête subsidiaire 12, elle soutenait que la description fournissait une base distincte à l’ajout du faisceau pulsé et présentait les deux autres caractéristiques comme facultatives. Elle estimait enfin qu’il n’existait aucune raison de produire cette requête devant la division d’opposition, celle-ci ayant considéré que l’emploi d’un faisceau pulsé était implicitement compris dans la revendication. ([epo.org](https://www.epo.org/boards-of-appeal/decisions/pdf/t250675du1.pdf))</w:t>
      </w:r>
    </w:p>
    <w:p>
      <w:pPr>
        <w:spacing w:after="180" w:line="300"/>
        <w:jc w:val="both"/>
      </w:pPr>
      <w:r>
        <w:t xml:space="preserve">La question de droit posée à la Chambre était de savoir si l’extraction de certaines caractéristiques de la description et de la revendication initiale constituait une généralisation intermédiaire contraire à l’article 123(2) CBE, si la requête subsidiaire 12 pouvait être admise en appel et si l’absence de motivation de la division d’opposition sur certaines attaques d’activité inventive imposait un renvoi. ([epo.org](https://www.epo.org/en/boards-of-appeal/decisions/t250675du1))</w:t>
      </w:r>
    </w:p>
    <w:p>
      <w:pPr>
        <w:spacing w:after="180" w:line="300"/>
        <w:jc w:val="both"/>
      </w:pPr>
      <w:r>
        <w:t xml:space="preserve">La Chambre retient d’abord que la revendication 10 telle que déposée associait, par une conjonction cumulative, la composition de la sous-structure en voxels et plusieurs caractéristiques relatives au faisceau laser pulsé. La description initiale ne divulguait pas davantage la composition en éléments volumiques, dans le contexte pertinent, indépendamment d’un laser pulsé. Les passages généraux invoqués par la titulaire mentionnaient des voxels sans les rattacher à la sous-structure revendiquée. La version maintenue par la division d’opposition résultait donc d’une généralisation intermédiaire non admissible. Les requêtes subsidiaires 1 à 11 reproduisant la même caractéristique sans corriger ce défaut, elles étaient également contraires à l’article 123(2) CBE. La Chambre admet en revanche la requête subsidiaire 12. Son dépôt avec la réponse au mémoire de recours modifiait certes les moyens de Nanoscribe, mais la modification était limitée, répondait directement à l’objection et ne compromettait pas l’économie de la procédure. Surtout, la titulaire n’avait pas de raison concrète de présenter cette requête devant la division d’opposition, puisque celle-ci avait estimé que le caractère pulsé du faisceau était implicitement présent. La poursuite de l’objection en appel justifiait donc l’admission au regard des articles 12(4) et 12(6) RPCR. Sur le fond, la Chambre interprète la divulgation initiale comme couvrant des lasers continus soumis à une modulation temporelle ou des lasers intrinsèquement pulsés auxquels s’ajoute une telle modulation. Elle constate que la description fournit une base à l’introduction isolée de la caractéristique du faisceau pulsé. Les caractéristiques relatives à l’écriture d’un voxel par une ou plusieurs impulsions et à la variation de leur fréquence ou de leur durée sont présentées comme des possibilités, et non comme des éléments indissociables. Leur omission n’entraîne donc pas de généralisation intermédiaire. La requête subsidiaire 12 satisfait à l’article 123(2) CBE. La notion de zones intérieures est également jugée claire : elle désigne toutes les zones qui ne constituent pas les sections de bord directement adjacentes à la surface extérieure, qu’elles forment un ensemble continu ou plusieurs ensembles séparés. Aucun défaut de nouveauté n’était maintenu contre cette requête. Restait l’activité inventive. La Chambre constate qu’une attaque fondée sur le document D3 avait effectivement été discutée devant la division d’opposition, mais n’avait été ni examinée ni motivée dans la décision. Elle relève aussi une contradiction entre le procès-verbal, selon lequel certains documents n’auraient pas été admis, et les motifs, qui semblaient les apprécier de manière sommaire. L’obligation de motivation prévue par la règle 111(2) CBE constitue un droit procédural fondamental. Son non-respect représente ici un vice substantiel, même si les parties ne l’avaient pas invoqué comme un moyen autonome. La Chambre ne disposait d’aucun raisonnement de première instance qu’elle aurait pu contrôler sur l’attaque fondée sur D3. ([epo.org](https://www.epo.org/boards-of-appeal/decisions/pdf/t250675du1.pdf))</w:t>
      </w:r>
    </w:p>
    <w:p>
      <w:pPr>
        <w:spacing w:after="180" w:line="300"/>
        <w:jc w:val="both"/>
      </w:pPr>
      <w:r>
        <w:t xml:space="preserve">La Chambre annule la décision intermédiaire et renvoie l’affaire à la division d’opposition pour qu’elle statue sur l’activité inventive de la requête subsidiaire 12 et procède, le cas échéant, à l’adaptation de la description. Elle ne tranche donc pas définitivement le maintien ou la révocation du brevet. Le renvoi repose sur l’existence d’un motif particulier au sens de l’article 11 RPCR, constitué par l’absence de motivation sur une attaque effectivement débattue. ([epo.org](https://www.epo.org/en/boards-of-appeal/decisions/t250675du1))</w:t>
      </w:r>
    </w:p>
    <w:p>
      <w:pPr>
        <w:pBdr>
          <w:left w:val="single" w:color="507D82" w:sz="10" w:space="8"/>
        </w:pBdr>
        <w:spacing w:after="260" w:before="80"/>
        <w:ind w:left="180"/>
        <w:jc w:val="both"/>
      </w:pPr>
      <w:r>
        <w:rPr>
          <w:b/>
          <w:bCs/>
        </w:rPr>
        <w:t xml:space="preserve">Portée pratique. </w:t>
      </w:r>
      <w:r>
        <w:t xml:space="preserve">La décision illustre une approche nuancée des requêtes subsidiaires en appel : leur nombre élevé ne suffit pas, à lui seul, à imposer leur exclusion lorsque la requête retenue est simple, pertinente et rendue nécessaire par la position adoptée en première instance. Elle confirme parallèlement qu’une attaque d’activité inventive débattue doit faire l’objet de motifs contrôlables, sous peine de renvoi. ([epo.org](https://www.epo.org/boards-of-appeal/decisions/pdf/t250675du1.pdf))</w:t>
      </w:r>
    </w:p>
    <w:p>
      <w:pPr>
        <w:pStyle w:val="Heading1"/>
        <w:pBdr>
          <w:bottom w:val="single" w:color="222222" w:sz="6" w:space="6"/>
        </w:pBdr>
        <w:spacing w:after="180" w:before="300"/>
      </w:pPr>
      <w:r>
        <w:rPr>
          <w:b/>
          <w:bCs/>
        </w:rPr>
        <w:t xml:space="preserve">ACTUALITÉS</w:t>
      </w:r>
    </w:p>
    <w:p>
      <w:pPr>
        <w:pStyle w:val="Heading2"/>
        <w:keepNext/>
        <w:spacing w:after="100" w:before="180"/>
      </w:pPr>
      <w:r>
        <w:rPr>
          <w:b/>
          <w:bCs/>
          <w:u w:val="single"/>
        </w:rPr>
        <w:t xml:space="preserve">Le CSPLA publie le compte rendu de sa séance consacrée à l’entraînement des modèles d’IA et aux missions en cours</w:t>
      </w:r>
    </w:p>
    <w:p>
      <w:pPr>
        <w:spacing w:after="240"/>
      </w:pPr>
      <w:hyperlink w:history="1" r:id="rIdz5uaqsfy4ezswudshbmia">
        <w:r>
          <w:rPr>
            <w:color w:val="507D82"/>
            <w:u w:val="single"/>
          </w:rPr>
          <w:t xml:space="preserve">Sans objet — CSPLA, compte rendu de la séance plénière du 15 décembre 2025, publié le 7 août 2026, 7 août 2026</w:t>
        </w:r>
      </w:hyperlink>
    </w:p>
    <w:p>
      <w:pPr>
        <w:spacing w:after="180" w:line="300"/>
        <w:jc w:val="both"/>
      </w:pPr>
      <w:r>
        <w:t xml:space="preserve">Le Conseil supérieur de la propriété littéraire et artistique a publié, le 7 août 2026, le compte rendu de sa séance plénière du 15 décembre 2025, largement consacrée aux interactions entre intelligence artificielle générative, droit d’auteur et droits voisins. ([culture.gouv.fr](https://www.culture.gouv.fr/nous-connaitre/organisation-du-ministere/conseil-superieur-de-la-propriete-litteraire-et-artistique-cspla/travaux-et-publications-du-cspla/seances-plenieres-du-cspla/seances-plenieres-du-cspla-2025))</w:t>
      </w:r>
    </w:p>
    <w:p>
      <w:pPr>
        <w:spacing w:after="180" w:line="300"/>
        <w:jc w:val="both"/>
      </w:pPr>
      <w:r>
        <w:t xml:space="preserve">Le CSPLA est l’organe consultatif placé auprès du ministère de la Culture pour les questions de propriété littéraire et artistique. Le document publié rend compte des échanges institutionnels intervenus à la fin de l’année 2025, sans constituer un texte normatif ni une décision juridictionnelle. La séance a notamment permis de présenter les travaux de Tristan Azzi et Yves El Hage sur la loi applicable à l’entraînement des modèles d’IA générative commercialisés dans l’Union européenne. Elle a également porté sur les conclusions du cycle de concertation engagé entre les développeurs de modèles d’IA et les ayants droit culturels. La publication intervient alors que plusieurs missions du CSPLA abordent séparément les différentes étapes de la chaîne de création et d’exploitation des contenus générés ou assistés par l’IA. ([culture.gouv.fr](https://www.culture.gouv.fr/nous-connaitre/organisation-du-ministere/conseil-superieur-de-la-propriete-litteraire-et-artistique-cspla/travaux-et-publications-du-cspla/seances-plenieres-du-cspla/seances-plenieres-du-cspla-2025))</w:t>
      </w:r>
    </w:p>
    <w:p>
      <w:pPr>
        <w:spacing w:after="180" w:line="300"/>
        <w:jc w:val="both"/>
      </w:pPr>
      <w:r>
        <w:t xml:space="preserve">La page institutionnelle ne restitue pas de prétentions contradictoires individualisées ni de positions détaillées attribuables à chaque participant. Elle confirme néanmoins que le CSPLA organise ses travaux autour de deux catégories d’acteurs dont les intérêts doivent être articulés : les fournisseurs ou développeurs de modèles, d’une part, et les titulaires de droits du secteur culturel, d’autre part. Les discussions ont porté sur la détermination de la loi applicable aux opérations d’entraînement, sur les résultats du cycle de concertation entre ces acteurs et sur l’avancement de missions connexes. En l’absence de précisions supplémentaires dans la page de publication, les compromis envisagés ou désaccords persistants ne peuvent être détaillés. ([culture.gouv.fr](https://www.culture.gouv.fr/nous-connaitre/organisation-du-ministere/conseil-superieur-de-la-propriete-litteraire-et-artistique-cspla/travaux-et-publications-du-cspla/seances-plenieres-du-cspla/seances-plenieres-du-cspla-2025))</w:t>
      </w:r>
    </w:p>
    <w:p>
      <w:pPr>
        <w:spacing w:after="180" w:line="300"/>
        <w:jc w:val="both"/>
      </w:pPr>
      <w:r>
        <w:t xml:space="preserve">L’enjeu juridique central est de déterminer comment le droit d’auteur français et européen doit appréhender, de manière coordonnée, la localisation des actes d’entraînement, l’utilisation d’œuvres protégées par les modèles génératifs, le statut des productions résultantes et l’identification des contributions humaines ou artistiques qui demeurent protégeables.</w:t>
      </w:r>
    </w:p>
    <w:p>
      <w:pPr>
        <w:spacing w:after="180" w:line="300"/>
        <w:jc w:val="both"/>
      </w:pPr>
      <w:r>
        <w:t xml:space="preserve">Le compte rendu met en évidence une organisation thématique des travaux du CSPLA. Une première mission concerne les règles de conflit de lois applicables à l’entraînement de modèles commercialisés dans l’Union, question déterminante lorsque la collecte des données, l’entraînement technique, le déploiement du modèle et son exploitation économique sont répartis entre plusieurs territoires. D’autres missions portent sur les hypertrucages, le statut des productions générées avec le recours à l’IA, les rapports entre architecture et droit d’auteur ainsi que l’attribution des œuvres et des prestations artistiques. Cette segmentation permet d’isoler plusieurs questions qui ne relèvent pas nécessairement du même régime : licéité des données d’entrée, protection ou absence de protection des résultats, droit moral, preuve de la contribution humaine, droits voisins et risques liés à l’imitation de l’apparence ou de la voix. La publication confirme par ailleurs que le dialogue entre développeurs et ayants droit culturels demeure un axe autonome des travaux institutionnels. Elle ne fait toutefois état d’aucune modification législative immédiatement applicable et ne précise pas le calendrier de remise de chacune des missions évoquées. ([culture.gouv.fr](https://www.culture.gouv.fr/nous-connaitre/organisation-du-ministere/conseil-superieur-de-la-propriete-litteraire-et-artistique-cspla/travaux-et-publications-du-cspla/seances-plenieres-du-cspla/seances-plenieres-du-cspla-2025))</w:t>
      </w:r>
    </w:p>
    <w:p>
      <w:pPr>
        <w:spacing w:after="180" w:line="300"/>
        <w:jc w:val="both"/>
      </w:pPr>
      <w:r>
        <w:t xml:space="preserve">Le document constitue un état des lieux des travaux engagés plutôt que l’aboutissement d’une réforme. Les missions relatives aux hypertrucages, aux productions générées avec l’IA, à l’architecture et à l’attribution des œuvres ou prestations se poursuivent. Les prochaines étapes dépendront de la remise et de la publication de leurs conclusions ainsi que des suites institutionnelles données au cycle de concertation entre développeurs et ayants droit. ([culture.gouv.fr](https://www.culture.gouv.fr/nous-connaitre/organisation-du-ministere/conseil-superieur-de-la-propriete-litteraire-et-artistique-cspla/travaux-et-publications-du-cspla/seances-plenieres-du-cspla/seances-plenieres-du-cspla-2025))</w:t>
      </w:r>
    </w:p>
    <w:p>
      <w:pPr>
        <w:pBdr>
          <w:left w:val="single" w:color="507D82" w:sz="10" w:space="8"/>
        </w:pBdr>
        <w:spacing w:after="260" w:before="80"/>
        <w:ind w:left="180"/>
        <w:jc w:val="both"/>
      </w:pPr>
      <w:r>
        <w:rPr>
          <w:b/>
          <w:bCs/>
        </w:rPr>
        <w:t xml:space="preserve">Portée pratique. </w:t>
      </w:r>
      <w:r>
        <w:t xml:space="preserve">La publication permet aux praticiens d’identifier les principaux chantiers français susceptibles d’alimenter les futures positions nationales et européennes sur l’IA générative. Elle invite notamment à suivre séparément les questions de loi applicable, de traçabilité des données d’entraînement, de protection des résultats et d’attribution des contributions humaines.</w:t>
      </w:r>
    </w:p>
    <w:p>
      <w:pPr>
        <w:pStyle w:val="Heading2"/>
        <w:keepNext/>
        <w:spacing w:after="100" w:before="180"/>
      </w:pPr>
      <w:r>
        <w:rPr>
          <w:b/>
          <w:bCs/>
          <w:u w:val="single"/>
        </w:rPr>
        <w:t xml:space="preserve">L’Assemblée du PCT renouvelle les autorités internationales et désigne l’office mexicain comme 26e ISA/IPEA</w:t>
      </w:r>
    </w:p>
    <w:p>
      <w:pPr>
        <w:spacing w:after="240"/>
      </w:pPr>
      <w:hyperlink w:history="1" r:id="rIdquk3ckp6o0bjxivgbl9h0">
        <w:r>
          <w:rPr>
            <w:color w:val="507D82"/>
            <w:u w:val="single"/>
          </w:rPr>
          <w:t xml:space="preserve">OMPI, PCT Newsletter n° 07-08/2026, publiée le 14 août 2026 — résultats de la 58e session de l’Assemblée de l’Union du PCT, 14 août 2026</w:t>
        </w:r>
      </w:hyperlink>
    </w:p>
    <w:p>
      <w:pPr>
        <w:spacing w:after="180" w:line="300"/>
        <w:jc w:val="both"/>
      </w:pPr>
      <w:r>
        <w:t xml:space="preserve">L’OMPI a publié le 14 août 2026 le numéro 07-08/2026 de la PCT Newsletter, qui présente les principales décisions adoptées lors de la 58e session de l’Assemblée de l’Union du PCT, tenue à Genève du 9 au 17 juillet 2026. ([wipo.int](https://www.wipo.int/en/web/pct-system?utm_source=openai))</w:t>
      </w:r>
    </w:p>
    <w:p>
      <w:pPr>
        <w:spacing w:after="180" w:line="300"/>
        <w:jc w:val="both"/>
      </w:pPr>
      <w:r>
        <w:t xml:space="preserve">L’Assemblée du PCT constitue l’organe directeur du système international des demandes de brevet. Lors de sa 58e session, organisée dans le cadre des assemblées des États membres de l’OMPI, elle a examiné les recommandations formulées en février 2026 par le groupe de travail du PCT et par le Comité de coopération technique. La publication du 14 août rend compte de trois résultats principaux : la prorogation des désignations des autorités internationales de recherche et d’examen préliminaire existantes, la nomination d’une nouvelle autorité et l’adoption d’amendements au règlement d’exécution ainsi que de modifications des directives de l’Assemblée. ([wipo.int](https://www.wipo.int/en/web/pct-system/article-1))</w:t>
      </w:r>
    </w:p>
    <w:p>
      <w:pPr>
        <w:spacing w:after="180" w:line="300"/>
        <w:jc w:val="both"/>
      </w:pPr>
      <w:r>
        <w:t xml:space="preserve">La PCT Newsletter ne présente pas ces décisions sous la forme d’un débat contradictoire et ne détaille pas les positions individuelles des États membres. Elle indique que l’Assemblée a approuvé les recommandations préparatoires des organes techniques du PCT. Les 25 offices nationaux et organisations intergouvernementales exerçant déjà les fonctions d’autorité chargée de la recherche internationale et d’autorité chargée de l’examen préliminaire international ont été renouvelés. L’Institut mexicain de la propriété industrielle a été désigné comme nouvelle autorité. Les considérations techniques ou politiques ayant conduit à chacune de ces décisions ne sont pas précisées dans la page de synthèse. ([wipo.int](https://www.wipo.int/en/web/pct-system/article-1))</w:t>
      </w:r>
    </w:p>
    <w:p>
      <w:pPr>
        <w:spacing w:after="180" w:line="300"/>
        <w:jc w:val="both"/>
      </w:pPr>
      <w:r>
        <w:t xml:space="preserve">L’enjeu juridique et opérationnel central consiste à assurer la continuité, la capacité et l’harmonisation du réseau d’autorités chargées de produire les rapports de recherche internationale et les opinions ou rapports d’examen préliminaire sur lesquels reposent les stratégies d’entrée en phases nationales des déposants PCT.</w:t>
      </w:r>
    </w:p>
    <w:p>
      <w:pPr>
        <w:spacing w:after="180" w:line="300"/>
        <w:jc w:val="both"/>
      </w:pPr>
      <w:r>
        <w:t xml:space="preserve">L’Assemblée a prolongé jusqu’au 31 décembre 2037 les désignations des 25 autorités actuellement compétentes. Chacune devra conclure, avant cette échéance, un nouvel accord avec le Bureau international de l’OMPI relatif à ses opérations de recherche et d’examen préliminaire. L’Assemblée a approuvé un nouveau modèle d’accord destiné à encadrer ces relations. Elle a également nommé l’Institut mexicain de la propriété industrielle comme 26e autorité ISA/IPEA du système PCT et comme troisième autorité située en Amérique latine et dans les Caraïbes. L’entrée en fonctions de l’office mexicain n’est pas immédiate : elle interviendra après la signature et l’entrée en vigueur de son accord avec le Bureau international. Enfin, l’Assemblée a adopté plusieurs amendements au règlement d’exécution du PCT ainsi que des modifications de ses directives. La page de synthèse ne reproduit pas le détail de chaque modification et renvoie, sur ce point, aux documents officiels de la session. ([wipo.int](https://www.wipo.int/en/web/pct-system/article-1))</w:t>
      </w:r>
    </w:p>
    <w:p>
      <w:pPr>
        <w:spacing w:after="180" w:line="300"/>
        <w:jc w:val="both"/>
      </w:pPr>
      <w:r>
        <w:t xml:space="preserve">Les autorités existantes disposent désormais d’une visibilité institutionnelle allant jusqu’à la fin de l’année 2037, sous réserve de la conclusion des nouveaux accords requis. L’office mexicain commencera ses activités d’ISA et d’IPEA après l’accomplissement de cette formalité. Les amendements réglementaires adoptés suivront le calendrier d’entrée en vigueur fixé par les textes de l’Assemblée, calendrier qui n’est pas détaillé dans la page de synthèse consultée. ([wipo.int](https://www.wipo.int/en/web/pct-system/article-1))</w:t>
      </w:r>
    </w:p>
    <w:p>
      <w:pPr>
        <w:pBdr>
          <w:left w:val="single" w:color="507D82" w:sz="10" w:space="8"/>
        </w:pBdr>
        <w:spacing w:after="260" w:before="80"/>
        <w:ind w:left="180"/>
        <w:jc w:val="both"/>
      </w:pPr>
      <w:r>
        <w:rPr>
          <w:b/>
          <w:bCs/>
        </w:rPr>
        <w:t xml:space="preserve">Portée pratique. </w:t>
      </w:r>
      <w:r>
        <w:t xml:space="preserve">Pour les équipes brevets, le renouvellement à long terme des autorités sécurise la continuité du système, tandis que l’arrivée de l’office mexicain élargira les options de recherche et d’examen offertes à certains déposants. Les textes d’exécution devront être suivis afin d’identifier les dates d’application et les éventuelles adaptations nécessaires aux pratiques de dépôt PCT.</w:t>
      </w:r>
    </w:p>
    <w:p>
      <w:pPr>
        <w:spacing w:after="140" w:before="260"/>
      </w:pPr>
      <w:r>
        <w:rPr>
          <w:i/>
          <w:iCs/>
          <w:color w:val="666666"/>
          <w:sz w:val="18"/>
          <w:szCs w:val="18"/>
        </w:rPr>
        <w:t xml:space="preserve">La période du 20 au 26 août 2026 est marquée par la trêve juridictionnelle estivale. Deux décisions des chambres de recours de l’OEB ont néanmoins été mises en ligne le 21 août 2026. Afin de constituer une sélection substantielle de cinq sujets, la recherche a été élargie aux trente derniers jours pour trois publications datées des 7, 12 et 14 août 2026. Aucune jurisprudence substantielle récente en matière de marques, de dessins et modèles ou de droit d’auteur n’a été identifiée, avec une date, une référence et un document primaire directement vérifiables, sur les seuls domaines autorisés. La sélection présente donc une dominante brevets, compensée par un développement consacré au droit d’auteur et à l’intelligence artificielle. Certaines décisions de l’OEB sont disponibles uniquement en anglais ou en allemand ; les analyses ci-dessous reposent sur les décisions intégrales. ([epo.org](https://www.epo.org/en/boards-of-appeal/decisions/j250010eu1))</w:t>
      </w:r>
    </w:p>
    <w:sectPr>
      <w:footerReference w:type="default" r:id="rId7"/>
      <w:pgSz w:w="11906" w:h="16838"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Veille IP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q_dreazdfmiz1_knh0qn" Type="http://schemas.openxmlformats.org/officeDocument/2006/relationships/hyperlink" Target="https://www.epo.org/boards-of-appeal/decisions/pdf/j250010eu1.pdf" TargetMode="External"/><Relationship Id="rIdxucs_mu3epiungj3ui0nt" Type="http://schemas.openxmlformats.org/officeDocument/2006/relationships/hyperlink" Target="https://www.epo.org/boards-of-appeal/decisions/pdf/t250847eu1.pdf" TargetMode="External"/><Relationship Id="rIdcsf0ba3ybasadzmqbbhbz" Type="http://schemas.openxmlformats.org/officeDocument/2006/relationships/hyperlink" Target="https://www.epo.org/boards-of-appeal/decisions/pdf/t250675du1.pdf" TargetMode="External"/><Relationship Id="rIdz5uaqsfy4ezswudshbmia" Type="http://schemas.openxmlformats.org/officeDocument/2006/relationships/hyperlink" Target="https://www.culture.gouv.fr/nous-connaitre/organisation-du-ministere/conseil-superieur-de-la-propriete-litteraire-et-artistique-cspla/travaux-et-publications-du-cspla/seances-plenieres-du-cspla/seances-plenieres-du-cspla-2025" TargetMode="External"/><Relationship Id="rIdquk3ckp6o0bjxivgbl9h0" Type="http://schemas.openxmlformats.org/officeDocument/2006/relationships/hyperlink" Target="https://www.wipo.int/en/web/pct-system/article-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Veille du 20 au 26 août 2026 — recherche élargie au 28 juillet–26 août 2026</dc:title>
  <dc:creator>Veille IP DLA</dc:creator>
  <dc:description>Veille hebdomadaire de propriété intellectuelle</dc:description>
  <cp:lastModifiedBy>Un-named</cp:lastModifiedBy>
  <cp:revision>1</cp:revision>
  <dcterms:created xsi:type="dcterms:W3CDTF">2026-08-26T12:34:52.849Z</dcterms:created>
  <dcterms:modified xsi:type="dcterms:W3CDTF">2026-08-26T12:34:52.849Z</dcterms:modified>
</cp:coreProperties>
</file>

<file path=docProps/custom.xml><?xml version="1.0" encoding="utf-8"?>
<Properties xmlns="http://schemas.openxmlformats.org/officeDocument/2006/custom-properties" xmlns:vt="http://schemas.openxmlformats.org/officeDocument/2006/docPropsVTypes"/>
</file>