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32"/>
          <w:szCs w:val="32"/>
        </w:rPr>
        <w:t xml:space="preserve">Veille Propriété intellectuelle</w:t>
      </w:r>
    </w:p>
    <w:p>
      <w:pPr>
        <w:spacing w:after="420"/>
        <w:jc w:val="center"/>
      </w:pPr>
      <w:r>
        <w:rPr>
          <w:rFonts w:ascii="Arial" w:cs="Arial" w:eastAsia="Arial" w:hAnsi="Arial"/>
          <w:sz w:val="22"/>
          <w:szCs w:val="22"/>
        </w:rPr>
        <w:t xml:space="preserve">25 août – 1er septembre 2026</w:t>
      </w:r>
    </w:p>
    <w:p>
      <w:pPr>
        <w:pStyle w:val="Heading1"/>
        <w:pBdr>
          <w:bottom w:val="single" w:color="222222" w:sz="6" w:space="6"/>
        </w:pBdr>
        <w:spacing w:after="180" w:before="240"/>
      </w:pPr>
      <w:r>
        <w:rPr>
          <w:b/>
          <w:bCs/>
        </w:rPr>
        <w:t xml:space="preserve">JURISPRUDENCES</w:t>
      </w:r>
    </w:p>
    <w:p>
      <w:pPr>
        <w:pStyle w:val="Heading2"/>
        <w:keepNext/>
        <w:spacing w:after="100" w:before="180"/>
      </w:pPr>
      <w:r>
        <w:rPr>
          <w:b/>
          <w:bCs/>
          <w:u w:val="single"/>
        </w:rPr>
        <w:t xml:space="preserve">Brevets – opposition et activité inventive – T 0918/24 – Annuloplasty system for monitoring the effectiveness of an annuloplasty treatment</w:t>
      </w:r>
    </w:p>
    <w:p>
      <w:pPr>
        <w:spacing w:after="240"/>
      </w:pPr>
      <w:hyperlink w:history="1" r:id="rId0q8bggdfug5uc8kp6-mq9">
        <w:r>
          <w:rPr>
            <w:color w:val="507D82"/>
            <w:u w:val="single"/>
          </w:rPr>
          <w:t xml:space="preserve">OEB, chambre technique de recours 3.2.02, 25 août 2026, T 0918/24, ECLI:EP:BA:2026:T091824.20260825, 31/08/2026</w:t>
        </w:r>
      </w:hyperlink>
    </w:p>
    <w:p>
      <w:pPr>
        <w:spacing w:after="180" w:line="300"/>
        <w:jc w:val="both"/>
      </w:pPr>
      <w:r>
        <w:t xml:space="preserve">Par décision du 25 août 2026, mise en ligne le 31 août 2026, la chambre technique de recours 3.2.02 de l’Office européen des brevets a infirmé la décision de révocation du brevet européen n° 3 288 494, détenu par Kephalios S.A.S. Le litige portait sur l’activité inventive, au regard de l’article 56 CBE, d’un système d’annuloplastie destiné à apprécier l’efficacité d’un traitement d’insuffisance valvulaire. La décision illustre l’exigence d’un lien concret entre l’enseignement du document secondaire et le problème technique objectivement posé : la seule proximité générale avec la surveillance de paramètres cardiaques ne suffisait pas à justifier la combinaison proposée en opposition.</w:t>
      </w:r>
    </w:p>
    <w:p>
      <w:pPr>
        <w:spacing w:after="180" w:line="300"/>
        <w:jc w:val="both"/>
      </w:pPr>
      <w:r>
        <w:t xml:space="preserve">Le brevet concerne un système comprenant un anneau d’annuloplastie réglable implantable, une interface interne susceptible de coopérer avec un manipulateur, un dispositif de délivrance sous la forme d’un cathéter et un capteur apte à détecter une régurgitation de la valve native. Le capteur est relié à l’assemblage annulaire, susceptible de l’être ou intégré à celui-ci ; un moniteur externe ou dispositif de signalisation affiche une information fondée sur la régurgitation détectée. Selon la chambre, l’annuloplastie vise à remodeler ou renforcer l’anneau valvulaire afin de corriger une fonction valvulaire insuffisante. Dans une procédure classique, l’efficacité de la correction ne peut être appréciée qu’après redémarrage du cœur ; les dispositifs réglables récents peuvent, eux, être remodelés in situ. Le brevet entend ainsi permettre l’évaluation de l’effet de la manipulation de l’anneau implanté. La division d’opposition avait révoqué le brevet par décision du 2 mai 2024 sur le fondement de l’article 101, paragraphe 3, sous b), CBE. La titulaire a formé recours et sollicité le maintien du brevet tel que délivré ou, subsidiairement, sur le fondement de sept jeux de revendications auxiliaires. Après une opinion préliminaire favorable au quatrième jeu auxiliaire, la titulaire l’a érigé en requête principale et a déposé une description adaptée. L’opposant n’a produit aucune réponse au recours ni aucune observation sur cette description, malgré l’invitation adressée par la chambre le 12 juin 2026.</w:t>
      </w:r>
    </w:p>
    <w:p>
      <w:pPr>
        <w:spacing w:after="180" w:line="300"/>
        <w:jc w:val="both"/>
      </w:pPr>
      <w:r>
        <w:t xml:space="preserve">La division d’opposition avait considéré que la revendication 1 de la requête devenue principale était dépourvue d’activité inventive à partir de D1, combiné soit avec D15, soit avec D9. La titulaire soutenait que D1 ne divulguait ni un capteur configuré pour détecter une régurgitation de la valve native, ni un moniteur externe affichant une information issue de cette détection. Ces caractéristiques permettraient d’améliorer le traitement d’annuloplastie. Selon elle, D15 concernait la détection précoce de dysfonctionnements affectant des valves prothétiques et non l’amélioration d’un traitement par anneau d’annuloplastie. D9 ne mentionnerait la perception d’une valeur liée à la régurgitation qu’au titre d’un tube de pression intégré à un instrument de délivrance ; il ne décrirait ni capteur de régurgitation sur un anneau d’annuloplastie ni dispositif d’affichage. Aucun argument de fond n’a été présenté par l’opposant au stade du recours.</w:t>
      </w:r>
    </w:p>
    <w:p>
      <w:pPr>
        <w:spacing w:after="180" w:line="300"/>
        <w:jc w:val="both"/>
      </w:pPr>
      <w:r>
        <w:t xml:space="preserve">La question de droit était de savoir si l’homme du métier, partant de D1, qui divulgue un dispositif implantable réglable muni d’un capteur pouvant mesurer une pression ou un débit à travers le dispositif, aurait été conduit, à la lumière de D15 ou de D9, à prévoir un capteur associé à l’anneau d’annuloplastie pour détecter la régurgitation de la valve native ainsi qu’un moniteur externe ou dispositif de signalisation affichant l’information correspondante, afin d’améliorer la surveillance de l’efficacité du traitement d’annuloplastie.</w:t>
      </w:r>
    </w:p>
    <w:p>
      <w:pPr>
        <w:spacing w:after="180" w:line="300"/>
        <w:jc w:val="both"/>
      </w:pPr>
      <w:r>
        <w:t xml:space="preserve">La chambre retient d’abord, à l’instar de la division d’opposition, que D1 ne divulgue pas les deux caractéristiques distinctives précitées. Elle identifie leur effet technique dans la facilitation du suivi des conséquences de la manipulation de l’anneau d’annuloplastie. Le problème technique objectif est donc formulé comme l’amélioration de la surveillance de l’efficacité du traitement d’annuloplastie mis en œuvre dans D1. S’agissant de D15, la chambre relève que cette publication scientifique porte sur des capteurs intégrés à des valves cardiaques prothétiques, employés pour détecter précocement des anomalies telles qu’une formation de thrombus ou une rigidification des feuillets, avant leur manifestation clinique. D15 vise ainsi une surveillance à long terme du fonctionnement d’une valve prothétique, et non l’appréciation de l’efficacité d’un traitement d’annuloplastie. Ce document ne traitant pas du problème objectif retenu, l’homme du métier ne l’aurait pas consulté. Concernant D9, la chambre observe que son paragraphe 0134 prévoit l’utilisation de la lumière d’un cathéter ou d’un outil pour une surveillance de pression fournissant un retour indicatif d’une régurgitation. D9 ne suggère toutefois pas de détecter cette régurgitation au moyen d’un capteur de débit placé sur un anneau d’annuloplastie. Il ne divulgue pas davantage un affichage externe des informations concernées. Dès lors, D9 n’incitait pas l’homme du métier à transformer le capteur associé au dispositif implantable de D1 en capteur de régurgitation ni à ajouter le moniteur requis par la revendication. La chambre note enfin que les autres objections examinées en première instance contre cette requête n’avaient pas été jugées convaincantes et qu’aucune objection restante ne faisait obstacle au maintien du brevet. La description adaptée a été jugée conforme à la CBE.</w:t>
      </w:r>
    </w:p>
    <w:p>
      <w:pPr>
        <w:spacing w:after="180" w:line="300"/>
        <w:jc w:val="both"/>
      </w:pPr>
      <w:r>
        <w:t xml:space="preserve">La chambre annule la décision de révocation. Elle renvoie l’affaire à la division d’opposition avec ordre de maintenir le brevet sous une forme modifiée : les revendications 1 à 9 de la nouvelle requête principale, initialement déposées comme quatrième requête auxiliaire le 29 août 2024, la description déposée le 2 juin 2026 et les figures 1 à 7 du fascicule du brevet. La chambre conclut expressément que les combinaisons D1-D15 et D1-D9 ne privent pas la revendication 1 d’activité inventive.</w:t>
      </w:r>
    </w:p>
    <w:p>
      <w:pPr>
        <w:pBdr>
          <w:left w:val="single" w:color="507D82" w:sz="10" w:space="8"/>
        </w:pBdr>
        <w:spacing w:after="260" w:before="80"/>
        <w:ind w:left="180"/>
        <w:jc w:val="both"/>
      </w:pPr>
      <w:r>
        <w:rPr>
          <w:b/>
          <w:bCs/>
        </w:rPr>
        <w:t xml:space="preserve">Portée pratique. </w:t>
      </w:r>
      <w:r>
        <w:t xml:space="preserve">La décision confirme qu’en matière d’activité inventive, l’identification de caractéristiques manquantes dans l’art antérieur le plus proche doit être suivie d’une démonstration rigoureuse de la motivation à les emprunter au document secondaire. Un document relatif à une finalité clinique distincte, telle que la détection durable de défaillances d’une valve prothétique, ne répond pas nécessairement au problème d’évaluation immédiate de l’efficacité d’une annuloplastie réglable. De même, un enseignement relatif à un retour de pression fourni par un cathéter ne permet pas, sans indication complémentaire, de conclure à l’évidence d’un capteur intégré ou relié à l’anneau et d’un affichage externe fondé sur la régurgitation détectée. Pour la rédaction et la défense des brevets de dispositifs médicaux, l’arrêt souligne l’intérêt de caractériser précisément la localisation fonctionnelle du capteur, le paramètre mesuré et l’usage clinique spécifique de l’information recueillie.</w:t>
      </w:r>
    </w:p>
    <w:p>
      <w:pPr>
        <w:pStyle w:val="Heading2"/>
        <w:keepNext/>
        <w:spacing w:after="100" w:before="180"/>
      </w:pPr>
      <w:r>
        <w:rPr>
          <w:b/>
          <w:bCs/>
          <w:u w:val="single"/>
        </w:rPr>
        <w:t xml:space="preserve">Marques – nom de domaine et risque de confusion – Antériorité d’une dénomination sociale et transfert d’un nom de domaine créant un risque de confusion</w:t>
      </w:r>
    </w:p>
    <w:p>
      <w:pPr>
        <w:spacing w:after="240"/>
      </w:pPr>
      <w:hyperlink w:history="1" r:id="rIdjbikttcmi0sd8-myhvb9k">
        <w:r>
          <w:rPr>
            <w:color w:val="507D82"/>
            <w:u w:val="single"/>
          </w:rPr>
          <w:t xml:space="preserve">Tribunal judiciaire de Rennes, 2e chambre civile, 10 août 2026, RG n° 22/05973, Portalis DBYC-W-B7G-J4X2, 10/08/2026</w:t>
        </w:r>
      </w:hyperlink>
    </w:p>
    <w:p>
      <w:pPr>
        <w:spacing w:after="180" w:line="300"/>
        <w:jc w:val="both"/>
      </w:pPr>
      <w:r>
        <w:t xml:space="preserve">Par jugement du 10 août 2026, le tribunal judiciaire de Rennes statue sur un conflit opposant des entreprises du secteur du bâtiment autour du signe LEFEVRE, décliné comme marque, dénominations sociales, nom commercial et noms de domaine. La décision distingue les effets respectifs de l’antériorité invoquée à l’appui d’une action en nullité de marque et de la protection, sur le terrain de la concurrence déloyale, d’un nom de domaine exploité postérieurement. Elle rappelle surtout que l’existence de droits prétendument plus anciens au bénéfice du titulaire de la marque ne prive pas le titulaire d’une dénomination sociale antérieure de la faculté de défendre son propre droit antérieur. ([courdecassation.fr](https://www.courdecassation.fr/decision/6a7a1a56195da062e03bb62f?utm_source=openai))</w:t>
      </w:r>
    </w:p>
    <w:p>
      <w:pPr>
        <w:spacing w:after="180" w:line="300"/>
        <w:jc w:val="both"/>
      </w:pPr>
      <w:r>
        <w:t xml:space="preserve">La société AURIGE, anciennement dénommée M LEFEVRE jusqu’en 2018, est la société mère d’un groupe intervenant dans le bâtiment. Elle est titulaire de la marque verbale française LEFEVRE n° 15/4225658, déposée le 13 novembre 2015 et enregistrée le 11 mars 2016 pour des produits et services des classes 3, 37, 40 et 42. Sa filiale, la société LEFEVRE, immatriculée en 1990, exerce notamment des activités de rénovation et dispose de deux noms de domaine réservés en 1998 et 2010. La société LEFEVRE R, immatriculée le 27 janvier 2015 pour une activité de maçonnerie générale et de gros œuvre, a fait réaliser un site dont le nom de domaine a été réservé le 24 juillet 2020 par la société CREATEUR D’IMAGE. Après une mise en demeure du 11 janvier 2021, les sociétés AURIGE et LEFEVRE ont assigné, les 2 et 3 août 2022, LEFEVRE R et CREATEUR D’IMAGE en contrefaçon de marque, concurrence déloyale et parasitisme. LEFEVRE R a reconventionnellement demandé l’annulation partielle de la marque pour certains services des classes 37 et 42. Le juge de la mise en état avait déclaré cette même demande irrecevable à l’égard de CREATEUR D’IMAGE, faute de qualité à agir, mais avait rejeté la fin de non-recevoir tirée de la forclusion par tolérance. ([courdecassation.fr](https://www.courdecassation.fr/decision/6a7a1a56195da062e03bb62f?utm_source=openai))</w:t>
      </w:r>
    </w:p>
    <w:p>
      <w:pPr>
        <w:spacing w:after="180" w:line="300"/>
        <w:jc w:val="both"/>
      </w:pPr>
      <w:r>
        <w:t xml:space="preserve">Les demanderesses soutenaient que l’emploi du signe LEFEVRE par LEFEVRE R, y compris dans le nom de domaine et sous la présentation « LEFEVRE La signature rénovation », portait atteinte à la marque et créait une confusion avec leurs propres signes distinctifs, au regard de services identiques ou très similaires. Elles invoquaient également le caractère fautif de l’exploitation du nom de domaine et reprochaient à leur concurrente de se présenter comme les « Etablissements LEFEVRE ». Elles faisaient valoir que leurs droits sur la dénomination LEFEVRE et leurs noms de domaine étaient antérieurs à la dénomination de LEFEVRE R. Cette dernière opposait l’antériorité de sa dénomination sociale, utilisée depuis son immatriculation de janvier 2015, au dépôt de la marque de novembre 2015. Elle en déduisait un risque de confusion justifiant la nullité partielle de la marque, et, subsidiairement, se prévalait de l’usage antérieur de son nom commercial. ([courdecassation.fr](https://www.courdecassation.fr/decision/6a7a1a56195da062e03bb62f?utm_source=openai))</w:t>
      </w:r>
    </w:p>
    <w:p>
      <w:pPr>
        <w:spacing w:after="180" w:line="300"/>
        <w:jc w:val="both"/>
      </w:pPr>
      <w:r>
        <w:t xml:space="preserve">Une société qui exploite une dénomination sociale antérieure au dépôt d’une marque peut-elle solliciter l’annulation de cette marque pour les services concernés, en dépit de droits distinctifs plus anciens allégués par le titulaire de la marque, et l’exploitation ultérieure d’un nom de domaine proche de noms de domaine préexistants peut-elle, indépendamment de l’action en contrefaçon, caractériser une concurrence déloyale par risque de confusion ?</w:t>
      </w:r>
    </w:p>
    <w:p>
      <w:pPr>
        <w:spacing w:after="180" w:line="300"/>
        <w:jc w:val="both"/>
      </w:pPr>
      <w:r>
        <w:t xml:space="preserve">Le tribunal vise l’article L. 711-3, 3°, du code de la propriété intellectuelle, dans sa rédaction applicable depuis le 15 décembre 2019, aux termes duquel une marque peut être déclarée nulle lorsqu’elle porte atteinte à une dénomination ou raison sociale antérieure produisant effet en France, dès lors qu’il existe un risque de confusion. Il relève que LEFEVRE R a été immatriculée sous cette dénomination le 27 janvier 2015, soit antérieurement au dépôt et à l’enregistrement de la marque verbale LEFEVRE. Il écarte l’argument selon lequel les droits plus anciens des sociétés AURIGE et LEFEVRE feraient obstacle à l’invocation de cette antériorité : un titulaire peut défendre sa dénomination sociale, même si l’autre partie revendique des droits antérieurs plus anciens. Le tribunal se réfère à cet égard à l’arrêt de la chambre commerciale du 10 janvier 2024, pourvoi n° 22-21.716. L’analyse du risque de confusion porte sur la forte proximité des signes LEFEVRE et LEFEVRE R, ainsi que sur l’identité ou la similitude des services de construction, rénovation et prestations connexes visés ou exercés. S’agissant du nom de domaine, le tribunal retient une faute autonome de concurrence déloyale : l’exploitation du nom litigieux, postérieure aux deux noms de domaine détenus par la société LEFEVRE et employée pour des activités proches, est de nature à créer une confusion entre les entreprises. Il précise que le parasitisme allégué n’est pas établi. ([courdecassation.fr](https://www.courdecassation.fr/decision/6a7a1a56195da062e03bb62f?utm_source=openai))</w:t>
      </w:r>
    </w:p>
    <w:p>
      <w:pPr>
        <w:spacing w:after="180" w:line="300"/>
        <w:jc w:val="both"/>
      </w:pPr>
      <w:r>
        <w:t xml:space="preserve">Le tribunal accueille la demande de nullité partielle de la marque LEFEVRE pour les services des classes 37 et 42 concernés par l’antériorité de la dénomination sociale LEFEVRE R. Les demandes en contrefaçon fondées sur cette marque ne peuvent donc prospérer pour le périmètre annulé. En revanche, il retient des actes de concurrence déloyale limités à l’exploitation du nom de domaine par LEFEVRE R. Il lui interdit de poursuivre cette exploitation et ordonne le transfert du nom de domaine au profit de la société LEFEVRE, à charge pour la partie la plus diligente de transmettre le jugement à l’AFNIC. Considérant que ces mesures réparent suffisamment le préjudice établi, il n’alloue pas de dommages-intérêts au titre de cette exploitation et n’assortit pas l’interdiction d’une astreinte à ce stade. ([courdecassation.fr](https://www.courdecassation.fr/decision/6a7a1a56195da062e03bb62f?utm_source=openai))</w:t>
      </w:r>
    </w:p>
    <w:p>
      <w:pPr>
        <w:pBdr>
          <w:left w:val="single" w:color="507D82" w:sz="10" w:space="8"/>
        </w:pBdr>
        <w:spacing w:after="260" w:before="80"/>
        <w:ind w:left="180"/>
        <w:jc w:val="both"/>
      </w:pPr>
      <w:r>
        <w:rPr>
          <w:b/>
          <w:bCs/>
        </w:rPr>
        <w:t xml:space="preserve">Portée pratique. </w:t>
      </w:r>
      <w:r>
        <w:t xml:space="preserve">La décision impose d’apprécier séparément la chaîne des antériorités selon le droit invoqué. Le titulaire d’une marque ne peut neutraliser, par la seule invocation de droits plus anciens dont il disposerait, la dénomination sociale antérieure opposée contre sa marque par un tiers. La sécurisation d’une stratégie de marque exige donc de vérifier les dénominations sociales effectivement exploitées avant le dépôt, y compris lorsque le déposant utilise historiquement le même patronyme ou terme. La décision confirme par ailleurs l’autonomie du contentieux du nom de domaine : une action en concurrence déloyale peut conduire à une interdiction et à un transfert lorsque l’usage numérique postérieur entretient un risque de confusion avec des noms de domaine préexistants. Elle invite, enfin, à individualiser les faits de contrefaçon, de concurrence déloyale et de parasitisme, ainsi que les préjudices attachés à chacun d’eux. ([courdecassation.fr](https://www.courdecassation.fr/decision/6a7a1a56195da062e03bb62f?utm_source=openai))</w:t>
      </w:r>
    </w:p>
    <w:p>
      <w:pPr>
        <w:pStyle w:val="Heading1"/>
        <w:pBdr>
          <w:bottom w:val="single" w:color="222222" w:sz="6" w:space="6"/>
        </w:pBdr>
        <w:spacing w:after="180" w:before="300"/>
      </w:pPr>
      <w:r>
        <w:rPr>
          <w:b/>
          <w:bCs/>
        </w:rPr>
        <w:t xml:space="preserve">ACTUALITÉS</w:t>
      </w:r>
    </w:p>
    <w:p>
      <w:pPr>
        <w:pStyle w:val="Heading2"/>
        <w:keepNext/>
        <w:spacing w:after="100" w:before="180"/>
      </w:pPr>
      <w:r>
        <w:rPr>
          <w:b/>
          <w:bCs/>
          <w:u w:val="single"/>
        </w:rPr>
        <w:t xml:space="preserve">Séances plénières du CSPLA 2025</w:t>
      </w:r>
    </w:p>
    <w:p>
      <w:pPr>
        <w:spacing w:after="240"/>
      </w:pPr>
      <w:hyperlink w:history="1" r:id="rId5xyedcgcsz6hpsedpyk2j">
        <w:r>
          <w:rPr>
            <w:color w:val="507D82"/>
            <w:u w:val="single"/>
          </w:rPr>
          <w:t xml:space="preserve">CSPLA, compte rendu provisoire de la séance plénière du 15 décembre 2025, 07/08/2026</w:t>
        </w:r>
      </w:hyperlink>
    </w:p>
    <w:p>
      <w:pPr>
        <w:spacing w:after="180" w:line="300"/>
        <w:jc w:val="both"/>
      </w:pPr>
      <w:r>
        <w:t xml:space="preserve">Le compte rendu provisoire de la séance plénière du CSPLA du 15 décembre 2025, publié le 7 août 2026, rend compte d’échanges largement consacrés à l’intelligence artificielle générative. Ils interviennent dans un contexte de difficultés persistantes de rémunération des titulaires de droits au titre de l’entraînement des modèles et d’incertitudes portant tant sur le rattachement territorial des actes que sur le statut des contenus produits par ces systèmes. ([culture.gouv.fr](https://www.culture.gouv.fr/nous-connaitre/organisation-du-ministere/conseil-superieur-de-la-propriete-litteraire-et-artistique-cspla/travaux-et-publications-du-cspla/seances-plenieres-du-cspla/seances-plenieres-du-cspla-2025))</w:t>
      </w:r>
    </w:p>
    <w:p>
      <w:pPr>
        <w:spacing w:after="180" w:line="300"/>
        <w:jc w:val="both"/>
      </w:pPr>
      <w:r>
        <w:t xml:space="preserve">Le CSPLA a examiné l’achèvement du cycle de concertation entre développeurs de modèles d’IA générative et ayants droit culturels, conduit après cinq réunions plénières et plus de quarante échanges bilatéraux. La concertation, menée à droit constant et sans instrument contraignant, n’a pas abouti à un partage de la valeur jugé pleinement satisfaisant. ([culture.gouv.fr](https://www.culture.gouv.fr/mc/content/download/393318/pdf_file/CSPLA%20-%20CR%20s%C3%A9ance%2015.12.2025%20%284%29.pdf?inLanguage=fre-FR&amp;version=1))</w:t>
      </w:r>
    </w:p>
    <w:p>
      <w:pPr>
        <w:spacing w:after="180" w:line="300"/>
        <w:jc w:val="both"/>
      </w:pPr>
      <w:r>
        <w:t xml:space="preserve">Les échanges font ressortir l’opposition entre, d’une part, les ayants droit, qui soulignent les difficultés de preuve de l’utilisation des œuvres, les limites pratiques de l’opt-out et la rareté des négociations, et, d’autre part, les développeurs, invoquant notamment la possibilité de recourir à l’exception de fouille de textes et de données. Le compte rendu relève que les accords demeuraient principalement concentrés dans la presse et que les mécanismes techniques de réservation des droits apparaissaient inadaptés à plusieurs secteurs culturels. ([culture.gouv.fr](https://www.culture.gouv.fr/mc/content/download/393318/pdf_file/CSPLA%20-%20CR%20s%C3%A9ance%2015.12.2025%20%284%29.pdf?inLanguage=fre-FR&amp;version=1))</w:t>
      </w:r>
    </w:p>
    <w:p>
      <w:pPr>
        <w:spacing w:after="180" w:line="300"/>
        <w:jc w:val="both"/>
      </w:pPr>
      <w:r>
        <w:t xml:space="preserve">Aucune question de droit n’est tranchée par le CSPLA dans ce compte rendu. Les travaux ont néanmoins porté, notamment, sur la détermination de la loi applicable aux reproductions effectuées lors de l’entraînement de modèles commercialisés dans l’Union européenne, ainsi que sur la protection et l’encadrement des contenus générés par IA.</w:t>
      </w:r>
    </w:p>
    <w:p>
      <w:pPr>
        <w:spacing w:after="180" w:line="300"/>
        <w:jc w:val="both"/>
      </w:pPr>
      <w:r>
        <w:t xml:space="preserve">Le rapport présenté par Tristan Azzi et Yves El Hage retient que l’entraînement et l’exploitation du modèle forment une chaîne continue. Sur le fondement de la lex loci protectionis et de l’analyse du délit complexe, il privilégie la loi du ou des marchés où le modèle est commercialisé et utilisé, plutôt que celle du lieu techniquement incertain des reproductions. Le considérant 106 du règlement européen sur l’IA est regardé comme un élément interprétatif important, sans constituer une règle autonome de conflit de lois. ([culture.gouv.fr](https://www.culture.gouv.fr/mc/content/download/393318/pdf_file/CSPLA%20-%20CR%20s%C3%A9ance%2015.12.2025%20%284%29.pdf?inLanguage=fre-FR&amp;version=1))</w:t>
      </w:r>
    </w:p>
    <w:p>
      <w:pPr>
        <w:spacing w:after="180" w:line="300"/>
        <w:jc w:val="both"/>
      </w:pPr>
      <w:r>
        <w:t xml:space="preserve">La séance n’a donné lieu à l’adoption d’aucune recommandation ni mesure normative définitive. Elle confirme la poursuite des missions relatives aux hypertrucages, au statut des contenus générés par IA et à l’attribution des œuvres et prestations artistiques. Les rapporteurs de la mission sur les hypertrucages précisent qu’aucune proposition définitive n’est encore arrêtée. ([culture.gouv.fr](https://www.culture.gouv.fr/mc/content/download/393318/pdf_file/CSPLA%20-%20CR%20s%C3%A9ance%2015.12.2025%20%284%29.pdf?inLanguage=fre-FR&amp;version=1))</w:t>
      </w:r>
    </w:p>
    <w:p>
      <w:pPr>
        <w:pBdr>
          <w:left w:val="single" w:color="507D82" w:sz="10" w:space="8"/>
        </w:pBdr>
        <w:spacing w:after="260" w:before="80"/>
        <w:ind w:left="180"/>
        <w:jc w:val="both"/>
      </w:pPr>
      <w:r>
        <w:rPr>
          <w:b/>
          <w:bCs/>
        </w:rPr>
        <w:t xml:space="preserve">Portée pratique. </w:t>
      </w:r>
      <w:r>
        <w:t xml:space="preserve">Pour les titulaires de droits, le document confirme l’intérêt de documenter les réservations de droits, les démarches de négociation et les éléments susceptibles d’établir l’utilisation des contenus lors de l’entraînement. Pour les fournisseurs de modèles commercialisés dans l’Union, l’analyse exposée par la mission de droit international privé renforce le risque que les règles du marché visé soient mobilisées dans un litige. Les entreprises utilisant l’IA devront également suivre les travaux sur l’originalité des créations assistées, les contenus synthétiques, la contrefaçon, les droits de la personnalité, la responsabilité et les obligations de transparence. ([culture.gouv.fr](https://www.culture.gouv.fr/mc/content/download/393318/pdf_file/CSPLA%20-%20CR%20s%C3%A9ance%2015.12.2025%20%284%29.pdf?inLanguage=fre-FR&amp;version=1))</w:t>
      </w:r>
    </w:p>
    <w:p>
      <w:pPr>
        <w:pStyle w:val="Heading2"/>
        <w:keepNext/>
        <w:spacing w:after="100" w:before="180"/>
      </w:pPr>
      <w:r>
        <w:rPr>
          <w:b/>
          <w:bCs/>
          <w:u w:val="single"/>
        </w:rPr>
        <w:t xml:space="preserve">Contrat d’édition : adoption sénatoriale en première lecture d’une proposition de loi relative aux filières du livre et de l’œuvre musicale et à l’exception handicap</w:t>
      </w:r>
    </w:p>
    <w:p>
      <w:pPr>
        <w:spacing w:after="240"/>
      </w:pPr>
      <w:hyperlink w:history="1" r:id="rIdz383t0b6l4npxosex2uv2">
        <w:r>
          <w:rPr>
            <w:color w:val="507D82"/>
            <w:u w:val="single"/>
          </w:rPr>
          <w:t xml:space="preserve">Sénat, texte n° 132 (2025-2026), adopté en première lecture le 10 juin 2026, 10/06/2026</w:t>
        </w:r>
      </w:hyperlink>
    </w:p>
    <w:p>
      <w:pPr>
        <w:spacing w:after="180" w:line="300"/>
        <w:jc w:val="both"/>
      </w:pPr>
      <w:r>
        <w:t xml:space="preserve">Le texte n° 132, adopté par le Sénat le 10 juin 2026 selon la procédure accélérée, transpose dans le code de la propriété intellectuelle plusieurs pratiques issues des filières du livre et de la musique. Il vise également à simplifier le régime de l’exception au droit d’auteur en faveur des personnes en situation de handicap. ([senat.fr](https://www.senat.fr/leg/tas25-132.html))</w:t>
      </w:r>
    </w:p>
    <w:p>
      <w:pPr>
        <w:spacing w:after="180" w:line="300"/>
        <w:jc w:val="both"/>
      </w:pPr>
      <w:r>
        <w:t xml:space="preserve">La proposition de loi n° 522 rectifiée a été déposée au Sénat le 4 avril 2025. Après l’adoption du texte par le Sénat en première lecture le 10 juin 2026, celui-ci a été transmis à l’Assemblée nationale le 11 juin 2026. Le dossier sénatorial, mis à jour le 14 août 2026, ne fait apparaître à ce stade aucune étape ultérieure. ([senat.fr](https://www.senat.fr/dossier-legislatif/ppl24-522.html))</w:t>
      </w:r>
    </w:p>
    <w:p>
      <w:pPr>
        <w:spacing w:after="180" w:line="300"/>
        <w:jc w:val="both"/>
      </w:pPr>
      <w:r>
        <w:t xml:space="preserve">Il ne s’agit pas d’un contentieux. Le texte soumis au Sénat et le texte adopté ont pour objet de donner une assise législative à des règles sectorielles relatives aux rapports entre auteurs et éditeurs, ainsi que d’aménager les modalités opérationnelles de l’exception handicap. Les arguments développés lors des débats ne sont pas analysés dans la présente fiche.</w:t>
      </w:r>
    </w:p>
    <w:p>
      <w:pPr>
        <w:spacing w:after="180" w:line="300"/>
        <w:jc w:val="both"/>
      </w:pPr>
      <w:r>
        <w:t xml:space="preserve">La question traitée par le législateur est celle de l’intégration, au sein du code de la propriété intellectuelle, de garanties contractuelles applicables aux contrats d’édition de livres et aux contrats de cession et d’édition d’œuvres musicales, ainsi que de la sécurisation de la chaîne de mise à disposition des fichiers numériques nécessaires à la production de documents adaptés.</w:t>
      </w:r>
    </w:p>
    <w:p>
      <w:pPr>
        <w:spacing w:after="180" w:line="300"/>
        <w:jc w:val="both"/>
      </w:pPr>
      <w:r>
        <w:t xml:space="preserve">Le texte adopté prévoit, pour l’édition de livres, un minimum de droits d’auteur garantis, une assiette de rémunération fondée sur les sommes brutes encaissées en cas de cession à un tiers, et l’exigence d’une annexe distincte pour le droit de préférence. Il instaure une reddition des comptes semestrielle, encadre l’information sur les sous-cessions et les traductions, organise la rémunération lors de l’écoulement des invendus et précise les obligations de l’éditeur à la cessation du contrat. ([senat.fr](https://www.senat.fr/leg/tas25-132.html)) Pour la musique, il prévoit notamment une reddition semestrielle, des mécanismes de résiliation de plein droit et la possibilité de rendre obligatoire un accord professionnel, à défaut duquel un décret en Conseil d’État fixerait les modalités d’application. ([senat.fr](https://www.senat.fr/leg/tas25-132.html))</w:t>
      </w:r>
    </w:p>
    <w:p>
      <w:pPr>
        <w:spacing w:after="180" w:line="300"/>
        <w:jc w:val="both"/>
      </w:pPr>
      <w:r>
        <w:t xml:space="preserve">L’article 3 réécrit l’article L. 122-5-1 du code de la propriété intellectuelle. Il maintient une liste d’entités autorisées et prévoit un agrément pour l’accès, auprès de la Bibliothèque nationale de France, aux fichiers numériques déposés par les éditeurs. Le texte renforce les exigences de confidentialité, de sécurisation et de protection contre la dissémination liée à l’utilisation de l’intelligence artificielle ; il étend aussi les possibilités de saisine de l’Arcom. Certaines mesures applicables aux contrats en cours sont différées ou subordonnées à la détermination de leurs modalités d’application. ([senat.fr](https://www.senat.fr/leg/tas25-132.html))</w:t>
      </w:r>
    </w:p>
    <w:p>
      <w:pPr>
        <w:pBdr>
          <w:left w:val="single" w:color="507D82" w:sz="10" w:space="8"/>
        </w:pBdr>
        <w:spacing w:after="260" w:before="80"/>
        <w:ind w:left="180"/>
        <w:jc w:val="both"/>
      </w:pPr>
      <w:r>
        <w:rPr>
          <w:b/>
          <w:bCs/>
        </w:rPr>
        <w:t xml:space="preserve">Portée pratique. </w:t>
      </w:r>
      <w:r>
        <w:t xml:space="preserve">Si le texte était définitivement adopté, les éditeurs devraient réexaminer leurs modèles contractuels, leurs calendriers de reddition, leurs procédures de sous-cession, de gestion des invendus et de fin d’exploitation. Les acteurs de l’édition musicale devraient également anticiper les obligations de transparence et de résiliation. Les éditeurs et entités autorisées intervenant dans l’exception handicap devraient adapter leurs processus de dépôt, d’accès, de conservation et de sécurisation des fichiers numériques.</w:t>
      </w:r>
    </w:p>
    <w:p>
      <w:pPr>
        <w:pStyle w:val="Heading2"/>
        <w:keepNext/>
        <w:spacing w:after="100" w:before="180"/>
      </w:pPr>
      <w:r>
        <w:rPr>
          <w:b/>
          <w:bCs/>
          <w:u w:val="single"/>
        </w:rPr>
        <w:t xml:space="preserve">Renforcement des mécanismes administratifs, civils et pénaux de lutte contre le piratage des contenus sportifs</w:t>
      </w:r>
    </w:p>
    <w:p>
      <w:pPr>
        <w:spacing w:after="240"/>
      </w:pPr>
      <w:hyperlink w:history="1" r:id="rId4pmd4q7zpfhxykiy7x-jz">
        <w:r>
          <w:rPr>
            <w:color w:val="507D82"/>
            <w:u w:val="single"/>
          </w:rPr>
          <w:t xml:space="preserve">Loi n° 2026-725 du 3 août 2026, art. 31 à 34, 04/08/2026</w:t>
        </w:r>
      </w:hyperlink>
    </w:p>
    <w:p>
      <w:pPr>
        <w:spacing w:after="180" w:line="300"/>
        <w:jc w:val="both"/>
      </w:pPr>
      <w:r>
        <w:t xml:space="preserve">Publiée au Journal officiel du 4 août 2026, la loi n° 2026-725 consacre son chapitre III au renforcement de la lutte contre le piratage des contenus sportifs. Les articles 31 à 34 modifient principalement le code du sport et le code de la propriété intellectuelle afin d’accroître l’effectivité des mesures de blocage pendant les retransmissions en direct, d’élargir le champ des bénéficiaires du dispositif et de compléter l’arsenal répressif. ([legifrance.gouv.fr](https://www.legifrance.gouv.fr/jorf/id/JORFSCTA000054608061))</w:t>
      </w:r>
    </w:p>
    <w:p>
      <w:pPr>
        <w:spacing w:after="180" w:line="300"/>
        <w:jc w:val="both"/>
      </w:pPr>
      <w:r>
        <w:t xml:space="preserve">Sans objet. La présente fiche porte sur une évolution législative et non sur une décision juridictionnelle. Le texte a été promulgué le 3 août 2026 et publié au Journal officiel du 4 août 2026. ([legifrance.gouv.fr](https://www.legifrance.gouv.fr/jorf/id/JORFSCTA000054608061))</w:t>
      </w:r>
    </w:p>
    <w:p>
      <w:pPr>
        <w:spacing w:after="180" w:line="300"/>
        <w:jc w:val="both"/>
      </w:pPr>
      <w:r>
        <w:t xml:space="preserve">Sans objet. Les articles examinés ne tranchent pas un litige et ne reproduisent pas d’arguments de parties.</w:t>
      </w:r>
    </w:p>
    <w:p>
      <w:pPr>
        <w:spacing w:after="180" w:line="300"/>
        <w:jc w:val="both"/>
      </w:pPr>
      <w:r>
        <w:t xml:space="preserve">Sans objet. La loi traite, sur le plan normatif, des modalités de prévention, de cessation et de répression des atteintes aux droits d’exploitation audiovisuelle de compétitions et manifestations sportives.</w:t>
      </w:r>
    </w:p>
    <w:p>
      <w:pPr>
        <w:spacing w:after="180" w:line="300"/>
        <w:jc w:val="both"/>
      </w:pPr>
      <w:r>
        <w:t xml:space="preserve">L’article 31 étend le champ de l’article L. 333-10 du code du sport aux sociétés commerciales créées pour l’exploitation des droits audiovisuels et aux personnes morales, françaises ou étrangères, organisant une compétition ou commercialisant ou exploitant ces droits. Il instaure un mécanisme de blocage dynamique : lorsqu’une ordonnance le prévoit, les titulaires de droits transmettent à l’Arcom, via un système automatisé placé sous son contrôle, les données d’identification de services non identifiés lors du prononcé de l’ordonnance. Les personnes visées par celle-ci doivent exécuter sans délai les mesures ordonnées durant la retransmission en direct. Le dispositif est assorti d’obligations de preuve, d’actualisation des données et de demande de levée du blocage lorsque celles-ci ne sont plus actives ou ont changé d’objet. L’Arcom contrôle les modalités de collecte, peut suspendre une mesure non conforme, formuler des préconisations puis enjoindre au titulaire de droits d’interrompre ses transmissions. Un recours administratif est ouvert au service concerné et les litiges entre titulaires de droits et personnes assujetties à l’ordonnance relèvent du président du tribunal judiciaire. ([legifrance.gouv.fr](https://www.legifrance.gouv.fr/jorf/id/JORFSCTA000054608061))</w:t>
      </w:r>
    </w:p>
    <w:p>
      <w:pPr>
        <w:spacing w:after="180" w:line="300"/>
        <w:jc w:val="both"/>
      </w:pPr>
      <w:r>
        <w:t xml:space="preserve">La loi crée également les articles L. 333-13 à L. 333-15 du code du sport. Sont notamment incriminés la mise à disposition d’un service diffusant illicitement une compétition, la communication habituelle de retransmissions non autorisées par une plateforme, ainsi que certains dispositifs ou logiciels destinés à permettre l’accès illégal aux services concernés. Les peines de principe sont de trois ans d’emprisonnement et 300 000 euros d’amende, portées à sept ans et 750 000 euros en bande organisée. L’incitation à l’usage de tels services, dispositifs ou logiciels est également réprimée. Les articles 32 et 33 étendent aux droits sportifs concernés le champ de certaines dispositions du code de la propriété intellectuelle relatives à l’action de l’Arcom. ([legifrance.gouv.fr](https://www.legifrance.gouv.fr/jorf/id/JORFSCTA000054608061))</w:t>
      </w:r>
    </w:p>
    <w:p>
      <w:pPr>
        <w:pBdr>
          <w:left w:val="single" w:color="507D82" w:sz="10" w:space="8"/>
        </w:pBdr>
        <w:spacing w:after="260" w:before="80"/>
        <w:ind w:left="180"/>
        <w:jc w:val="both"/>
      </w:pPr>
      <w:r>
        <w:rPr>
          <w:b/>
          <w:bCs/>
        </w:rPr>
        <w:t xml:space="preserve">Portée pratique. </w:t>
      </w:r>
      <w:r>
        <w:t xml:space="preserve">Les titulaires de droits, diffuseurs exclusifs, ligues et sociétés commerciales concernées devront sécuriser leurs procédures de détection, de qualification et de conservation des preuves, ainsi que leurs circuits de transmission à l’Arcom. Les intermédiaires désignés par une ordonnance de blocage s’exposent désormais à une sanction administrative pouvant atteindre 75 000 euros ou 1 % du chiffre d’affaires mondial hors taxes, seuil doublé en cas de réitération. Les accords volontaires encouragés par l’Arcom devront en outre répartir le coût des mesures et prévoir leur évaluation périodique. Les dispositions des articles L. 333-10 à L. 333-15 sont rendues applicables en Nouvelle-Calédonie, en Polynésie française et dans les îles Wallis-et-Futuna. ([legifrance.gouv.fr](https://www.legifrance.gouv.fr/jorf/id/JORFSCTA000054608061))</w:t>
      </w:r>
    </w:p>
    <w:p>
      <w:pPr>
        <w:pStyle w:val="Heading2"/>
        <w:keepNext/>
        <w:spacing w:after="100" w:before="180"/>
      </w:pPr>
      <w:r>
        <w:rPr>
          <w:b/>
          <w:bCs/>
          <w:u w:val="single"/>
        </w:rPr>
        <w:t xml:space="preserve">Décision n° EX-26-07 du directeur exécutif de l’EUIPO concernant les registres des marques et dessins ou modèles de l’Union européenne, les bases de données des procédures et de la jurisprudence</w:t>
      </w:r>
    </w:p>
    <w:p>
      <w:pPr>
        <w:spacing w:after="240"/>
      </w:pPr>
      <w:hyperlink w:history="1" r:id="rIdfzwoyjeawnbth9q1ty7--">
        <w:r>
          <w:rPr>
            <w:color w:val="507D82"/>
            <w:u w:val="single"/>
          </w:rPr>
          <w:t xml:space="preserve">EUIPO, décision n° EX-26-07 du directeur exécutif, 8 juin 2026, 2026-06-08</w:t>
        </w:r>
      </w:hyperlink>
    </w:p>
    <w:p>
      <w:pPr>
        <w:spacing w:after="180" w:line="300"/>
        <w:jc w:val="both"/>
      </w:pPr>
      <w:r>
        <w:t xml:space="preserve">Adoptée le 8 juin 2026, la décision n° EX-26-07 précise les modalités de tenue, de consultation et d’exploitation des principales sources d’information de l’EUIPO relatives aux marques de l’Union européenne et aux dessins ou modèles de l’Union européenne. Elle s’inscrit dans le cadre du règlement (UE) 2017/1001 sur la marque de l’Union européenne et du règlement (UE) 2026/715 sur les dessins ou modèles de l’Union européenne. Le texte vise la transparence, la prévisibilité et la cohérence des systèmes de titres unitaires administrés par l’Office.</w:t>
      </w:r>
    </w:p>
    <w:p>
      <w:pPr>
        <w:spacing w:after="180" w:line="300"/>
        <w:jc w:val="both"/>
      </w:pPr>
      <w:r>
        <w:t xml:space="preserve">Il ne s’agit pas d’une décision contentieuse. Le directeur exécutif exerce son pouvoir d’organisation des registres et bases de données afin, notamment, d’intégrer les références et la terminologie résultant du nouveau règlement sur les dessins ou modèles de l’Union européenne. La décision EX-25-5 du 7 avril 2025 et ses annexes I et II sont expressément abrogées.</w:t>
      </w:r>
    </w:p>
    <w:p>
      <w:pPr>
        <w:spacing w:after="180" w:line="300"/>
        <w:jc w:val="both"/>
      </w:pPr>
      <w:r>
        <w:t xml:space="preserve">Aucune partie ni argumentation contradictoire ne sont en cause. La décision repose sur les considérants du directeur exécutif relatifs à l’accès des utilisateurs aux informations pertinentes sur les titres, aux fonctions distinctes des registres et des bases de données, ainsi qu’à la nécessité de protéger les intérêts des tiers consultant les registres.</w:t>
      </w:r>
    </w:p>
    <w:p>
      <w:pPr>
        <w:spacing w:after="180" w:line="300"/>
        <w:jc w:val="both"/>
      </w:pPr>
      <w:r>
        <w:t xml:space="preserve">La décision détermine les données devant figurer dans les registres électroniques de l’EUIPO, les conditions de leur accessibilité, les modalités de délivrance des extraits, le périmètre de la base de données des procédures et les règles de publication de la jurisprudence, y compris au regard des données à caractère personnel.</w:t>
      </w:r>
    </w:p>
    <w:p>
      <w:pPr>
        <w:spacing w:after="180" w:line="300"/>
        <w:jc w:val="both"/>
      </w:pPr>
      <w:r>
        <w:t xml:space="preserve">Le texte distingue les registres, qui constituent le relevé officiel des inscriptions relatives à un titre déterminé, de la base de données des particularités des titres et procédures, ces instruments remplissant des fonctions différentes et contenant des ensembles de données distincts. Les inscriptions sont centralisées dans l’eRegister, avec une interface publique permettant une présentation chronologique à vocation historique. Pour les marques, les inscriptions deviennent accessibles lorsque la demande est réputée déposée ; pour les dessins ou modèles, elles le deviennent lors de l’enregistrement. Les informations détaillées affichées dans l’eRegister ne sont toutefois complètes que pour les données enregistrées à compter du 31 mars 2021 ; l’inspection en ligne des dossiers demeure disponible gratuitement pour obtenir des précisions, notamment sur les inscriptions antérieures. La décision prévoit également des inscriptions protectrices résultant de mesures judiciaires, administratives ou européennes susceptibles de geler le titre et d’empêcher certaines opérations, telles qu’un transfert.</w:t>
      </w:r>
    </w:p>
    <w:p>
      <w:pPr>
        <w:spacing w:after="180" w:line="300"/>
        <w:jc w:val="both"/>
      </w:pPr>
      <w:r>
        <w:t xml:space="preserve">L’eRegister est accessible via eSearch plus, sauf pour les dessins ou modèles faisant l’objet d’un ajournement de publication, dont les données ne deviennent pleinement publiques qu’à l’expiration de cet ajournement. Les extraits téléchargés depuis l’eRegister sont, par défaut, certifiés et assortis d’un code permettant d’en vérifier l’authenticité en ligne. La base de données intégrée à eSearch plus est gratuite et téléchargeable ; son accès massif peut être soumis à un accord avec l’Office. Les données personnelles complémentaires, telles que les coordonnées des parties et représentants, ne sont rendues publiques qu’avec le consentement exprès de la personne concernée.</w:t>
      </w:r>
    </w:p>
    <w:p>
      <w:pPr>
        <w:pBdr>
          <w:left w:val="single" w:color="507D82" w:sz="10" w:space="8"/>
        </w:pBdr>
        <w:spacing w:after="260" w:before="80"/>
        <w:ind w:left="180"/>
        <w:jc w:val="both"/>
      </w:pPr>
      <w:r>
        <w:rPr>
          <w:b/>
          <w:bCs/>
        </w:rPr>
        <w:t xml:space="preserve">Portée pratique. </w:t>
      </w:r>
      <w:r>
        <w:t xml:space="preserve">La décision entre en vigueur le 1er juillet 2026. Les praticiens disposent ainsi d’un cadre explicite pour vérifier l’état et l’historique d’un titre, obtenir gratuitement un extrait certifié en ligne et identifier d’éventuelles inscriptions protectrices affectant sa disponibilité ou sa transmissibilité. Les utilisateurs recourant à des extractions massives devront distinguer les jeux de données ouverts, qui excluent les données personnelles visées par la décision, des accès contractuels proposés par l’Office. Les annexes I et II déterminent les informations visibles dans les inscriptions respectivement relatives aux marques et aux dessins ou modèles.</w:t>
      </w:r>
    </w:p>
    <w:p>
      <w:pPr>
        <w:spacing w:after="140" w:before="260"/>
      </w:pPr>
      <w:r>
        <w:rPr>
          <w:i/>
          <w:iCs/>
          <w:color w:val="666666"/>
          <w:sz w:val="18"/>
          <w:szCs w:val="18"/>
        </w:rPr>
        <w:t xml:space="preserve">Sélection fondée sur les URL primaires vérifiables des sources contrôlées. La veille privilégie les textes et décisions directement exploitables, avec un équilibre entre marques, dessins et modèles, brevets, droit d’auteur, IA et numérique. Les résultats CJUE et les alertes Google insuffisamment documentés n’ont pas été retenus.</w:t>
      </w:r>
    </w:p>
    <w:sectPr>
      <w:footerReference w:type="default" r:id="rId7"/>
      <w:pgSz w:w="11906" w:h="16838" w:orient="portrait"/>
      <w:pgMar w:top="102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Veille IP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71717"/>
      <w:sz w:val="24"/>
      <w:szCs w:val="24"/>
    </w:rPr>
  </w:style>
  <w:style w:type="paragraph" w:styleId="Heading2">
    <w:name w:val="Heading 2"/>
    <w:basedOn w:val="Normal"/>
    <w:next w:val="Normal"/>
    <w:qFormat/>
    <w:rPr>
      <w:rFonts w:ascii="Arial" w:cs="Arial" w:eastAsia="Arial" w:hAnsi="Arial"/>
      <w:b/>
      <w:bCs/>
      <w:color w:val="1717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q8bggdfug5uc8kp6-mq9" Type="http://schemas.openxmlformats.org/officeDocument/2006/relationships/hyperlink" Target="https://www.epo.org/boards-of-appeal/decisions/pdf/t240918eu1.pdf" TargetMode="External"/><Relationship Id="rIdjbikttcmi0sd8-myhvb9k" Type="http://schemas.openxmlformats.org/officeDocument/2006/relationships/hyperlink" Target="https://www.courdecassation.fr/decision/6a7a1a56195da062e03bb62f" TargetMode="External"/><Relationship Id="rId5xyedcgcsz6hpsedpyk2j" Type="http://schemas.openxmlformats.org/officeDocument/2006/relationships/hyperlink" Target="https://www.culture.gouv.fr/mc/content/download/393318/pdf_file/CSPLA%20-%20CR%20s%C3%A9ance%2015.12.2025%20%284%29.pdf?inLanguage=fre-FR&amp;version=1" TargetMode="External"/><Relationship Id="rIdz383t0b6l4npxosex2uv2" Type="http://schemas.openxmlformats.org/officeDocument/2006/relationships/hyperlink" Target="https://www.senat.fr/leg/tas25-132.html" TargetMode="External"/><Relationship Id="rId4pmd4q7zpfhxykiy7x-jz" Type="http://schemas.openxmlformats.org/officeDocument/2006/relationships/hyperlink" Target="https://www.legifrance.gouv.fr/jorf/id/JORFSCTA000054608061" TargetMode="External"/><Relationship Id="rIdfzwoyjeawnbth9q1ty7--" Type="http://schemas.openxmlformats.org/officeDocument/2006/relationships/hyperlink" Target="https://euipo.europa.eu/tunnel-web/secure/webdav/guest/document_library/contentPdfs/law_and_practice/decisions_president/EX-26-7_en.pdf"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Propriété intellectuelle – 25 août – 1er septembre 2026</dc:title>
  <dc:creator>Veille IP DLA</dc:creator>
  <dc:description>Veille hebdomadaire de propriété intellectuelle</dc:description>
  <cp:lastModifiedBy>Un-named</cp:lastModifiedBy>
  <cp:revision>1</cp:revision>
  <dcterms:created xsi:type="dcterms:W3CDTF">2026-09-01T12:50:14.054Z</dcterms:created>
  <dcterms:modified xsi:type="dcterms:W3CDTF">2026-09-01T12:50:14.054Z</dcterms:modified>
</cp:coreProperties>
</file>

<file path=docProps/custom.xml><?xml version="1.0" encoding="utf-8"?>
<Properties xmlns="http://schemas.openxmlformats.org/officeDocument/2006/custom-properties" xmlns:vt="http://schemas.openxmlformats.org/officeDocument/2006/docPropsVTypes"/>
</file>