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32"/>
          <w:szCs w:val="32"/>
        </w:rPr>
        <w:t xml:space="preserve">Veille Propriété intellectuelle</w:t>
      </w:r>
    </w:p>
    <w:p>
      <w:pPr>
        <w:spacing w:after="420"/>
        <w:jc w:val="center"/>
      </w:pPr>
      <w:r>
        <w:rPr>
          <w:rFonts w:ascii="Arial" w:cs="Arial" w:eastAsia="Arial" w:hAnsi="Arial"/>
          <w:sz w:val="22"/>
          <w:szCs w:val="22"/>
        </w:rPr>
        <w:t xml:space="preserve">19 septembre 2026</w:t>
      </w:r>
    </w:p>
    <w:p>
      <w:pPr>
        <w:pStyle w:val="Heading1"/>
        <w:pBdr>
          <w:bottom w:val="single" w:color="222222" w:sz="6" w:space="6"/>
        </w:pBdr>
        <w:spacing w:after="180" w:before="240"/>
      </w:pPr>
      <w:r>
        <w:rPr>
          <w:b/>
          <w:bCs/>
        </w:rPr>
        <w:t xml:space="preserve">JURISPRUDENCES</w:t>
      </w:r>
    </w:p>
    <w:p>
      <w:pPr>
        <w:pStyle w:val="Heading2"/>
        <w:keepNext/>
        <w:spacing w:after="100" w:before="180"/>
      </w:pPr>
      <w:r>
        <w:rPr>
          <w:b/>
          <w:bCs/>
          <w:color w:val="1F4E79"/>
        </w:rPr>
        <w:t xml:space="preserve">Marques : Le Tribunal confirme la nullité de la marque de l’Union européenne FITNESS pour des produits alimentaires et des boissons</w:t>
      </w: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c>
          <w:tcPr>
            <w:tcW w:type="dxa" w:w="9866"/>
            <w:tcBorders>
              <w:top w:val="single" w:color="7F7F7F" w:sz="6"/>
              <w:left w:val="single" w:color="7F7F7F" w:sz="6"/>
              <w:bottom w:val="none" w:color="FFFFFF" w:sz="0"/>
              <w:right w:val="single" w:color="7F7F7F" w:sz="6"/>
            </w:tcBorders>
            <w:tcMar>
              <w:top w:type="dxa" w:w="120"/>
              <w:left w:type="dxa" w:w="180"/>
              <w:bottom w:type="dxa" w:w="20"/>
              <w:right w:type="dxa" w:w="180"/>
            </w:tcMar>
          </w:tcPr>
          <w:p>
            <w:pPr>
              <w:keepNext/>
              <w:spacing w:after="240"/>
            </w:pPr>
            <w:hyperlink w:history="1" r:id="rIdaeqgpuvqe0gcjtcp_r0e8">
              <w:r>
                <w:rPr>
                  <w:color w:val="507D82"/>
                  <w:u w:val="single"/>
                </w:rPr>
                <w:t xml:space="preserve">EUR-Lex, arrêt du Tribunal de l’Union européenne dans l’affaire T-509/25, ECLI:EU:T:2026:573, 16 septembre 2026.</w:t>
              </w:r>
            </w:hyperlink>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Next/>
              <w:spacing w:after="70" w:line="252"/>
              <w:jc w:val="left"/>
            </w:pPr>
            <w:r>
              <w:t xml:space="preserve">La cinquième chambre de recours de l’EUIPO adopte, dans l’affaire R 894/2020-5, la décision ultérieurement contestée devant le Tribunal. </w:t>
            </w:r>
            <w:r>
              <w:rPr>
                <w:i/>
                <w:iCs/>
                <w:color w:val="666666"/>
              </w:rPr>
              <w:t xml:space="preserve">(26 mai 2025)</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Next/>
              <w:spacing w:after="70" w:line="252"/>
              <w:jc w:val="left"/>
            </w:pPr>
            <w:r>
              <w:t xml:space="preserve">→ Société des produits Nestlé introduit devant le Tribunal un recours en annulation contre la décision de la chambre de recours. </w:t>
            </w:r>
            <w:r>
              <w:rPr>
                <w:i/>
                <w:iCs/>
                <w:color w:val="666666"/>
              </w:rPr>
              <w:t xml:space="preserve">(28 juillet 2025)</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Next w:val="false"/>
              <w:spacing w:after="70" w:line="252"/>
              <w:jc w:val="left"/>
            </w:pPr>
            <w:r>
              <w:t xml:space="preserve">→ Le Tribunal, neuvième chambre, rejette le recours et statue sur les dépens. </w:t>
            </w:r>
            <w:r>
              <w:rPr>
                <w:i/>
                <w:iCs/>
                <w:color w:val="666666"/>
              </w:rPr>
              <w:t xml:space="preserve">(16 septembre 2026)</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Lines/>
              <w:spacing w:after="130" w:line="276"/>
              <w:jc w:val="both"/>
            </w:pPr>
            <w:r>
              <w:t xml:space="preserve">Par cet arrêt, le Tribunal apporte une nouvelle illustration du contrôle exercé sur l’appréciation du caractère descriptif d’une marque de l’Union européenne, dans le contexte particulier de la marque verbale FITNESS. Le litige opposait Société des produits Nestlé SA à l’Office de l’Union européenne pour la propriété intellectuelle, European Food SA étant intervenue à la procédure. Il mettait également en cause les conditions dans lesquelles la chambre de recours peut tenir compte d’éléments de preuve produits tardivement. Le Tribunal confirme, d’une part, que la décision de la division d’annulation était susceptible de constituer un élément nouveau justifiant la production ultérieure de pièces et, d’autre part, que le terme FITNESS pouvait être immédiatement compris comme descriptif de certaines qualités ou finalités de produits alimentaires et de boissons, eu égard à la forme physique ou à l’état de santé.</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Lines/>
              <w:spacing w:after="130" w:line="276"/>
              <w:jc w:val="both"/>
            </w:pPr>
            <w:r>
              <w:t xml:space="preserve">La requérante était titulaire de la marque de l’Union européenne verbale FITNESS, enregistrée sous le numéro 2 470 326. Cette marque faisait l’objet d’une procédure de déclaration de nullité engagée devant l’EUIPO. Le différend concernait notamment l’aptitude du terme à désigner, pour les produits visés, des caractéristiques tenant à la forme physique, à l’alimentation adaptée à celle-ci ou à l’état de santé. À l’issue de la procédure administrative, la cinquième chambre de recours de l’EUIPO a rendu la décision attaquée dans l’affaire R 894/2020-5. Société des produits Nestlé a alors saisi le Tribunal d’un recours en annulation. Devant celui-ci, elle contestait notamment la prise en compte, par la chambre de recours, d’éléments de preuve produits pour la première fois à ce stade de la procédure. Le Tribunal était ainsi appelé à contrôler tant la régularité de l’exercice du pouvoir d’appréciation de la chambre de recours que le bien-fondé de l’appréciation du caractère descriptif du signe.</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Lines/>
              <w:spacing w:after="130" w:line="276"/>
              <w:jc w:val="both"/>
            </w:pPr>
            <w:r>
              <w:t xml:space="preserve">Société des produits Nestlé soutenait, en substance, que les éléments de preuve soumis tardivement devant la chambre de recours n’auraient pas dû être admis. Elle remettait dès lors en cause l’application de l’article 76, paragraphe 2, du règlement no 207/2009, disposition permettant à l’EUIPO de ne pas tenir compte de faits ou de preuves invoqués tardivement. La requérante contestait également l’appréciation selon laquelle FITNESS présentait un caractère descriptif pour les produits concernés. L’EUIPO défendait la décision de la chambre de recours. European Food SA, autre partie à la procédure devant cette chambre et intervenante devant le Tribunal, a participé à la défense de la décision attaquée. Les modalités précises des autres arguments développés par les parties ne sont pas précisées dans les éléments vérifiés retenus pour la présente fiche.</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Lines/>
              <w:spacing w:after="130" w:line="276"/>
              <w:jc w:val="both"/>
            </w:pPr>
            <w:r>
              <w:t xml:space="preserve">Le Tribunal devait déterminer si la chambre de recours avait pu, sans méconnaître l’article 76, paragraphe 2, du règlement no 207/2009 ni commettre d’erreur manifeste d’appréciation, accepter des preuves présentées pour la première fois devant elle. Il devait également apprécier si, pour les produits alimentaires et les boissons en cause, la marque verbale FITNESS pouvait être perçue par le public pertinent comme indiquant directement une caractéristique, une qualité ou une finalité des produits, de sorte que le signe relevait du motif de nullité tiré de son caractère descriptif.</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Lines/>
              <w:spacing w:after="130" w:line="276"/>
              <w:jc w:val="both"/>
            </w:pPr>
            <w:r>
              <w:t xml:space="preserve">S’agissant de l’administration de la preuve, le Tribunal relève que la décision de la division d’annulation pouvait constituer un élément nouveau dans le déroulement de la procédure. Cette circonstance était de nature à justifier que des preuves supplémentaires fussent produites au stade du recours administratif. Le Tribunal juge ainsi que la chambre de recours n’a pas commis d’erreur de droit en acceptant ces éléments tardifs. Il considère également qu’aucune erreur manifeste d’appréciation ne peut être reprochée à cette dernière dans l’exercice de son pouvoir d’appréciation. Cette solution ne revient pas à consacrer une faculté générale de compléter librement le dossier à tout stade de la procédure. Elle repose sur l’existence d’un élément procédural concret, tenant à la décision rendue par l’instance de première instance de l’EUIPO, susceptible d’expliquer la production ultérieure des pièces litigieuses.</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Lines/>
              <w:spacing w:after="130" w:line="276"/>
              <w:jc w:val="both"/>
            </w:pPr>
            <w:r>
              <w:t xml:space="preserve">Sur le fond, le Tribunal confirme l’analyse selon laquelle le mot FITNESS était apte à être compris comme renvoyant à la forme physique ou à l’état de santé. Dans le contexte des produits alimentaires et des boissons visés, ce terme pouvait dès lors décrire certaines de leurs qualités ou finalités. L’appréciation s’attache ainsi à la perception du signe en relation avec les produits désignés, et non à son éventuelle capacité à distinguer, dans l’abstrait, une origine commerciale. Dès lors que le terme était susceptible de transmettre au public pertinent une information descriptive relative aux produits concernés, la chambre de recours pouvait valablement retenir le motif de nullité invoqué. Le Tribunal ne constate aucune erreur justifiant l’annulation de la décision administrative.</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Lines/>
              <w:spacing w:after="130" w:line="276"/>
              <w:jc w:val="both"/>
            </w:pPr>
            <w:r>
              <w:t xml:space="preserve">Le recours est rejeté dans son intégralité. Le Tribunal confirme donc la décision de la chambre de recours de l’EUIPO relative à la marque verbale FITNESS et valide tant l’admission des preuves tardivement présentées devant cette chambre que l’appréciation de son caractère descriptif pour les produits concernés. Chaque partie supporte ses propres dépens.</w:t>
            </w:r>
          </w:p>
        </w:tc>
      </w:tr>
      <w:tr>
        <w:tc>
          <w:tcPr>
            <w:tcW w:type="dxa" w:w="9866"/>
            <w:tcBorders>
              <w:top w:val="none" w:color="FFFFFF" w:sz="0"/>
              <w:left w:val="single" w:color="7F7F7F" w:sz="6"/>
              <w:bottom w:val="single" w:color="7F7F7F" w:sz="6"/>
              <w:right w:val="single" w:color="7F7F7F" w:sz="6"/>
            </w:tcBorders>
            <w:tcMar>
              <w:top w:type="dxa" w:w="20"/>
              <w:left w:type="dxa" w:w="180"/>
              <w:bottom w:type="dxa" w:w="120"/>
              <w:right w:type="dxa" w:w="180"/>
            </w:tcMar>
          </w:tcPr>
          <w:p>
            <w:pPr>
              <w:pBdr>
                <w:left w:val="single" w:color="507D82" w:sz="10" w:space="8"/>
              </w:pBdr>
              <w:spacing w:after="260" w:before="80"/>
              <w:ind w:left="180"/>
              <w:jc w:val="both"/>
            </w:pPr>
            <w:r>
              <w:rPr>
                <w:b/>
                <w:bCs/>
              </w:rPr>
              <w:t xml:space="preserve">Portée pratique. </w:t>
            </w:r>
            <w:r>
              <w:t xml:space="preserve">L’arrêt rappelle que la production d’éléments de preuve au stade du recours devant l’EUIPO demeure soumise au contrôle du pouvoir d’appréciation prévu par le règlement no 207/2009. Une décision de l’instance de première instance peut néanmoins constituer un élément nouveau justifiant utilement un complément probatoire devant la chambre de recours. Pour les titulaires comme pour les demandeurs en nullité, la décision souligne l’importance de rattacher précisément toute production tardive à l’évolution procédurale du litige. Sur le terrain du caractère descriptif, elle confirme qu’un terme évoquant la forme physique ou la santé peut être regardé comme descriptif lorsqu’il est appliqué à des produits alimentaires ou à des boissons et qu’il renseigne le public sur certaines qualités ou finalités de ces produits. L’analyse doit donc être conduite au regard de la perception du public pertinent et de la relation suffisamment directe entre le signe et les produits effectivement visés.</w:t>
            </w:r>
          </w:p>
        </w:tc>
      </w:tr>
    </w:tbl>
    <w:p>
      <w:pPr>
        <w:pStyle w:val="Heading1"/>
        <w:pBdr>
          <w:bottom w:val="single" w:color="222222" w:sz="6" w:space="6"/>
        </w:pBdr>
        <w:spacing w:after="180" w:before="300"/>
      </w:pPr>
      <w:r>
        <w:rPr>
          <w:b/>
          <w:bCs/>
        </w:rPr>
        <w:t xml:space="preserve">ACTUALITÉS</w:t>
      </w:r>
    </w:p>
    <w:p>
      <w:pPr>
        <w:pStyle w:val="Heading2"/>
        <w:keepNext/>
        <w:spacing w:after="100" w:before="180"/>
      </w:pPr>
      <w:r>
        <w:rPr>
          <w:b/>
          <w:bCs/>
          <w:color w:val="1F4E79"/>
        </w:rPr>
        <w:t xml:space="preserve">L’OMPI examine les options relatives à la brevetabilité et à la qualité d’inventeur en présence d’intelligence artificielle</w:t>
      </w:r>
    </w:p>
    <w:p>
      <w:pPr>
        <w:keepNext/>
        <w:spacing w:after="240"/>
      </w:pPr>
      <w:hyperlink w:history="1" r:id="rIdbedf5pydt31uwoe44pmx1">
        <w:r>
          <w:rPr>
            <w:color w:val="507D82"/>
            <w:u w:val="single"/>
          </w:rPr>
          <w:t xml:space="preserve">OMPI, SCP/38/6, Report on the Expert Exchange on Legal and Policy Options in the Areas of Patentability Criteria and AI Inventorship (SCP/37), and Summary of the Policy Options Based on Relevant WIPO Documents, 15 septembre 2026</w:t>
        </w:r>
      </w:hyperlink>
    </w:p>
    <w:p>
      <w:pPr>
        <w:keepLines/>
        <w:spacing w:after="130" w:line="276"/>
        <w:jc w:val="both"/>
      </w:pPr>
      <w:r>
        <w:rPr>
          <w:b/>
          <w:bCs/>
          <w:color w:val="1F4E79"/>
        </w:rPr>
        <w:t xml:space="preserve">Contexte. </w:t>
      </w:r>
      <w:r>
        <w:t xml:space="preserve">Préparé pour la trente-huitième session du Comité permanent du droit des brevets, le rapport SCP/38/6 rend compte de l’échange d’experts organisé le 5 novembre 2025 sur les options juridiques et politiques relatives aux critères de brevetabilité et à la qualité d’inventeur en présence d’intelligence artificielle. Les discussions, réunissant cinq experts sous la modération de Daryl Lim, portent tant sur les inventions relatives aux technologies d’intelligence artificielle que sur celles conçues avec son concours ou susceptibles d’être générées par elle.</w:t>
      </w:r>
    </w:p>
    <w:p>
      <w:pPr>
        <w:keepLines/>
        <w:spacing w:after="130" w:line="276"/>
        <w:jc w:val="both"/>
      </w:pPr>
      <w:r>
        <w:t xml:space="preserve">Le document examine l’application des exigences de nouveauté, d’activité inventive et d’applicabilité industrielle aux inventions liées à l’intelligence artificielle, ainsi que les exclusions visant notamment les méthodes mathématiques, algorithmes et programmes d’ordinateur. Il souligne les difficultés particulières que peut susciter l’appréciation de l’activité inventive lorsque l’intelligence artificielle intervient dans le processus inventif, notamment pour définir la personne du métier et apprécier le caractère évident de la solution revendiquée.</w:t>
      </w:r>
    </w:p>
    <w:p>
      <w:pPr>
        <w:keepLines/>
        <w:spacing w:after="130" w:line="276"/>
        <w:jc w:val="both"/>
      </w:pPr>
      <w:r>
        <w:t xml:space="preserve">S’agissant des inventions assistées par intelligence artificielle, la pratique recensée demeure fondée sur les critères ordinaires de détermination de l’inventeur et réserve cette qualité aux personnes physiques. Le rapport relève qu’aucune grande juridiction ayant examiné les demandes relatives au système DABUS ne l’a reconnu comme inventeur. Il expose néanmoins plusieurs voies de réflexion, incluant le maintien de cette approche, l’éventuelle désignation d’un système d’intelligence artificielle comme inventeur ou co-inventeur, la désignation d’un responsable humain ou moral, ou encore la création d’un régime sui generis. Il envisage également une obligation d’identifier ou de documenter l’usage de l’intelligence artificielle afin d’éclairer la contribution humaine et de renforcer la transparence du dossier.</w:t>
      </w:r>
    </w:p>
    <w:p>
      <w:pPr>
        <w:pBdr>
          <w:left w:val="single" w:color="507D82" w:sz="10" w:space="8"/>
        </w:pBdr>
        <w:spacing w:after="260" w:before="80"/>
        <w:ind w:left="180"/>
        <w:jc w:val="both"/>
      </w:pPr>
      <w:r>
        <w:t xml:space="preserve">Le rapport confirme que la pratique actuellement recensée réserve la qualité d’inventeur aux personnes physiques, tout en plaçant au centre des débats l’identification de la contribution humaine lorsque l’intelligence artificielle participe au processus inventif.</w:t>
      </w:r>
    </w:p>
    <w:p>
      <w:pPr>
        <w:pStyle w:val="Heading2"/>
        <w:keepNext/>
        <w:spacing w:after="100" w:before="180"/>
      </w:pPr>
      <w:r>
        <w:rPr>
          <w:b/>
          <w:bCs/>
          <w:color w:val="1F4E79"/>
        </w:rPr>
        <w:t xml:space="preserve">Révision du programme PACE d’accélération de la procédure de délivrance</w:t>
      </w:r>
    </w:p>
    <w:p>
      <w:pPr>
        <w:keepNext/>
        <w:spacing w:after="240"/>
      </w:pPr>
      <w:hyperlink w:history="1" r:id="rIdcwn042e9mkhcfepvqh97c">
        <w:r>
          <w:rPr>
            <w:color w:val="507D82"/>
            <w:u w:val="single"/>
          </w:rPr>
          <w:t xml:space="preserve">Avis de l’Office européen des brevets daté du 11 septembre 2026 relatif au programme PACE d’accélération de la procédure de délivrance des brevets européens, publication anticipée au Journal officiel de l’OEB, 15 septembre 2026.</w:t>
        </w:r>
      </w:hyperlink>
    </w:p>
    <w:p>
      <w:pPr>
        <w:keepLines/>
        <w:spacing w:after="130" w:line="276"/>
        <w:jc w:val="both"/>
      </w:pPr>
      <w:r>
        <w:rPr>
          <w:b/>
          <w:bCs/>
          <w:color w:val="1F4E79"/>
        </w:rPr>
        <w:t xml:space="preserve">Contexte. </w:t>
      </w:r>
      <w:r>
        <w:t xml:space="preserve">L’Office européen des brevets publie un avis remplaçant celui du 16 décembre 2025 relatif au programme PACE d’accélération de la procédure de délivrance. Depuis le 1er février 2026, ce programme est limité à la phase d’examen. L’avis révisé entrera en vigueur le 1er octobre 2026 et s’appliquera aux demandes PACE déposées à compter de cette date.</w:t>
      </w:r>
    </w:p>
    <w:p>
      <w:pPr>
        <w:keepLines/>
        <w:spacing w:after="130" w:line="276"/>
        <w:jc w:val="both"/>
      </w:pPr>
      <w:r>
        <w:t xml:space="preserve">La participation au programme demeure gratuite. La demande doit être présentée par écrit, une seule fois, et seulement après que la division d’examen est devenue compétente pour la demande concernée. Les requêtes individuelles peuvent être déposées au moyen du formulaire OEB 1005 ou de MyEPO. Les requêtes en nombre peuvent être introduites par la fonctionnalité dédiée de MyEPO.</w:t>
      </w:r>
    </w:p>
    <w:p>
      <w:pPr>
        <w:keepLines/>
        <w:spacing w:after="130" w:line="276"/>
        <w:jc w:val="both"/>
      </w:pPr>
      <w:r>
        <w:t xml:space="preserve">L’OEB indique qu’il s’efforcera d’émettre sa prochaine notification dans un délai de trois mois à compter de l’événement procédural pertinent le plus tardif visé par l’avis. Les règles révisées concernant le retrait d’une demande du programme et la suspension de l’accélération s’appliqueront également aux demandes déjà en instance à la date d’entrée en vigueur du programme révisé.</w:t>
      </w:r>
    </w:p>
    <w:p>
      <w:pPr>
        <w:pBdr>
          <w:left w:val="single" w:color="507D82" w:sz="10" w:space="8"/>
        </w:pBdr>
        <w:spacing w:after="260" w:before="80"/>
        <w:ind w:left="180"/>
        <w:jc w:val="both"/>
      </w:pPr>
      <w:r>
        <w:t xml:space="preserve">La demande PACE ne peut désormais être déposée qu’une seule fois et après la saisine de la division d’examen. La détermination de ce moment procédural revêt donc une importance particulière pour les titulaires souhaitant solliciter l’accélération.</w:t>
      </w:r>
    </w:p>
    <w:p>
      <w:pPr>
        <w:pStyle w:val="Heading2"/>
        <w:keepNext/>
        <w:spacing w:after="100" w:before="180"/>
      </w:pPr>
      <w:r>
        <w:rPr>
          <w:b/>
          <w:bCs/>
          <w:color w:val="1F4E79"/>
        </w:rPr>
        <w:t xml:space="preserve">Réforme européenne des dessins et modèles : protection des interfaces, des animations et des modèles en trois dimensions</w:t>
      </w:r>
    </w:p>
    <w:p>
      <w:pPr>
        <w:keepNext/>
        <w:spacing w:after="240"/>
      </w:pPr>
      <w:hyperlink w:history="1" r:id="rIdrrqtfs3roucptiwrdty9f">
        <w:r>
          <w:rPr>
            <w:color w:val="507D82"/>
            <w:u w:val="single"/>
          </w:rPr>
          <w:t xml:space="preserve">Dreyfus &amp; Associés, publication LinkedIn renvoyant vers la Newsletter IP, 15 septembre 2026</w:t>
        </w:r>
      </w:hyperlink>
    </w:p>
    <w:p>
      <w:pPr>
        <w:keepNext/>
        <w:spacing w:after="220"/>
        <w:jc w:val="both"/>
      </w:pPr>
      <w:r>
        <w:rPr>
          <w:b/>
          <w:bCs/>
          <w:i/>
          <w:iCs/>
          <w:color w:val="C55A11"/>
        </w:rPr>
        <w:t xml:space="preserve">Attention : les informations présentées dans cette section doivent être vérifiées, l’accès à la source étant incomplet, limité ou restreint.</w:t>
      </w:r>
    </w:p>
    <w:p>
      <w:pPr>
        <w:keepLines/>
        <w:spacing w:after="130" w:line="276"/>
        <w:jc w:val="both"/>
      </w:pPr>
      <w:r>
        <w:rPr>
          <w:b/>
          <w:bCs/>
          <w:color w:val="1F4E79"/>
        </w:rPr>
        <w:t xml:space="preserve">Contexte. </w:t>
      </w:r>
      <w:r>
        <w:t xml:space="preserve">Selon la publication, la deuxième phase de la réforme européenne des dessins et modèles est applicable depuis le 1er juillet 2026. Elle modifie les modalités de représentation des créations lors du dépôt européen : un même dessin ou modèle peut désormais être représenté au moyen de dix vues statiques, mais également à l’aide de fichiers en trois dimensions et d’animations.</w:t>
      </w:r>
    </w:p>
    <w:p>
      <w:pPr>
        <w:keepLines/>
        <w:spacing w:after="130" w:line="276"/>
        <w:jc w:val="both"/>
      </w:pPr>
      <w:r>
        <w:t xml:space="preserve">Cette évolution intéresse directement les actifs numériques et les créations dont l’apparence repose sur une dimension dynamique ou sur une visualisation volumétrique. La publication souligne que le format retenu ne relève pas d’un choix purement technique : il influe directement sur le périmètre de la protection revendiquée. La détermination des vues et fichiers produits doit donc être intégrée à la stratégie de dépôt.</w:t>
      </w:r>
    </w:p>
    <w:p>
      <w:pPr>
        <w:keepLines/>
        <w:spacing w:after="130" w:line="276"/>
        <w:jc w:val="both"/>
      </w:pPr>
      <w:r>
        <w:t xml:space="preserve">La publication appelle également à une préparation structurée des dossiers de nullité, notamment quant aux antériorités invoquées, aux éléments établissant leur divulgation et à la comparaison visuelle. Elle recommande, plus largement, de sécuriser les dépôts, d’anticiper les extensions internationales et d’adapter la gouvernance des actifs numériques.</w:t>
      </w:r>
    </w:p>
    <w:p>
      <w:pPr>
        <w:pBdr>
          <w:left w:val="single" w:color="507D82" w:sz="10" w:space="8"/>
        </w:pBdr>
        <w:spacing w:after="260" w:before="80"/>
        <w:ind w:left="180"/>
        <w:jc w:val="both"/>
      </w:pPr>
      <w:r>
        <w:t xml:space="preserve">Le choix entre vues statiques, fichier en trois dimensions et animation influe directement sur le périmètre de la protection revendiquée ; il doit être arrêté en fonction de l’apparence dont la protection est recherchée.</w:t>
      </w:r>
    </w:p>
    <w:p>
      <w:pPr>
        <w:pStyle w:val="Heading2"/>
        <w:keepNext/>
        <w:spacing w:after="100" w:before="180"/>
      </w:pPr>
      <w:r>
        <w:rPr>
          <w:b/>
          <w:bCs/>
          <w:color w:val="1F4E79"/>
        </w:rPr>
        <w:t xml:space="preserve">PPWR et commerce en ligne : la conformité des emballages comme condition d’accès au marché</w:t>
      </w:r>
    </w:p>
    <w:p>
      <w:pPr>
        <w:keepNext/>
        <w:spacing w:after="240"/>
      </w:pPr>
      <w:hyperlink w:history="1" r:id="rIdwvnac-sq4wub451zajckq">
        <w:r>
          <w:rPr>
            <w:color w:val="507D82"/>
            <w:u w:val="single"/>
          </w:rPr>
          <w:t xml:space="preserve">Dreyfus Law Firm, publication LinkedIn, 17 septembre 2026</w:t>
        </w:r>
      </w:hyperlink>
    </w:p>
    <w:p>
      <w:pPr>
        <w:keepNext/>
        <w:spacing w:after="220"/>
        <w:jc w:val="both"/>
      </w:pPr>
      <w:r>
        <w:rPr>
          <w:b/>
          <w:bCs/>
          <w:i/>
          <w:iCs/>
          <w:color w:val="C55A11"/>
        </w:rPr>
        <w:t xml:space="preserve">Attention : les informations présentées dans cette section doivent être vérifiées, l’accès à la source étant incomplet, limité ou restreint.</w:t>
      </w:r>
    </w:p>
    <w:p>
      <w:pPr>
        <w:keepLines/>
        <w:spacing w:after="130" w:line="276"/>
        <w:jc w:val="both"/>
      </w:pPr>
      <w:r>
        <w:rPr>
          <w:b/>
          <w:bCs/>
          <w:color w:val="1F4E79"/>
        </w:rPr>
        <w:t xml:space="preserve">Contexte. </w:t>
      </w:r>
      <w:r>
        <w:t xml:space="preserve">La publication relève que le règlement relatif aux emballages et aux déchets d’emballages, ou PPWR, est susceptible de faire de la conformité aux obligations de responsabilité élargie du producteur un préalable à l’accès à certains canaux de vente en ligne. Son article 45 imposerait aux plateformes relevant de son champ de recueillir et d’évaluer, avant d’autoriser les vendeurs à accéder à leurs services, des informations relatives à leur enregistrement au titre de la responsabilité élargie du producteur ainsi que des autocertifications de conformité.</w:t>
      </w:r>
    </w:p>
    <w:p>
      <w:pPr>
        <w:keepLines/>
        <w:spacing w:after="130" w:line="276"/>
        <w:jc w:val="both"/>
      </w:pPr>
      <w:r>
        <w:t xml:space="preserve">L’analyse appelle une vigilance particulière en matière de commerce électronique transfrontière. La publication précise qu’il n’existe pas de numéro unique d’enregistrement valable dans l’ensemble de l’Union européenne. L’appréciation des obligations doit donc être conduite pays par pays, en considération notamment du producteur concerné, du flux d’emballages et du marché de destination. En France, sont notamment évoqués l’identifiant unique applicable aux emballages, la représentation des opérateurs étrangers et la cohérence des informations figurant sur les comptes de marketplace, les documents contractuels et les registres de responsabilité élargie du producteur.</w:t>
      </w:r>
    </w:p>
    <w:p>
      <w:pPr>
        <w:keepLines/>
        <w:spacing w:after="130" w:line="276"/>
        <w:jc w:val="both"/>
      </w:pPr>
      <w:r>
        <w:t xml:space="preserve">Enfin, les adaptations du graphisme ou du conditionnement rendues nécessaires par ces exigences réglementaires peuvent affecter les portefeuilles de marques, de dessins et modèles et de droits d’auteur. La conformité des emballages implique ainsi une coordination entre les fonctions réglementaires, commerciales et de propriété intellectuelle.</w:t>
      </w:r>
    </w:p>
    <w:p>
      <w:pPr>
        <w:pBdr>
          <w:left w:val="single" w:color="507D82" w:sz="10" w:space="8"/>
        </w:pBdr>
        <w:spacing w:after="260" w:before="80"/>
        <w:ind w:left="180"/>
        <w:jc w:val="both"/>
      </w:pPr>
      <w:r>
        <w:t xml:space="preserve">En l’absence de numéro d’enregistrement unique valable dans l’Union européenne, la conformité liée aux emballages doit être examinée par État membre pour les ventes transfrontières, y compris au regard de la cohérence des informations communiquées aux marketplaces.</w:t>
      </w:r>
    </w:p>
    <w:sectPr>
      <w:footerReference w:type="default" r:id="rId7"/>
      <w:pgSz w:w="12240" w:h="15840" w:orient="portrait"/>
      <w:pgMar w:top="1440" w:right="820" w:bottom="145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71717"/>
        <w:sz w:val="22"/>
        <w:szCs w:val="22"/>
      </w:rPr>
    </w:rPrDefault>
    <w:pPrDefault>
      <w:pPr>
        <w:spacing w:after="13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Arial" w:cs="Arial" w:eastAsia="Arial" w:hAnsi="Arial"/>
      <w:b/>
      <w:bCs/>
      <w:color w:val="171717"/>
      <w:sz w:val="24"/>
      <w:szCs w:val="24"/>
    </w:rPr>
  </w:style>
  <w:style w:type="paragraph" w:styleId="Heading2">
    <w:name w:val="Heading 2"/>
    <w:basedOn w:val="Normal"/>
    <w:next w:val="Normal"/>
    <w:qFormat/>
    <w:rPr>
      <w:rFonts w:ascii="Arial" w:cs="Arial" w:eastAsia="Arial" w:hAnsi="Arial"/>
      <w:b/>
      <w:bCs/>
      <w:color w:val="17171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aeqgpuvqe0gcjtcp_r0e8" Type="http://schemas.openxmlformats.org/officeDocument/2006/relationships/hyperlink" Target="https://eur-lex.europa.eu/legal-content/FR/TXT/?uri=CELEX:62025TJ0509" TargetMode="External"/><Relationship Id="rIdbedf5pydt31uwoe44pmx1" Type="http://schemas.openxmlformats.org/officeDocument/2006/relationships/hyperlink" Target="https://www.wipo.int/edocs/mdocs/scp/en/scp_38/scp_38_6.pdf" TargetMode="External"/><Relationship Id="rIdcwn042e9mkhcfepvqh97c" Type="http://schemas.openxmlformats.org/officeDocument/2006/relationships/hyperlink" Target="https://www.epo.org/en/legal/official-journal/notice-11-september-2026" TargetMode="External"/><Relationship Id="rIdrrqtfs3roucptiwrdty9f" Type="http://schemas.openxmlformats.org/officeDocument/2006/relationships/hyperlink" Target="https://fr.linkedin.com/posts/dreyfus-%26-associes_propri%C3%A9t%C3%A9intellectuelle-dessinsetmod%C3%A8les-activity-7497933535425634306-1L2O" TargetMode="External"/><Relationship Id="rIdwvnac-sq4wub451zajckq" Type="http://schemas.openxmlformats.org/officeDocument/2006/relationships/hyperlink" Target="https://www.linkedin.com/posts/dreyfus-%26-associes_ppwr-epr-trademarklaw-activity-7498356400620781568-lpy0"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Veille Propriété intellectuelle : Du 14 septembre au 18 septembre 2026</dc:title>
  <dc:creator>Veille IP DLA</dc:creator>
  <dc:description>Veille hebdomadaire de propriété intellectuelle</dc:description>
  <cp:lastModifiedBy>Un-named</cp:lastModifiedBy>
  <cp:revision>1</cp:revision>
  <dcterms:created xsi:type="dcterms:W3CDTF">2026-09-18T11:54:50.979Z</dcterms:created>
  <dcterms:modified xsi:type="dcterms:W3CDTF">2026-09-18T11:54:50.979Z</dcterms:modified>
</cp:coreProperties>
</file>

<file path=docProps/custom.xml><?xml version="1.0" encoding="utf-8"?>
<Properties xmlns="http://schemas.openxmlformats.org/officeDocument/2006/custom-properties" xmlns:vt="http://schemas.openxmlformats.org/officeDocument/2006/docPropsVTypes"/>
</file>