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26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Propriété intellectuelle de l’Union européenne : Frais d’avocat exposés devant l’EUIPO et procédure nationale en référé : proposition d’irrecevabilité et autonomie du régime applicable aux dessins ou modèles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_e4murpj7tlzwogo9-2yb">
              <w:r>
                <w:rPr>
                  <w:color w:val="507D82"/>
                  <w:u w:val="single"/>
                </w:rPr>
                <w:t xml:space="preserve">Cour de justice de l’Union européenne, conclusions de l’avocat général Manuel Campos Sánchez-Bordona dans l’affaire Suzhou Anri Child Products, C-573/25, 24 septembre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Suzhou présente et distribue son modèle de poussette « S63 » lors d’un salon organisé à Cologne. </w:t>
            </w:r>
            <w:r>
              <w:rPr>
                <w:i/>
                <w:iCs/>
                <w:color w:val="666666"/>
              </w:rPr>
              <w:t xml:space="preserve">(8 septembre 2022 au 10 septembre 2022)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Le Landgericht Düsseldorf ordonne en référé l’interdiction de proposer, promouvoir, commercialiser, importer, exporter ou détenir le modèle « S63 » en Allemagne. </w:t>
            </w:r>
            <w:r>
              <w:rPr>
                <w:i/>
                <w:iCs/>
                <w:color w:val="666666"/>
              </w:rPr>
              <w:t xml:space="preserve">(9 septembre 2022)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Suzhou introduit devant l’EUIPO des demandes en nullité visant deux dessins ou modèles enregistrés par Cybex. </w:t>
            </w:r>
            <w:r>
              <w:rPr>
                <w:i/>
                <w:iCs/>
                <w:color w:val="666666"/>
              </w:rPr>
              <w:t xml:space="preserve">(17 novembre 2022)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L’Oberlandesgericht Düsseldorf condamne Cybex aux dépens de la procédure en référé ; Suzhou sollicite ensuite la fixation des frais exposés dans cette procédure. </w:t>
            </w:r>
            <w:r>
              <w:rPr>
                <w:i/>
                <w:iCs/>
                <w:color w:val="666666"/>
              </w:rPr>
              <w:t xml:space="preserve">(16 octobre 2023)</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L’avocat général propose de déclarer irrecevables les septième, huitième et neuvième questions préjudicielles et, à titre subsidiaire, retient le caractère exhaustif du régime de frais devant l’EUIPO. </w:t>
            </w:r>
            <w:r>
              <w:rPr>
                <w:i/>
                <w:iCs/>
                <w:color w:val="666666"/>
              </w:rPr>
              <w:t xml:space="preserve">(24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Les conclusions examinent l’articulation entre, d’une part, le régime des frais applicable aux procédures nationales de protection des droits de propriété industrielle, notamment au titre de la directive 2004/48/CE, et, d’autre part, le régime spécial de répartition des frais des procédures en nullité de dessins ou modèles de l’Union européenne devant l’EUIPO. Le point de difficulté réside dans la tentative d’obtenir, au sein d’une procédure nationale de fixation des dépens afférents à un référé, le remboursement de frais d’avocat exposés dans des procédures administratives distinctes, alors pendantes devant l’EUIPO.</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Cybex GmbH et Suzhou Anri Child Products Co. Ltd commercialisent des poussettes dans l’Union européenne. Estimant que le modèle « S63 » présenté par Suzhou portait atteinte à ses droits, Cybex a obtenu du Landgericht Düsseldorf une ordonnance de référé. Après opposition de Suzhou, cette mesure provisoire a été levée. Cybex a formé appel, avant de s’en désister ; elle a ensuite été condamnée aux dépens de la procédure en référé. Parallèlement, Suzhou avait engagé devant l’EUIPO deux procédures tendant à la nullité de dessins ou modèles enregistrés par Cybex. Ces procédures étaient toujours pendantes. Dans le cadre de la fixation des frais de la procédure nationale, Suzhou a demandé que soient inclus les honoraires engagés pour sa représentation devant l’EUIPO, pour un montant total allégué de 100 966,77 euros avec les frais relevant de la procédure en référé. Le Landgericht Düsseldorf a interrogé la Cour, les conclusions étant limitées aux septième, huitième et neuvième questions.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Suzhou soutenait que sa défense contre l’ordonnance de référé ne s’était pas limitée à l’opposition formée devant les juridictions allemandes, mais avait également nécessité l’introduction de procédures en nullité devant l’EUIPO. Elle estimait que les honoraires correspondants pouvaient constituer soit un dommage causé par la mesure provisoire, soit des frais récupérables au titre de l’article 14 de la directive 2004/48/CE. Elle invoquait le lien direct et étroit entre les deux volets de sa stratégie de défense, ainsi que le caractère insuffisant des plafonds prévus pour les frais de représentation devant l’EUIPO. La Commission considérait, au contraire, que les frais engagés dans les procédures en nullité relevaient d’une procédure distincte et indépendante de la procédure nationale en référé. Les conclusions ne précisent pas d’argument autonome développé par Cybex sur les questions examinées.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juridiction de renvoi demandait, en substance, si les règlements nos 6/2002 et 2245/2002 organisent de manière exhaustive le remboursement des frais indispensables exposés dans une procédure en nullité devant l’EUIPO. Dans la négative, elle s’interrogeait sur la possibilité d’intégrer les frais d’avocat liés à cette procédure administrative dans les « autres frais » récupérables au titre de l’article 14 de la directive 2004/48/CE, dans le cadre d’une procédure nationale en référé, y compris au-delà des plafonds réglementaires applicables devant l’EUIPO.</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L’avocat général retient d’abord l’irrecevabilité des questions soumises. Le régime de l’article 70 du règlement no 6/2002 présuppose l’existence d’une partie gagnante et d’une partie perdante dans la procédure en nullité devant l’EUIPO. Or, cette procédure n’était pas close. Toute interrogation relative à la répartition finale des frais y afférents était donc prématurée. En outre, le litige au principal concernait la fixation des frais d’une procédure nationale de référé, non les procédures en nullité devant l’EUIPO, pour lesquelles la juridiction nationale n’est pas compétente. Admettre l’inclusion anticipée de ces coûts conduirait à transférer aux juridictions nationales les contestations relatives aux frais d’une procédure administrative européenne et priverait d’effet utile le système institué par les règlements.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À titre subsidiaire, l’avocat général analyse le fond. L’article 70 du règlement no 6/2002 et l’article 79 du règlement no 2245/2002 constitueraient une lex specialis complète : ils déterminent tant les frais récupérables que leurs plafonds, et attribuent leur fixation aux instances de l’EUIPO. Les procédures nationale en référé et administrative en nullité formeraient des cadres autonomes, chacun régi par son propre système de frais. Les honoraires d’avocat engagés devant l’EUIPO seraient des frais de justice, non des « autres frais », et ne pourraient être assimilés à un dommage résultant de l’exécution de la mesure provisoire. La saisine de l’EUIPO procède, selon l’analyse proposée, d’un choix procédural de Suzhou, laquelle pouvait en outre soulever l’exception de nullité dans la procédure nationale en référé.</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L’avocat général propose à la Cour de déclarer irrecevables les septième, huitième et neuvième questions préjudicielles. À titre subsidiaire, il propose de juger que l’article 70, paragraphes 1 et 6, du règlement no 6/2002 et l’article 79, paragraphe 7, du règlement no 2245/2002 instituent un régime exhaustif de répartition et de détermination des frais dans les procédures en nullité devant l’EUIPO. Le remboursement des honoraires d’avocat afférents à ces procédures ne relèverait pas de l’article 14 de la directive 2004/48/CE.</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Ces conclusions intéressent directement les titulaires et contestataires de dessins ou modèles de l’Union européenne qui conduisent simultanément une procédure nationale en référé et une action en nullité devant l’EUIPO. Elles invitent à distinguer strictement les frais nés de chacun de ces contentieux. Selon la solution proposée, une partie ne pourrait obtenir devant le juge national, par la voie de la taxation des dépens ou de l’article 14 de la directive 2004/48/CE, une indemnisation complémentaire des honoraires exposés dans la procédure en nullité devant l’EUIPO. Cette demande devrait être tranchée exclusivement selon les règles propres à l’EUIPO, à l’issue de la procédure et en fonction de son résultat. La proposition souligne également l’importance de ne pas anticiper la qualité de partie gagnante dans une procédure administrative encore pendante, ni de contourner les plafonds de remboursement fixés par le droit de l’Union pour cette procédure.</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L’OEB renforce la Technology Intelligence Platform et facilite l’exploitation des données EPO PATSTAT</w:t>
      </w:r>
    </w:p>
    <w:p>
      <w:pPr>
        <w:keepNext/>
        <w:spacing w:after="240"/>
      </w:pPr>
      <w:hyperlink w:history="1" r:id="rId58uux1gkh6wl-tf3tsoh1">
        <w:r>
          <w:rPr>
            <w:color w:val="507D82"/>
            <w:u w:val="single"/>
          </w:rPr>
          <w:t xml:space="preserve">Office européen des brevets, page d’actualité officielle, 21 septembre 2026</w:t>
        </w:r>
      </w:hyperlink>
    </w:p>
    <w:p>
      <w:pPr>
        <w:keepLines/>
        <w:spacing w:after="130" w:line="276"/>
        <w:jc w:val="both"/>
      </w:pPr>
      <w:r>
        <w:rPr>
          <w:b/>
          <w:bCs/>
          <w:color w:val="1F4E79"/>
        </w:rPr>
        <w:t xml:space="preserve">Contexte. </w:t>
      </w:r>
      <w:r>
        <w:t xml:space="preserve">L’Office européen des brevets présente la Technology Intelligence Platform comme un environnement accessible depuis un navigateur, conçu pour le traitement, l’analyse et la visualisation avancés de données de brevets. La plateforme permet un accès gratuit aux données EPO PATSTAT et autorise leur combinaison avec des données commerciales et d’autres données statistiques.</w:t>
      </w:r>
    </w:p>
    <w:p>
      <w:pPr>
        <w:keepLines/>
        <w:spacing w:after="130" w:line="276"/>
        <w:jc w:val="both"/>
      </w:pPr>
      <w:r>
        <w:t xml:space="preserve">Les fonctionnalités mises en avant comprennent des notebooks Python renforcés, permettant aux utilisateurs de concevoir leurs propres analyses de veille technologique. Chaque utilisateur dispose d’un environnement sécurisé, accessible par navigateur, dans lequel le code développé peut être synchronisé avec des plateformes de partage de code ainsi qu’avec d’autres applications collaboratives.</w:t>
      </w:r>
    </w:p>
    <w:p>
      <w:pPr>
        <w:keepLines/>
        <w:spacing w:after="130" w:line="276"/>
        <w:jc w:val="both"/>
      </w:pPr>
      <w:r>
        <w:t xml:space="preserve">La plateforme recense déjà plus de cent notebooks Python et met à disposition des modules d’apprentissage en ligne, des guides de démarrage rapide et une documentation intégrée. Une nouvelle collection de notebooks avancés traite notamment des familles de brevets, des dates de dépôt et de publication, des événements juridiques, des citations, des stratégies de dépôt et des tendances technologiques.</w:t>
      </w:r>
    </w:p>
    <w:p>
      <w:pPr>
        <w:keepLines/>
        <w:spacing w:after="130" w:line="276"/>
        <w:jc w:val="both"/>
      </w:pPr>
      <w:r>
        <w:t xml:space="preserve">L’OEB identifie parmi les applications possibles le suivi des tendances technologiques, l’élaboration de cartographies de brevets, l’identification d’opportunités commerciales et la surveillance de l’activité des concurrents.</w:t>
      </w:r>
    </w:p>
    <w:p>
      <w:pPr>
        <w:pBdr>
          <w:left w:val="single" w:color="507D82" w:sz="10" w:space="8"/>
        </w:pBdr>
        <w:spacing w:after="260" w:before="80"/>
        <w:ind w:left="180"/>
        <w:jc w:val="both"/>
      </w:pPr>
      <w:r>
        <w:t xml:space="preserve">L’accès gratuit aux données EPO PATSTAT, associé à des notebooks Python et à un environnement sécurisé de traitement des données, fournit un outil directement mobilisable pour structurer et documenter les travaux de veille brevet.</w:t>
      </w:r>
    </w:p>
    <w:p>
      <w:pPr>
        <w:pStyle w:val="Heading2"/>
        <w:keepNext/>
        <w:spacing w:after="100" w:before="180"/>
      </w:pPr>
      <w:r>
        <w:rPr>
          <w:b/>
          <w:bCs/>
          <w:color w:val="1F4E79"/>
        </w:rPr>
        <w:t xml:space="preserve">Le Vietnam renforce sa réponse administrative aux atteintes à la propriété intellectuelle</w:t>
      </w:r>
    </w:p>
    <w:p>
      <w:pPr>
        <w:keepNext/>
        <w:spacing w:after="240"/>
      </w:pPr>
      <w:hyperlink w:history="1" r:id="rIda147zd2u8ncofypezdowx">
        <w:r>
          <w:rPr>
            <w:color w:val="507D82"/>
            <w:u w:val="single"/>
          </w:rPr>
          <w:t xml:space="preserve">VietnamPlus, Agence Vietnamienne d’Information (VNA), 25 septembre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Le Comité directeur national de lutte contre la contrebande, la fraude commerciale et les contrefaçons a publié le document n° 197/CV-BCDQG, invitant les ministères, secteurs concernés et autorités locales à renforcer la prévention et la répression des atteintes aux droits de propriété intellectuelle, de la fraude commerciale et de la commercialisation de produits contrefaits. Cette démarche s’inscrit dans la mise en œuvre de la Résolution n° 397/NQ-CP, laquelle prévoit un plan d’action visant à faire reculer ces phénomènes d’ici à 2030.</w:t>
      </w:r>
    </w:p>
    <w:p>
      <w:pPr>
        <w:keepLines/>
        <w:spacing w:after="130" w:line="276"/>
        <w:jc w:val="both"/>
      </w:pPr>
      <w:r>
        <w:t xml:space="preserve">Les contrôles annoncés doivent notamment porter sur la fabrication et la vente de marchandises contrefaites, les atteintes aux droits de propriété industrielle, la falsification de l’origine ou des indications géographiques, ainsi que la reproduction et la diffusion illicites de contenus numériques protégés par le droit d’auteur. Sont expressément visés les produits portant atteinte à la propriété intellectuelle proposés sur les plateformes de commerce électronique, les réseaux sociaux et les marchés traditionnels.</w:t>
      </w:r>
    </w:p>
    <w:p>
      <w:pPr>
        <w:keepLines/>
        <w:spacing w:after="130" w:line="276"/>
        <w:jc w:val="both"/>
      </w:pPr>
      <w:r>
        <w:t xml:space="preserve">Les autorités compétentes sont également appelées à accélérer le déploiement d’un système de données interconnecté de traçabilité des marchandises, permettant le partage des informations. La police, les services de surveillance du marché, les douanes, les services fiscaux, les gardes-frontières et les services d’inspection doivent intensifier leur coordination. Les opérations de contrôle et de traitement des infractions devront être conduites publiquement, de manière transparente et conforme à la loi, sans entraver les activités licites de production et de commerce.</w:t>
      </w:r>
    </w:p>
    <w:p>
      <w:pPr>
        <w:pBdr>
          <w:left w:val="single" w:color="507D82" w:sz="10" w:space="8"/>
        </w:pBdr>
        <w:spacing w:after="260" w:before="80"/>
        <w:ind w:left="180"/>
        <w:jc w:val="both"/>
      </w:pPr>
      <w:r>
        <w:t xml:space="preserve">L’inclusion expresse des plateformes de commerce électronique et des réseaux sociaux parmi les canaux de contrôle confirme que la lutte contre les atteintes à la propriété intellectuelle vise désormais, de façon opérationnelle, les circuits de commercialisation numériques comme les marchés physiques.</w:t>
      </w:r>
    </w:p>
    <w:p>
      <w:pPr>
        <w:pStyle w:val="Heading2"/>
        <w:keepNext/>
        <w:spacing w:after="100" w:before="180"/>
      </w:pPr>
      <w:r>
        <w:rPr>
          <w:b/>
          <w:bCs/>
          <w:color w:val="1F4E79"/>
        </w:rPr>
        <w:t xml:space="preserve">Comment le Canada peut tirer davantage de valeur de ses innovations</w:t>
      </w:r>
    </w:p>
    <w:p>
      <w:pPr>
        <w:keepNext/>
        <w:spacing w:after="240"/>
      </w:pPr>
      <w:hyperlink w:history="1" r:id="rIdyveundqdx9lyca_onwd3k">
        <w:r>
          <w:rPr>
            <w:color w:val="507D82"/>
            <w:u w:val="single"/>
          </w:rPr>
          <w:t xml:space="preserve">Exportation et développement Canada, 24 septembre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Dans un article consacré à la valorisation de l’innovation canadienne, Exportation et développement Canada met en avant le poids croissant des actifs incorporels dans la création de valeur économique. Sont notamment visés les logiciels, les données, la recherche et développement, le savoir-faire organisationnel ainsi que les droits de propriété intellectuelle. L’auteur, Stuart Bergman, vice-président et économiste en chef de l’institution, relève que la propriété intellectuelle représente une composante significative de ce capital incorporel.</w:t>
      </w:r>
    </w:p>
    <w:p>
      <w:pPr>
        <w:keepLines/>
        <w:spacing w:after="130" w:line="276"/>
        <w:jc w:val="both"/>
      </w:pPr>
      <w:r>
        <w:t xml:space="preserve">L’analyse vise notamment les brevets, les marques de commerce, les droits d’auteur, les dessins industriels et les secrets commerciaux. Elle soutient que le Canada doit accroître sa capacité à commercialiser ses innovations, à les développer à plus grande échelle et à préserver sur son territoire une part plus importante des retombées économiques résultant de leur exploitation. La protection juridique des actifs immatériels est ainsi présentée dans une perspective de compétitivité et de captation de valeur.</w:t>
      </w:r>
    </w:p>
    <w:p>
      <w:pPr>
        <w:keepLines/>
        <w:spacing w:after="130" w:line="276"/>
        <w:jc w:val="both"/>
      </w:pPr>
      <w:r>
        <w:t xml:space="preserve">L’article est présenté à titre informatif et ne constitue pas un conseil financier, juridique, comptable ou fiscal.</w:t>
      </w:r>
    </w:p>
    <w:p>
      <w:pPr>
        <w:pBdr>
          <w:left w:val="single" w:color="507D82" w:sz="10" w:space="8"/>
        </w:pBdr>
        <w:spacing w:after="260" w:before="80"/>
        <w:ind w:left="180"/>
        <w:jc w:val="both"/>
      </w:pPr>
      <w:r>
        <w:t xml:space="preserve">La valorisation économique de l’innovation ne se limite pas à sa création : elle suppose la commercialisation, le développement à l’échelle et la conservation des retombées liées aux actifs incorporels, parmi lesquels les droits de propriété intellectuelle.</w:t>
      </w:r>
    </w:p>
    <w:p>
      <w:pPr>
        <w:pStyle w:val="Heading2"/>
        <w:keepNext/>
        <w:spacing w:after="100" w:before="180"/>
      </w:pPr>
      <w:r>
        <w:rPr>
          <w:b/>
          <w:bCs/>
          <w:color w:val="1F4E79"/>
        </w:rPr>
        <w:t xml:space="preserve">Harmony Biosciences engage une nouvelle action en contrefaçon relative à un procédé de fabrication du pitolisant</w:t>
      </w:r>
    </w:p>
    <w:p>
      <w:pPr>
        <w:keepNext/>
        <w:spacing w:after="240"/>
      </w:pPr>
      <w:hyperlink w:history="1" r:id="rIdztqgwlazkjto5s8zac0nv">
        <w:r>
          <w:rPr>
            <w:color w:val="507D82"/>
            <w:u w:val="single"/>
          </w:rPr>
          <w:t xml:space="preserve">Investing.com, article de presse en français, 24 septembre 2026</w:t>
        </w:r>
      </w:hyperlink>
    </w:p>
    <w:p>
      <w:pPr>
        <w:keepNext/>
        <w:spacing w:after="180"/>
      </w:pPr>
      <w:r>
        <w:rPr>
          <w:b/>
          <w:bCs/>
          <w:i/>
          <w:iCs/>
          <w:color w:val="2E75B6"/>
        </w:rPr>
        <w:t xml:space="preserve">Signalé par l’alerte de Juliette.</w:t>
      </w:r>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Selon un article publié le 24 septembre 2026, Harmony Biosciences Holdings, Inc. a engagé une nouvelle action en contrefaçon de brevet contre AET Pharma US, Inc., présentée comme un concurrent dans le domaine des médicaments génériques. Cette action invoquerait le brevet américain n° 11,945,788, portant sur des procédés de fabrication du pitolisant.</w:t>
      </w:r>
    </w:p>
    <w:p>
      <w:pPr>
        <w:keepLines/>
        <w:spacing w:after="130" w:line="276"/>
        <w:jc w:val="both"/>
      </w:pPr>
      <w:r>
        <w:t xml:space="preserve">L’article indique que la plainte allègue que la source de fabrication indienne d’AET Pharma US mettrait en œuvre des procédés couverts par ce brevet. Cette nouvelle procédure serait distincte du contentieux ANDA déjà en cours, ainsi que d’un brevet précédemment opposé dans ce cadre. Aucun élément relatif aux demandes précisément formulées, aux moyens de défense, à la juridiction saisie ou au calendrier procédural n’est précisé dans la source consultée.</w:t>
      </w:r>
    </w:p>
    <w:p>
      <w:pPr>
        <w:keepLines/>
        <w:spacing w:after="130" w:line="276"/>
        <w:jc w:val="both"/>
      </w:pPr>
      <w:r>
        <w:t xml:space="preserve">L’information est rapportée dans le contexte de la réitération par Oppenheimer d’une recommandation de surperformance sur Harmony Biosciences, assortie d’un objectif de cours de 70 dollars. Cette appréciation financière ne préjuge toutefois ni du bien-fondé de l’action en contrefaçon alléguée ni de l’issue des procédures en cours.</w:t>
      </w:r>
    </w:p>
    <w:p>
      <w:pPr>
        <w:pBdr>
          <w:left w:val="single" w:color="507D82" w:sz="10" w:space="8"/>
        </w:pBdr>
        <w:spacing w:after="260" w:before="80"/>
        <w:ind w:left="180"/>
        <w:jc w:val="both"/>
      </w:pPr>
      <w:r>
        <w:t xml:space="preserve">La coexistence alléguée d’une action distincte du contentieux ANDA souligne l’intérêt d’identifier séparément les droits de brevet opposés, les procédés de fabrication visés et les fondements procéduraux propres à chaque instance.</w:t>
      </w:r>
    </w:p>
    <w:sectPr>
      <w:footerReference w:type="default" r:id="rId7"/>
      <w:pgSz w:w="12240" w:h="15840" w:orient="portrait"/>
      <w:pgMar w:top="1440" w:right="820" w:bottom="14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e4murpj7tlzwogo9-2yb" Type="http://schemas.openxmlformats.org/officeDocument/2006/relationships/hyperlink" Target="https://juris.curia.europa.eu/juris/document/document.jsf?cid=21231034&amp;dir=&amp;docid=315497&amp;doclang=FR&amp;mode=req&amp;occ=first&amp;pageIndex=0&amp;part=1&amp;text=" TargetMode="External"/><Relationship Id="rId58uux1gkh6wl-tf3tsoh1" Type="http://schemas.openxmlformats.org/officeDocument/2006/relationships/hyperlink" Target="https://www.epo.org/en/news-events/news/discover-power-epo-patstat-data-tip" TargetMode="External"/><Relationship Id="rIda147zd2u8ncofypezdowx" Type="http://schemas.openxmlformats.org/officeDocument/2006/relationships/hyperlink" Target="https://fr.vietnamplus.vn/le-vietnam-intensifie-la-lutte-contre-la-fraude-commerciale-et-les-atteintes-a-la-propriete-intellectuelle-post268967.vnp" TargetMode="External"/><Relationship Id="rIdyveundqdx9lyca_onwd3k" Type="http://schemas.openxmlformats.org/officeDocument/2006/relationships/hyperlink" Target="https://www.edc.ca/fr/zone-commerce/canada-innovation-propriete-intellectuelle.html" TargetMode="External"/><Relationship Id="rIdztqgwlazkjto5s8zac0nv" Type="http://schemas.openxmlformats.org/officeDocument/2006/relationships/hyperlink" Target="https://fr.investing.com/news/analyst-ratings/oppenheimer-reitere-sa-note-sur-harmony-biosciences-apres-une-defense-de-brevet-93CH-3607811"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21 septembre au 25 septembre 2026</dc:title>
  <dc:creator>Veille IP DLA</dc:creator>
  <dc:description>Veille hebdomadaire de propriété intellectuelle</dc:description>
  <cp:lastModifiedBy>Un-named</cp:lastModifiedBy>
  <cp:revision>1</cp:revision>
  <dcterms:created xsi:type="dcterms:W3CDTF">2026-09-25T11:07:32.369Z</dcterms:created>
  <dcterms:modified xsi:type="dcterms:W3CDTF">2026-09-25T11:07:32.369Z</dcterms:modified>
</cp:coreProperties>
</file>

<file path=docProps/custom.xml><?xml version="1.0" encoding="utf-8"?>
<Properties xmlns="http://schemas.openxmlformats.org/officeDocument/2006/custom-properties" xmlns:vt="http://schemas.openxmlformats.org/officeDocument/2006/docPropsVTypes"/>
</file>