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19 octobre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Brevets et profession de mandataire : La Chambre disciplinaire de recours de l’OEB confirme l’avertissement infligé à un mandataire agréé pour le recours à un enquêteur privé</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r6-lwzp5hzvptbfzb399f">
              <w:r>
                <w:rPr>
                  <w:color w:val="507D82"/>
                  <w:u w:val="single"/>
                </w:rPr>
                <w:t xml:space="preserve">Office européen des brevets, Chambre de recours statuant en matière disciplinaire, décision D 0001/25, 15 octobre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Les protagonistes participent à la conférence internationale de l’INTA, à Boston. L’incident à l’origine de la procédure disciplinaire intervient à cette occasion. </w:t>
            </w:r>
            <w:r>
              <w:rPr>
                <w:i/>
                <w:iCs/>
                <w:color w:val="666666"/>
              </w:rPr>
              <w:t xml:space="preserve">(18 au 22 mai 2019)</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La commission disciplinaire de l’epi rejette la plainte dans l’affaire CD 02/2020. </w:t>
            </w:r>
            <w:r>
              <w:rPr>
                <w:i/>
                <w:iCs/>
                <w:color w:val="666666"/>
              </w:rPr>
              <w:t xml:space="preserve">(6 octobre 2021)</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Dans la décision D 55/21, la Chambre disciplinaire de recours annule cette décision et renvoie l’affaire devant la Chambre disciplinaire de l’OEB. </w:t>
            </w:r>
            <w:r>
              <w:rPr>
                <w:i/>
                <w:iCs/>
                <w:color w:val="666666"/>
              </w:rPr>
              <w:t xml:space="preserve">(21 mars 2023)</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La Chambre disciplinaire de l’OEB retient un seul grief contre le mandataire et lui inflige un avertissement sur le fondement de l’article 4(a) RDR. </w:t>
            </w:r>
            <w:r>
              <w:rPr>
                <w:i/>
                <w:iCs/>
                <w:color w:val="666666"/>
              </w:rPr>
              <w:t xml:space="preserve">(19 février 2025)</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Le mandataire forme recours contre cette décision et sollicite le rejet intégral de la plainte. </w:t>
            </w:r>
            <w:r>
              <w:rPr>
                <w:i/>
                <w:iCs/>
                <w:color w:val="666666"/>
              </w:rPr>
              <w:t xml:space="preserve">(26 mars 2025)</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val="false"/>
              <w:spacing w:after="70" w:line="252"/>
              <w:jc w:val="left"/>
            </w:pPr>
            <w:r>
              <w:t xml:space="preserve">→ La Chambre disciplinaire de recours rejette le recours et maintient l’avertissement. </w:t>
            </w:r>
            <w:r>
              <w:rPr>
                <w:i/>
                <w:iCs/>
                <w:color w:val="666666"/>
              </w:rPr>
              <w:t xml:space="preserve">(12 octobre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décision D 0001/25 précise les exigences déontologiques applicables aux mandataires agréés près l’OEB lorsqu’un différend professionnel les conduit à rechercher des éléments de preuve contre un autre membre de l’epi. La Chambre disciplinaire de recours juge que l’acceptation d’une démarche d’investigation dissimulée, organisée lors d’une conférence professionnelle et destinée à obtenir des informations confidentielles, méconnaît les règles de conduite professionnelle, même si le mandataire invoque la défense de ses intérêts légitimes dans un conflit associatif particulièrement grave.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litige s’inscrivait dans un conflit durable opposant les associés d’un cabinet de conseils en propriété industrielle établi dans un État partie à la CBE. Lors de la conférence de l’INTA de 2019, un tiers, présenté par le dossier comme enquêteur privé, a rencontré la plaignante et une autre associée. Il a ensuite transmis au requérant des comptes rendus contenant des informations recueillies au cours de ces échanges. La Chambre disciplinaire a estimé établi que ce tiers avait agi avec l’accord du requérant afin de rechercher des éléments relatifs à une obligation de non-concurrence. Elle a écarté les autres griefs dirigés contre le requérant et l’ensemble des griefs visant une autre mandataire, mais a considéré que cet unique comportement justifiait un avertissement. Le recours portait donc exclusivement sur la qualification disciplinaire de l’incident de l’INTA et sur le caractère approprié de la sanction.</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requérant contestait l’appréciation des preuves et soutenait que les faits non établis devaient lui profiter. Il faisait valoir que le tiers n’était pas un enquêteur chargé de surveiller des personnes, qu’il s’était rendu à la conférence de sa propre initiative et qu’aucune mission ne lui avait été confiée. Selon lui, les rapports n’avaient pas été commandés et pouvaient relever d’une simple démarche destinée à nouer une relation d’affaires. Il invoquait, en outre, son droit à la protection juridictionnelle et la nécessité de préserver les intérêts du cabinet dans le contexte du conflit entre associés. Le président de l’epi concluait, pour sa part, à la confirmation de la décision attaquée.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question soumise à la Chambre était de savoir si un mandataire agréé peut, au regard du RDR et du Code de conduite de l’epi, accepter qu’un tiers agisse discrètement afin d’obtenir et de lui transmettre des informations recueillies auprès d’un autre mandataire lors d’une conférence professionnelle, au motif que ces informations pourraient servir à la défense de ses intérêts dans un contentieux national.</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Chambre commence par confirmer sa compétence. Bien que le conflit ait eu une dimension nationale, les intéressés s’étaient présentés à la conférence comme mandataires européens et l’incident était intervenu dans l’exercice d’activités relevant de leur pratique professionnelle. Elle retient ensuite, à partir des échanges électroniques et des déclarations successives du requérant, que le tiers avait agi comme son intermédiaire dans le cadre d’une démarche d’investigation dissimulée. L’absence de rémunération ou l’existence alléguée d’une relation amicale ne sont pas déterminantes, dès lors que l’intervention était imputable au requérant.</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Chambre qualifie de confidentiels les échanges professionnels intervenus avec la plaignante et son associée. Elle admet qu’ils ne relevaient pas formellement du secret professionnel prévu par un droit national déterminé. Toutefois, la circonstance que l’information ne soit pas légalement protégée par une règle nationale expresse n’exclut pas sa confidentialité au regard des règles disciplinaires. Dans le cadre d’une conférence réunissant des professionnels de la propriété intellectuelle, les discussions entre participants portant sur une relation d’affaires potentielle ne peuvent être présumées librement communicables à un concurrent ou à un tiers lié à celui-ci.</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recours à un agent dissimulé pour collecter ces informations implique nécessairement des déclarations fausses ou, à tout le moins, trompeuses de la part de cet agent. La Chambre relève qu’une telle méthode peut être admise dans d’autres contextes, notamment pour établir une atteinte à des droits de propriété intellectuelle. Elle estime toutefois qu’il en va différemment lorsqu’elle est dirigée contre un confrère de l’epi. Le comportement méconnaît ainsi tant le principe de confiance et de confraternité entre membres que l’obligation d’exercer la profession d’une manière conforme à sa dignité. La présence d’un seul tiers ayant constaté le comportement suffit à caractériser l’atteinte à la réputation de la profession.</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Chambre refuse enfin de voir dans les règles disciplinaires une restriction illégitime au droit d’agir en justice. Elles n’empêchent pas l’exercice des voies de droit nationales, mais encadrent les modalités de collecte des preuves. Le grave conflit entre associés, la position défensive du requérant et le comportement reproché à la plaignante constituent des circonstances atténuantes. Ils ne rendaient cependant ni inévitable ni pleinement excusable la méthode employée.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recours est rejeté. La Chambre confirme que les faits caractérisent un manquement aux obligations disciplinaires découlant notamment de l’article 1, paragraphes 1 et 2, RDR, lu avec les règles pertinentes du Code de conduite de l’epi. Elle maintient l’avertissement prononcé sur le fondement de l’article 4(a) RDR. La sanction est jugée proportionnée : elle présente un caractère symbolique et personnel, n’affecte pas l’exercice futur de la profession et s’inscrit dans un régime de confidentialité des procédures disciplinaires, la version publiée de la décision étant anonymisée.</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Cette décision rappelle que les règles déontologiques des mandataires européens s’appliquent aux comportements déployés dans les manifestations professionnelles lorsqu’ils se rattachent à l’exercice de la profession. La défense d’intérêts légitimes dans un contentieux ou un différend entre associés ne dispense pas du respect des exigences de dignité, de confiance et de confraternité prévues par le RDR et le Code de conduite. En particulier, la recherche d’informations sur un confrère ne peut emprunter une voie dissimulée consistant à exploiter, par l’intermédiaire d’un tiers, des échanges professionnels confidentiels. La décision distingue utilement la possibilité de recourir, dans certaines hypothèses, à des investigations pour la protection de droits de propriété intellectuelle, de leur mise en œuvre contre un autre membre de l’epi dans un cadre susceptible d’altérer la réputation de la profession.</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Le Forum des juges de l’OMPI examine les enjeux contemporains de la propriété intellectuelle</w:t>
      </w:r>
    </w:p>
    <w:p>
      <w:pPr>
        <w:keepNext/>
        <w:spacing w:after="240"/>
      </w:pPr>
      <w:hyperlink w:history="1" r:id="rId4lmevqb2nldgfkf4cy-we">
        <w:r>
          <w:rPr>
            <w:color w:val="507D82"/>
            <w:u w:val="single"/>
          </w:rPr>
          <w:t xml:space="preserve">Organisation Mondiale de la Propriété Intellectuelle, 15 octobre 2026</w:t>
        </w:r>
      </w:hyperlink>
    </w:p>
    <w:p>
      <w:pPr>
        <w:keepLines/>
        <w:spacing w:after="130" w:line="276"/>
        <w:jc w:val="both"/>
      </w:pPr>
      <w:r>
        <w:rPr>
          <w:b/>
          <w:bCs/>
          <w:color w:val="1F4E79"/>
        </w:rPr>
        <w:t xml:space="preserve">Contexte. </w:t>
      </w:r>
      <w:r>
        <w:t xml:space="preserve">Le neuvième Forum des juges de l’OMPI consacré à la propriété intellectuelle s’est tenu les 14 et 15 octobre 2026 au siège de l’Organisation à Genève, ainsi qu’en ligne. L’événement a enregistré plus de 970 inscriptions et réuni 167 juges en présentiel, issus notamment de cours suprêmes, de cours d’appel et de juridictions spécialisées en propriété intellectuelle.</w:t>
      </w:r>
    </w:p>
    <w:p>
      <w:pPr>
        <w:keepLines/>
        <w:spacing w:after="130" w:line="276"/>
        <w:jc w:val="both"/>
      </w:pPr>
      <w:r>
        <w:t xml:space="preserve">Les travaux ont porté sur les difficultés soulevées, dans le règlement des litiges de propriété intellectuelle, par l’intelligence artificielle, les plateformes en ligne et les activités transfrontières. Trois des neuf séances ont été consacrées à l’intelligence artificielle, sous l’angle des créations assistées ou générées par celle-ci, de l’utilisation d’œuvres protégées pour l’entraînement des modèles et de son emploi dans les procédures judiciaires.</w:t>
      </w:r>
    </w:p>
    <w:p>
      <w:pPr>
        <w:keepLines/>
        <w:spacing w:after="130" w:line="276"/>
        <w:jc w:val="both"/>
      </w:pPr>
      <w:r>
        <w:t xml:space="preserve">Le programme a également abordé les brevets relatifs aux logiciels et aux technologies numériques, l’utilisation de marques de tiers, la responsabilité des plateformes et des intermédiaires, les litiges transfrontières, les procédures spécialisées en propriété intellectuelle et le rôle des juridictions suprêmes. Le Forum constitue ainsi un espace d’échange d’expériences judiciaires sur des questions dont la dimension technique et internationale s’affirme.</w:t>
      </w:r>
    </w:p>
    <w:p>
      <w:pPr>
        <w:pBdr>
          <w:left w:val="single" w:color="507D82" w:sz="10" w:space="8"/>
        </w:pBdr>
        <w:spacing w:after="260" w:before="80"/>
        <w:ind w:left="180"/>
        <w:jc w:val="both"/>
      </w:pPr>
      <w:r>
        <w:t xml:space="preserve">L’attention accordée aux créations générées par l’intelligence artificielle, aux données d’entraînement protégées et à l’usage de ces outils dans les procédures judiciaires confirme la place centrale de ces questions dans les échanges judiciaires internationaux en matière de propriété intellectuelle.</w:t>
      </w:r>
    </w:p>
    <w:p>
      <w:pPr>
        <w:pStyle w:val="Heading2"/>
        <w:keepNext/>
        <w:spacing w:after="100" w:before="180"/>
      </w:pPr>
      <w:r>
        <w:rPr>
          <w:b/>
          <w:bCs/>
          <w:color w:val="1F4E79"/>
        </w:rPr>
        <w:t xml:space="preserve">L’OMPI étend l’initiative CLIP aux artistes visuels</w:t>
      </w:r>
    </w:p>
    <w:p>
      <w:pPr>
        <w:keepNext/>
        <w:spacing w:after="240"/>
      </w:pPr>
      <w:hyperlink w:history="1" r:id="rIdoetshbnknj9ysqycwzsi4">
        <w:r>
          <w:rPr>
            <w:color w:val="507D82"/>
            <w:u w:val="single"/>
          </w:rPr>
          <w:t xml:space="preserve">Organisation Mondiale de la Propriété Intellectuelle, OMPI, 14 octobre 2026</w:t>
        </w:r>
      </w:hyperlink>
    </w:p>
    <w:p>
      <w:pPr>
        <w:keepLines/>
        <w:spacing w:after="130" w:line="276"/>
        <w:jc w:val="both"/>
      </w:pPr>
      <w:r>
        <w:rPr>
          <w:b/>
          <w:bCs/>
          <w:color w:val="1F4E79"/>
        </w:rPr>
        <w:t xml:space="preserve">Contexte. </w:t>
      </w:r>
      <w:r>
        <w:t xml:space="preserve">L’Organisation Mondiale de la Propriété Intellectuelle annonce l’extension de l’initiative Creators Learn Intellectual Property, dite CLIP, au-delà du secteur musical, afin d’y intégrer des contenus consacrés aux arts visuels. Lancée en 2023, cette initiative est accessible gratuitement en ligne dans sept langues principales. Elle est détenue et administrée par WIPO for Creators, consortium dirigé par l’OMPI et cofondé avec la Music Rights Awareness Foundation.</w:t>
      </w:r>
    </w:p>
    <w:p>
      <w:pPr>
        <w:keepLines/>
        <w:spacing w:after="130" w:line="276"/>
        <w:jc w:val="both"/>
      </w:pPr>
      <w:r>
        <w:t xml:space="preserve">Les ressources nouvellement proposées s’adressent notamment aux peintres, sculpteurs, illustrateurs, photographes et muralistes. Elles abordent la qualité d’auteur, la protection des œuvres et les droits des créateurs, ainsi que l’attribution des œuvres et la concession de licences. Le dispositif traite également des modalités courantes selon lesquelles les œuvres peuvent être exposées, partagées ou commercialisées.</w:t>
      </w:r>
    </w:p>
    <w:p>
      <w:pPr>
        <w:keepLines/>
        <w:spacing w:after="130" w:line="276"/>
        <w:jc w:val="both"/>
      </w:pPr>
      <w:r>
        <w:t xml:space="preserve">Cette extension traduit une démarche de sensibilisation aux mécanismes de propriété intellectuelle applicables aux pratiques des artistes visuels. Le communiqué ne précise toutefois ni le détail des modules proposés, ni les conditions concrètes d’utilisation des ressources au-delà de leur mise à disposition gratuite en ligne.</w:t>
      </w:r>
    </w:p>
    <w:p>
      <w:pPr>
        <w:pBdr>
          <w:left w:val="single" w:color="507D82" w:sz="10" w:space="8"/>
        </w:pBdr>
        <w:spacing w:after="260" w:before="80"/>
        <w:ind w:left="180"/>
        <w:jc w:val="both"/>
      </w:pPr>
      <w:r>
        <w:t xml:space="preserve">Les contenus CLIP dédiés aux arts visuels couvrent notamment l’attribution, la licence et la commercialisation des œuvres, sujets directement liés à l’exploitation des créations par les artistes.</w:t>
      </w:r>
    </w:p>
    <w:p>
      <w:pPr>
        <w:pStyle w:val="Heading2"/>
        <w:keepNext/>
        <w:spacing w:after="100" w:before="180"/>
      </w:pPr>
      <w:r>
        <w:rPr>
          <w:b/>
          <w:bCs/>
          <w:color w:val="1F4E79"/>
        </w:rPr>
        <w:t xml:space="preserve">L’OEB actualise son tableau de bord de la qualité au troisième trimestre 2026</w:t>
      </w:r>
    </w:p>
    <w:p>
      <w:pPr>
        <w:keepNext/>
        <w:spacing w:after="240"/>
      </w:pPr>
      <w:hyperlink w:history="1" r:id="rId7y3ftirimyzck-qs42ojl">
        <w:r>
          <w:rPr>
            <w:color w:val="507D82"/>
            <w:u w:val="single"/>
          </w:rPr>
          <w:t xml:space="preserve">Office européen des brevets (OEB), 13 octobre 2026</w:t>
        </w:r>
      </w:hyperlink>
    </w:p>
    <w:p>
      <w:pPr>
        <w:keepLines/>
        <w:spacing w:after="130" w:line="276"/>
        <w:jc w:val="both"/>
      </w:pPr>
      <w:r>
        <w:t xml:space="preserve">L’Office européen des brevets a mis à jour son tableau de bord de la qualité afin d’y intégrer les résultats des audits conduits au troisième trimestre 2026. Lancé en mars 2024, cet outil présente périodiquement des indicateurs relatifs à la qualité des procédures de délivrance des brevets européens ainsi qu’à la satisfaction des utilisateurs.</w:t>
      </w:r>
    </w:p>
    <w:p>
      <w:pPr>
        <w:keepLines/>
        <w:spacing w:after="130" w:line="276"/>
        <w:jc w:val="both"/>
      </w:pPr>
      <w:r>
        <w:t xml:space="preserve">Sur une moyenne glissante de vingt-quatre mois, 93,1 % des recherches auditées ne comportaient aucune constatation concernant la nouveauté, l’activité inventive ou l’ajout de matière. L’OEB indique également que 88,6 % des délivrances auditées ne comportaient aucune constatation susceptible d’affecter leur validité, notamment au regard de ces mêmes exigences appliquées aux revendications indépendantes.</w:t>
      </w:r>
    </w:p>
    <w:p>
      <w:pPr>
        <w:keepLines/>
        <w:spacing w:after="130" w:line="276"/>
        <w:jc w:val="both"/>
      </w:pPr>
      <w:r>
        <w:t xml:space="preserve">Les constatations portant sur une appréciation incorrecte de la nouveauté ou de l’activité inventive au stade de la délivrance s’établissent à 6,3 %. L’OEB rapproche ce taux de celui de 9,5 % relevé dans son rapport qualité 2022. La publication ne précise pas les modalités détaillées des audits ni la ventilation des résultats par domaine technique ou par procédure.</w:t>
      </w:r>
    </w:p>
    <w:p>
      <w:pPr>
        <w:pBdr>
          <w:left w:val="single" w:color="507D82" w:sz="10" w:space="8"/>
        </w:pBdr>
        <w:spacing w:after="260" w:before="80"/>
        <w:ind w:left="180"/>
        <w:jc w:val="both"/>
      </w:pPr>
      <w:r>
        <w:t xml:space="preserve">Les indicateurs publiés distinguent la qualité de la recherche de celle de la délivrance et retiennent, pour cette dernière, les constatations susceptibles d’affecter la validité du brevet, en particulier au titre de la nouveauté, de l’activité inventive et de l’ajout de matière.</w:t>
      </w:r>
    </w:p>
    <w:p>
      <w:pPr>
        <w:pStyle w:val="Heading2"/>
        <w:keepNext/>
        <w:spacing w:after="100" w:before="180"/>
      </w:pPr>
      <w:r>
        <w:rPr>
          <w:b/>
          <w:bCs/>
          <w:color w:val="1F4E79"/>
        </w:rPr>
        <w:t xml:space="preserve">En Chine, l’essor du luxe d’occasion confronte les marques occidentales à de nouveaux enjeux contentieux</w:t>
      </w:r>
    </w:p>
    <w:p>
      <w:pPr>
        <w:keepNext/>
        <w:spacing w:after="240"/>
      </w:pPr>
      <w:hyperlink w:history="1" r:id="rIdctmvxo3p7khil-hp_1hku">
        <w:r>
          <w:rPr>
            <w:color w:val="507D82"/>
            <w:u w:val="single"/>
          </w:rPr>
          <w:t xml:space="preserve">Dépêche AFP reprise intégralement par Boursorama, 18 octobre 2026</w:t>
        </w:r>
      </w:hyperlink>
    </w:p>
    <w:p>
      <w:pPr>
        <w:keepNext/>
        <w:spacing w:after="180"/>
      </w:pPr>
      <w:r>
        <w:rPr>
          <w:b/>
          <w:bCs/>
          <w:i/>
          <w:iCs/>
          <w:color w:val="2E75B6"/>
        </w:rPr>
        <w:t xml:space="preserve">Signalé par l’alerte de Juliette.</w:t>
      </w:r>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La dépêche AFP relève l’essor du marché chinois du luxe d’occasion, dans un contexte de recul des dépenses consacrées aux biens de luxe personnels en Chine. Cette évolution place les marques occidentales face à des enjeux renouvelés de valorisation et de protection de leurs actifs immatériels sur le marché chinois.</w:t>
      </w:r>
    </w:p>
    <w:p>
      <w:pPr>
        <w:keepLines/>
        <w:spacing w:after="130" w:line="276"/>
        <w:jc w:val="both"/>
      </w:pPr>
      <w:r>
        <w:t xml:space="preserve">Louis Vuitton a obtenu gain de cause devant la justice chinoise contre la chaîne locale de thés au lait Molly Tea pour atteinte à sa marque. Selon l’article, le litige portait sur un logo floral jugé trop proche de celui de Louis Vuitton. La dépêche ne précise ni la juridiction saisie, ni la date de la décision, ni son numéro ou les motifs retenus par le juge.</w:t>
      </w:r>
    </w:p>
    <w:p>
      <w:pPr>
        <w:keepLines/>
        <w:spacing w:after="130" w:line="276"/>
        <w:jc w:val="both"/>
      </w:pPr>
      <w:r>
        <w:t xml:space="preserve">L’action a suscité des réactions en Chine. Certains internautes et médias d’État ont soutenu que le motif contesté trouverait également ses racines dans l’art décoratif chinois traditionnel. LVMH a, pour sa part, défendu sa position en soulignant le caractère essentiel de sa propriété intellectuelle. L’article met ainsi en lumière la sensibilité des litiges de marques lorsque la revendication d’un signe distinctif se confronte à des références culturelles alléguées.</w:t>
      </w:r>
    </w:p>
    <w:p>
      <w:pPr>
        <w:pBdr>
          <w:left w:val="single" w:color="507D82" w:sz="10" w:space="8"/>
        </w:pBdr>
        <w:spacing w:after="260" w:before="80"/>
        <w:ind w:left="180"/>
        <w:jc w:val="both"/>
      </w:pPr>
      <w:r>
        <w:t xml:space="preserve">L’obtention par Louis Vuitton d’une décision favorable contre Molly Tea confirme, au regard des seuls éléments rapportés, l’importance attachée à la défense des actifs de marque en Chine, y compris lorsque le signe contesté est présenté comme inspiré d’un patrimoine décoratif traditionnel.</w:t>
      </w:r>
    </w:p>
    <w:sectPr>
      <w:footerReference w:type="default" r:id="rId6"/>
      <w:pgSz w:w="12240" w:h="15840" w:orient="portrait"/>
      <w:pgMar w:top="1440" w:right="820" w:bottom="145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6-lwzp5hzvptbfzb399f" Type="http://schemas.openxmlformats.org/officeDocument/2006/relationships/hyperlink" Target="https://www.epo.org/boards-of-appeal/decisions/pdf/d250001eu1.pdf" TargetMode="External"/><Relationship Id="rId4lmevqb2nldgfkf4cy-we" Type="http://schemas.openxmlformats.org/officeDocument/2006/relationships/hyperlink" Target="https://www.wipo.int/en/web/judiciaries/w/news/2026/wipo-judges-forum-brings-together-judicial-experience" TargetMode="External"/><Relationship Id="rIdoetshbnknj9ysqycwzsi4" Type="http://schemas.openxmlformats.org/officeDocument/2006/relationships/hyperlink" Target="https://www.wipo.int/pressroom/en/articles/2026/article_0016.html" TargetMode="External"/><Relationship Id="rId7y3ftirimyzck-qs42ojl" Type="http://schemas.openxmlformats.org/officeDocument/2006/relationships/hyperlink" Target="https://www.epo.org/en/news-events/news/quality-dashboard-quarterly-update-4" TargetMode="External"/><Relationship Id="rIdctmvxo3p7khil-hp_1hku" Type="http://schemas.openxmlformats.org/officeDocument/2006/relationships/hyperlink" Target="https://www.boursorama.com/bourse/actualites/en-chine-l-essor-du-luxe-d-occasion-bouscule-les-marques-occidentales-3e6644a45fc2a664752f8de3c0db45ff"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12 octobre au 18 octobre 2026</dc:title>
  <dc:creator>Veille IP DLA</dc:creator>
  <dc:description>Veille hebdomadaire de propriété intellectuelle</dc:description>
  <cp:lastModifiedBy>Un-named</cp:lastModifiedBy>
  <cp:revision>1</cp:revision>
  <dcterms:created xsi:type="dcterms:W3CDTF">2026-10-18T20:25:21.860Z</dcterms:created>
  <dcterms:modified xsi:type="dcterms:W3CDTF">2026-10-18T20:25:21.860Z</dcterms:modified>
</cp:coreProperties>
</file>

<file path=docProps/custom.xml><?xml version="1.0" encoding="utf-8"?>
<Properties xmlns="http://schemas.openxmlformats.org/officeDocument/2006/custom-properties" xmlns:vt="http://schemas.openxmlformats.org/officeDocument/2006/docPropsVTypes"/>
</file>