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Du 31 août au 6 septembre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u w:val="single"/>
        </w:rPr>
        <w:t xml:space="preserve">Marques : Le Tribunal de l’Union européenne statue sur la marque « HealthLabs PHARM »</w:t>
      </w:r>
    </w:p>
    <w:p>
      <w:pPr>
        <w:spacing w:after="240"/>
      </w:pPr>
      <w:hyperlink w:history="1" r:id="rIdpvvxgwz1zmulrewyao0xa">
        <w:r>
          <w:rPr>
            <w:color w:val="507D82"/>
            <w:u w:val="single"/>
          </w:rPr>
          <w:t xml:space="preserve">Tribunal de l’Union européenne, deuxième chambre, 2 septembre 2026, T-681/25, Health Labs Care / EUIPO, Onebrand Trading e.a. (HealthLabs PHARM), ECLI:EU:T:2026:508, 2026-09-02</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Le 2 septembre 2026, le Tribunal de l’Union européenne a rendu un arrêt dans l’affaire T-681/25, Health Labs Care / EUIPO, Onebrand Trading e.a. (HealthLabs PHARM), répertorié sous l’identifiant ECLI:EU:T:2026:508. La fiche institutionnelle InfoCuria accessible pour cette décision la qualifie d’arrêt du Tribunal et rattache le dossier au contentieux des marques, relevant de la propriété intellectuelle, industrielle et commerciale. Elle identifie Health Labs Care comme requérante, l’EUIPO comme défendeur et Onebrand Trading e.a. comme autres parties à la procédure. Toutefois, l’accès disponible ne permet pas de consulter le texte de l’arrêt, son dispositif, ni les motifs retenus par le Tribunal. La présente fiche se limite donc strictement aux éléments institutionnels vérifiables publiés dans la période retenue.</w:t>
      </w:r>
    </w:p>
    <w:p>
      <w:pPr>
        <w:spacing w:after="180" w:line="300"/>
        <w:jc w:val="both"/>
      </w:pPr>
      <w:r>
        <w:t xml:space="preserve">Les éléments accessibles établissent que l’arrêt a été prononcé par le Tribunal le 2 septembre 2026, dans l’affaire T-681/25, à la suite d’un recours introduit par Health Labs Care contre l’EUIPO, auquel étaient associées Onebrand Trading e.a. en qualité d’autres parties à la procédure. La dénomination usuelle du litige comprend la mention « HealthLabs PHARM ». La fiche juridictionnelle relève que le dossier ressortit au domaine des marques. Elle permet également d’identifier la décision de la chambre de recours concernée sous la référence R 2389/2024-2. En revanche, le document institutionnel accessible ne reproduit ni la marque antérieure éventuellement invoquée, ni les produits ou services concernés, ni les signes tels qu’examinés par l’EUIPO, ni la teneur de la décision de la chambre de recours. Ces circonstances de fait et ces étapes administratives ne peuvent dès lors pas être précisées sans accéder au texte intégral de l’arrêt ou à un document décisionnel primaire complet.</w:t>
      </w:r>
    </w:p>
    <w:p>
      <w:pPr>
        <w:spacing w:after="180" w:line="300"/>
        <w:jc w:val="both"/>
      </w:pPr>
      <w:r>
        <w:t xml:space="preserve">Aucun moyen, grief ou argument développé par Health Labs Care, l’EUIPO ou Onebrand Trading e.a. n’apparaît dans les informations institutionnelles effectivement consultables. Il n’est donc pas possible d’établir si le recours contestait une appréciation relative au risque de confusion, à la similitude des signes, à la comparaison des produits et services, au caractère distinctif d’un élément verbal, à la preuve de l’usage, ou à tout autre motif du droit des marques de l’Union. De même, la portée exacte de la contestation de la décision R 2389/2024-2 n’est pas précisée dans la source accessible. Toute présentation plus détaillée des thèses respectives des parties excéderait les informations vérifiables et ne saurait être retenue.</w:t>
      </w:r>
    </w:p>
    <w:p>
      <w:pPr>
        <w:spacing w:after="180" w:line="300"/>
        <w:jc w:val="both"/>
      </w:pPr>
      <w:r>
        <w:t xml:space="preserve">La question de droit ne peut pas être formulée de manière certaine à partir des seules données accessibles. Il peut uniquement être constaté que le Tribunal était saisi d’un recours relevant du contentieux des marques de l’Union, relatif au signe « HealthLabs PHARM » et dirigé contre une décision identifiée sous la référence R 2389/2024-2. Le contenu de la question soumise au Tribunal, les dispositions du règlement sur la marque de l’Union éventuellement invoquées et le contrôle juridictionnel effectivement exercé ne sont pas reproduits dans l’interface institutionnelle consultée. Il n’est, en particulier, pas établi que le litige portait sur un motif relatif de refus ou de nullité, sur un motif absolu, ou sur une question procédurale propre à la procédure devant l’EUIPO.</w:t>
      </w:r>
    </w:p>
    <w:p>
      <w:pPr>
        <w:spacing w:after="180" w:line="300"/>
        <w:jc w:val="both"/>
      </w:pPr>
      <w:r>
        <w:t xml:space="preserve">Le texte des motifs de l’arrêt n’a pas pu être obtenu par l’intermédiaire de la fiche InfoCuria consultable. Cette dernière confirme l’existence d’un arrêt rendu par le Tribunal, sa date, son numéro, son identifiant ECLI, son rattachement matériel aux marques et l’identité des principales parties. Elle ne donne toutefois accès ni aux considérants, ni aux références normatives, ni aux critères d’appréciation appliqués, ni à l’analyse des éléments factuels et juridiques du dossier. Il n’est donc pas possible de restituer, sans extrapolation, le raisonnement du Tribunal concernant le signe « HealthLabs PHARM ». Une analyse circonstanciée nécessiterait la consultation du document décisionnel intégral, notamment afin d’identifier les moyens examinés, leur ordre de traitement, les éléments de preuve retenus et les motifs justifiant la solution.</w:t>
      </w:r>
    </w:p>
    <w:p>
      <w:pPr>
        <w:spacing w:after="180" w:line="300"/>
        <w:jc w:val="both"/>
      </w:pPr>
      <w:r>
        <w:t xml:space="preserve">La source institutionnelle confirme qu’un arrêt a été rendu le 2 septembre 2026 dans l’affaire T-681/25, sous la référence ECLI:EU:T:2026:508. En revanche, elle ne permet pas de vérifier le sens du dispositif. Il n’est ainsi pas possible d’affirmer si le Tribunal a accueilli, rejeté ou déclaré irrecevable le recours de Health Labs Care, ni de déterminer les éventuelles conséquences de l’arrêt sur la décision R 2389/2024-2. Le sort des dépens n’est pas davantage précisé. Ces éléments devront être vérifiés directement dans la version intégrale de l’arrêt lorsqu’elle sera accessible.</w:t>
      </w:r>
    </w:p>
    <w:p>
      <w:pPr>
        <w:pBdr>
          <w:left w:val="single" w:color="507D82" w:sz="10" w:space="8"/>
        </w:pBdr>
        <w:spacing w:after="260" w:before="80"/>
        <w:ind w:left="180"/>
        <w:jc w:val="both"/>
      </w:pPr>
      <w:r>
        <w:rPr>
          <w:b/>
          <w:bCs/>
        </w:rPr>
        <w:t xml:space="preserve">Portée pratique. </w:t>
      </w:r>
      <w:r>
        <w:t xml:space="preserve">L’arrêt appelle une vigilance particulière pour les titulaires et demandeurs de marques intervenant dans les secteurs de la santé, des laboratoires ou des produits pharmaceutiques, dès lors que le signe en cause associe les éléments « HealthLabs » et « PHARM ». Néanmoins, la portée opérationnelle de la décision ne peut être déterminée de façon fiable en l’absence du texte intégral. Il conviendra, avant toute exploitation contentieuse ou stratégique de cette décision, de vérifier le dispositif, les produits et services visés, les marques opposées, les moyens soulevés et les motifs exacts du Tribunal. À ce stade, la décision peut seulement être signalée comme un arrêt récent du Tribunal en matière de marques de l’Union, sans en déduire une orientation jurisprudentielle précise.</w:t>
      </w:r>
    </w:p>
    <w:p>
      <w:pPr>
        <w:pStyle w:val="Heading2"/>
        <w:keepNext/>
        <w:spacing w:after="100" w:before="180"/>
      </w:pPr>
      <w:r>
        <w:rPr>
          <w:b/>
          <w:bCs/>
          <w:u w:val="single"/>
        </w:rPr>
        <w:t xml:space="preserve">Marques et représentation de produit : Le Tribunal examine la protection d’une représentation de semelle de chaussure</w:t>
      </w:r>
    </w:p>
    <w:p>
      <w:pPr>
        <w:spacing w:after="240"/>
      </w:pPr>
      <w:hyperlink w:history="1" r:id="rIdytmnszwz_tj_uw1iaffyp">
        <w:r>
          <w:rPr>
            <w:color w:val="507D82"/>
            <w:u w:val="single"/>
          </w:rPr>
          <w:t xml:space="preserve">Tribunal de l’Union européenne, 2 septembre 2026, Puma / EUIPO, Sir Safety System, aff. T-376/25, ECLI:EU:T:2026:515, 2026-09-02</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Le 2 septembre 2026, le Tribunal de l’Union européenne a rendu son arrêt dans l’affaire T-376/25, Puma / EUIPO, Sir Safety System, identifiée sous l’ECLI:EU:T:2026:515. La décision est répertoriée par la Cour de justice de l’Union européenne comme relevant de la propriété intellectuelle et comme portant sur une « représentation de la semelle de chaussure ». Les informations institutionnelles accessibles confirment que l’affaire a été examinée par la septième chambre du Tribunal et que la langue de procédure est l’anglais. En revanche, le texte intégral de l’arrêt, y compris ses motifs et son dispositif, n’a pas pu être consulté au moyen de la source primaire disponible. La présente fiche se limite donc strictement aux éléments vérifiables dans les données institutionnelles accessibles, sans inférer le sens de la solution ni le contenu des questions tranchées.</w:t>
      </w:r>
    </w:p>
    <w:p>
      <w:pPr>
        <w:spacing w:after="180" w:line="300"/>
        <w:jc w:val="both"/>
      </w:pPr>
      <w:r>
        <w:t xml:space="preserve">L’affaire met en présence Puma, l’Office de l’Union européenne pour la propriété intellectuelle et Sir Safety System. Son intitulé officiel rattache le litige à une représentation de semelle de chaussure. Cette seule désignation permet d’identifier l’objet matériel général du différend, sans toutefois autoriser une description plus précise de la représentation en cause, de ses caractéristiques visuelles, de sa portée revendiquée ou du titre de propriété intellectuelle invoqué. Les données accessibles ne précisent pas davantage la qualité procédurale respective de Puma et de Sir Safety System dans l’instance devant l’EUIPO, ni l’existence, la nature ou les dates des décisions administratives antérieures. Elles ne permettent pas non plus d’établir si le recours concernait l’enregistrement, la nullité, la validité, l’étendue de la protection ou un autre aspect du régime applicable. Il est seulement établi qu’un arrêt a été prononcé par le Tribunal le 2 septembre 2026 dans cette affaire, sous la référence T-376/25.</w:t>
      </w:r>
    </w:p>
    <w:p>
      <w:pPr>
        <w:spacing w:after="180" w:line="300"/>
        <w:jc w:val="both"/>
      </w:pPr>
      <w:r>
        <w:t xml:space="preserve">Les informations institutionnelles consultables ne reproduisent pas les prétentions des parties, les moyens invoqués par Puma, les observations de l’EUIPO ni la position soutenue par Sir Safety System. Il n’est dès lors pas possible d’identifier les dispositions du droit de l’Union dont l’interprétation ou l’application était contestée, ni de déterminer si le litige portait notamment sur les conditions de protection d’une apparence de produit, sur la qualification de la représentation, sur les exigences de divulgation, sur le caractère individuel, sur la fonctionnalité ou sur l’appréciation d’une éventuelle cause de nullité. Il n’est pas davantage précisé si les parties discutaient la perception de l’utilisateur averti, la liberté du créateur, la comparaison avec des réalisations antérieures ou les effets d’un enregistrement international. Toute présentation affirmative de ces questions dépasserait les informations effectivement accessibles.</w:t>
      </w:r>
    </w:p>
    <w:p>
      <w:pPr>
        <w:spacing w:after="180" w:line="300"/>
        <w:jc w:val="both"/>
      </w:pPr>
      <w:r>
        <w:t xml:space="preserve">Au regard des seules données accessibles, la question de droit ne peut être formulée qu’à un niveau général : dans quelles conditions le Tribunal était-il appelé à contrôler une décision de l’EUIPO relative à une représentation de semelle de chaussure opposant Puma à Sir Safety System ? La source accessible ne précise pas la norme juridique exacte soumise au contrôle du Tribunal, le grief articulé à l’encontre de la décision de l’EUIPO ni la question spécifique dont dépendait l’issue du recours. Il n’est donc pas possible de formuler, sans extrapolation, une question de droit plus circonscrite.</w:t>
      </w:r>
    </w:p>
    <w:p>
      <w:pPr>
        <w:spacing w:after="180" w:line="300"/>
        <w:jc w:val="both"/>
      </w:pPr>
      <w:r>
        <w:t xml:space="preserve">Le raisonnement du Tribunal ne peut être analysé de manière substantielle, faute d’accès au texte de la décision. Les données institutionnelles accessibles attestent de l’existence de l’arrêt, de sa date, de sa référence, de son ECLI, de la composition juridictionnelle saisie et de son rattachement à la propriété intellectuelle. Elles ne contiennent toutefois aucun exposé des faits pertinents, aucune mention des moyens du recours, aucune réponse du Tribunal aux arguments des parties et aucune indication sur les critères juridiques appliqués. Il n’est notamment pas possible de vérifier la méthode de comparaison éventuellement retenue pour la représentation litigieuse, l’appréciation qui aurait été portée sur ses éléments caractéristiques, ni l’incidence de précédents ou de preuves versées au dossier. Dans ces conditions, une analyse du raisonnement juridique, même présentée sous forme de synthèse, ne serait pas vérifiable et contreviendrait à l’exigence de ne pas attribuer au Tribunal des motifs non accessibles.</w:t>
      </w:r>
    </w:p>
    <w:p>
      <w:pPr>
        <w:spacing w:after="180" w:line="300"/>
        <w:jc w:val="both"/>
      </w:pPr>
      <w:r>
        <w:t xml:space="preserve">La source institutionnelle accessible confirme qu’un arrêt a été rendu le 2 septembre 2026 dans l’affaire T-376/25, ECLI:EU:T:2026:515. Elle ne permet pas de déterminer si le Tribunal a accueilli, rejeté ou déclaré irrecevable le recours, ni si la décision de l’EUIPO a été annulée, confirmée ou modifiée. Elle ne fournit pas davantage d’information sur les dépens. Le dispositif de l’arrêt doit donc être vérifié directement dans le document officiel intégral avant toute utilisation contentieuse, transactionnelle ou stratégique de cette décision.</w:t>
      </w:r>
    </w:p>
    <w:p>
      <w:pPr>
        <w:pBdr>
          <w:left w:val="single" w:color="507D82" w:sz="10" w:space="8"/>
        </w:pBdr>
        <w:spacing w:after="260" w:before="80"/>
        <w:ind w:left="180"/>
        <w:jc w:val="both"/>
      </w:pPr>
      <w:r>
        <w:rPr>
          <w:b/>
          <w:bCs/>
        </w:rPr>
        <w:t xml:space="preserve">Portée pratique. </w:t>
      </w:r>
      <w:r>
        <w:t xml:space="preserve">Cette affaire appelle une vérification prioritaire du texte intégral de l’arrêt dès qu’il sera techniquement accessible, compte tenu de son objet relatif à la représentation d’une semelle de chaussure et de l’implication d’un titulaire particulièrement actif dans les secteurs de l’habillement et de la chaussure. À ce stade, aucune règle opérationnelle ne peut être déduite de manière certaine pour les dépôts, les actions en nullité ou les recours devant l’EUIPO. Les praticiens doivent donc s’abstenir d’en tirer une position sur la protection des éléments visuels de produits ou sur l’étendue des droits concernés. Une mise à jour devra porter sur le titre invoqué, les antériorités éventuelles, la norme appliquée par le Tribunal, le sort réservé au recours et les enseignements concrets pour la définition graphique de l’objet protégé.</w:t>
      </w:r>
    </w:p>
    <w:p>
      <w:pPr>
        <w:pStyle w:val="Heading2"/>
        <w:keepNext/>
        <w:spacing w:after="100" w:before="180"/>
      </w:pPr>
      <w:r>
        <w:rPr>
          <w:b/>
          <w:bCs/>
          <w:u w:val="single"/>
        </w:rPr>
        <w:t xml:space="preserve">Marques, combinaisons de couleurs : Le Tribunal rend deux arrêts relatifs à la protection de combinaisons de couleurs</w:t>
      </w:r>
    </w:p>
    <w:p>
      <w:pPr>
        <w:spacing w:after="240"/>
      </w:pPr>
      <w:hyperlink w:history="1" r:id="rIdyvbe7_2iutvnn8digi9x1">
        <w:r>
          <w:rPr>
            <w:color w:val="507D82"/>
            <w:u w:val="single"/>
          </w:rPr>
          <w:t xml:space="preserve">Tribunal de l’Union européenne, deuxième chambre, 2 septembre 2026, Olymp Bezner contre EUIPO, affaires T-834/25 et T-835/25, ECLI:EU:T:2026:509 et ECLI:EU:T:2026:510, 2026-09-02</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Le 2 septembre 2026, le Tribunal de l’Union européenne a rendu deux arrêts dans les affaires T-834/25 et T-835/25, opposant Olymp Bezner à l’Office de l’Union européenne pour la propriété intellectuelle. Les intitulés publiés par Curia rattachent ces affaires, respectivement, à une combinaison des trois couleurs blanc, bleu foncé et bleu, et à la représentation de cette combinaison. Les deux recours, traités par la deuxième chambre du Tribunal, s’inscrivent ainsi dans le contentieux de la représentation et de la protection des marques de couleur. Toutefois, le texte intégral des arrêts n’a pas été accessible lors de la consultation de la source institutionnelle. Il n’est donc pas possible de restituer avec certitude les faits propres à chaque affaire, les décisions de l’EUIPO attaquées, les moyens présentés par la requérante, ni le dispositif adopté par le Tribunal.</w:t>
      </w:r>
    </w:p>
    <w:p>
      <w:pPr>
        <w:spacing w:after="180" w:line="300"/>
        <w:jc w:val="both"/>
      </w:pPr>
      <w:r>
        <w:t xml:space="preserve">Les seules données institutionnelles accessibles permettent d’établir que les deux affaires ont été jugées le 2 septembre 2026 par la deuxième chambre du Tribunal et qu’elles opposent Olymp Bezner à l’EUIPO. L’affaire T-834/25 est identifiée par l’intitulé relatif à une combinaison des trois couleurs blanc, bleu foncé et bleu. L’affaire T-835/25 est identifiée par un intitulé relatif à la représentation de cette même combinaison de couleurs. Les références ECLI respectives sont ECLI:EU:T:2026:509 et ECLI:EU:T:2026:510. Aucun élément consultable ne précise la nature exacte de la procédure administrative antérieure devant l’EUIPO, l’identité de la chambre de recours ayant statué, les produits ou services concernés, la date et le contenu des décisions attaquées, ni les caractéristiques graphiques ou chromatiques exactes des signes en cause. Ces données ne sauraient être reconstituées à partir des seuls intitulés des affaires.</w:t>
      </w:r>
    </w:p>
    <w:p>
      <w:pPr>
        <w:spacing w:after="180" w:line="300"/>
        <w:jc w:val="both"/>
      </w:pPr>
      <w:r>
        <w:t xml:space="preserve">La source accessible identifie Olymp Bezner comme partie requérante et l’EUIPO comme partie défenderesse. Elle ne reproduit pas les écritures des parties, les moyens invoqués devant le Tribunal, ni les réponses de l’EUIPO. Il n’est notamment pas possible de déterminer si les recours portaient sur l’application des exigences de représentation claire et précise du signe, sur le caractère distinctif intrinsèque ou acquis par l’usage, sur l’étendue de la protection revendiquée, ou sur toute autre condition de validité ou d’enregistrement d’une marque de l’Union européenne. De même, il n’est pas précisé si les deux affaires concernaient un même signe soumis sous deux modalités de représentation distinctes, ou deux demandes ou enregistrements différents. Toute qualification plus précise des thèses respectivement défendues excéderait les informations effectivement vérifiables.</w:t>
      </w:r>
    </w:p>
    <w:p>
      <w:pPr>
        <w:spacing w:after="180" w:line="300"/>
        <w:jc w:val="both"/>
      </w:pPr>
      <w:r>
        <w:t xml:space="preserve">Au regard des seuls intitulés publiés, les affaires semblent soulever des questions relatives à la combinaison de couleurs blanc, bleu foncé et bleu ainsi qu’à sa représentation. La question de droit exacte n’est cependant pas précisée dans la source accessible. Il ne peut donc être affirmé que le Tribunal ait été saisi d’une question déterminée relative aux conditions de représentation d’une marque de couleur, à la délimitation de son objet de protection ou à son aptitude à distinguer l’origine commerciale des produits ou services. La formulation précise de la question de droit requiert la consultation du texte des arrêts ou, à tout le moins, des informations procédurales complètes publiées par la juridiction.</w:t>
      </w:r>
    </w:p>
    <w:p>
      <w:pPr>
        <w:spacing w:after="180" w:line="300"/>
        <w:jc w:val="both"/>
      </w:pPr>
      <w:r>
        <w:t xml:space="preserve">Le raisonnement du Tribunal ne peut être analysé sur une base vérifiable en l’absence d’accès au texte intégral des décisions. La publication institutionnelle accessible confirme l’existence des deux jugements, leur date, leur formation de jugement, leur numérotation et leur rattachement thématique à la combinaison de blanc, bleu foncé et bleu. Elle ne contient en revanche aucun motif, aucune référence aux dispositions appliquées, aucune indication sur les critères d’appréciation retenus, ni aucun passage permettant d’identifier le contrôle exercé par le Tribunal sur les décisions de l’EUIPO. Il n’est dès lors pas possible d’exposer les étapes du raisonnement juridictionnel sans risquer d’attribuer au Tribunal des considérations non vérifiées. Une analyse complète devra être établie après obtention des versions intégrales des arrêts ECLI:EU:T:2026:509 et ECLI:EU:T:2026:510.</w:t>
      </w:r>
    </w:p>
    <w:p>
      <w:pPr>
        <w:spacing w:after="180" w:line="300"/>
        <w:jc w:val="both"/>
      </w:pPr>
      <w:r>
        <w:t xml:space="preserve">La source institutionnelle consultée établit que deux arrêts ont été rendus le 2 septembre 2026 dans les affaires T-834/25 et T-835/25. Le résultat de chacun des recours n’est pas précisé dans les informations accessibles. Il ne peut donc être indiqué si le Tribunal a accueilli, rejeté ou déclaré irrecevable les recours d’Olymp Bezner, ni s’il a annulé, confirmé ou modifié les décisions de l’EUIPO. Le dispositif, y compris l’éventuelle répartition des dépens, n’est pas accessible et doit être vérifié dans les textes authentiques des décisions.</w:t>
      </w:r>
    </w:p>
    <w:p>
      <w:pPr>
        <w:pBdr>
          <w:left w:val="single" w:color="507D82" w:sz="10" w:space="8"/>
        </w:pBdr>
        <w:spacing w:after="260" w:before="80"/>
        <w:ind w:left="180"/>
        <w:jc w:val="both"/>
      </w:pPr>
      <w:r>
        <w:rPr>
          <w:b/>
          <w:bCs/>
        </w:rPr>
        <w:t xml:space="preserve">Portée pratique. </w:t>
      </w:r>
      <w:r>
        <w:t xml:space="preserve">Ces deux affaires appellent une attention particulière pour les titulaires et déposants de signes constitués de combinaisons de couleurs, dès lors que leurs intitulés portent à la fois sur la combinaison chromatique elle-même et sur sa représentation. À ce stade, aucune règle opérationnelle ne peut néanmoins être déduite de manière fiable des arrêts, faute d’accès à leurs motifs et à leur dispositif. La veille devra être complétée par la consultation des décisions intégrales, afin d’identifier la portée exacte retenue par le Tribunal concernant la désignation du signe, les éléments de représentation examinés et, le cas échéant, les conséquences sur les pratiques de dépôt et de gestion des portefeuilles de marques de couleur.</w:t>
      </w:r>
    </w:p>
    <w:p>
      <w:pPr>
        <w:pStyle w:val="Heading2"/>
        <w:keepNext/>
        <w:spacing w:after="100" w:before="180"/>
      </w:pPr>
      <w:r>
        <w:rPr>
          <w:b/>
          <w:bCs/>
          <w:u w:val="single"/>
        </w:rPr>
        <w:t xml:space="preserve">Marques et concurrence déloyale : La compétence exclusive du tribunal judiciaire en matière de marques ne s’étend pas à toute action en concurrence déloyale</w:t>
      </w:r>
    </w:p>
    <w:p>
      <w:pPr>
        <w:spacing w:after="240"/>
      </w:pPr>
      <w:hyperlink w:history="1" r:id="rIdrewixaqp1-zsrxrgi09v2">
        <w:r>
          <w:rPr>
            <w:color w:val="507D82"/>
            <w:u w:val="single"/>
          </w:rPr>
          <w:t xml:space="preserve">Cour de cassation, chambre commerciale, financière et économique, 2 septembre 2026, n° 25-12.118, arrêt n° 411 F-B, ECLI:FR:CCASS:2026:CO00411, 2026-09-02</w:t>
        </w:r>
      </w:hyperlink>
    </w:p>
    <w:p>
      <w:pPr>
        <w:spacing w:after="180" w:line="300"/>
        <w:jc w:val="both"/>
      </w:pPr>
      <w:r>
        <w:t xml:space="preserve">Par cet arrêt publié au Bulletin, la chambre commerciale précise les limites de la compétence exclusive conférée aux tribunaux judiciaires spécialement désignés en matière de marques par l’article L. 716-5, II, du code de la propriété intellectuelle. La seule circonstance qu’un signe invoqué dans une action en concurrence déloyale ait fait l’objet d’un dépôt de marque ne suffit pas à faire relever le litige de cette compétence spéciale. Encore faut-il que la demande implique effectivement l’examen de l’existence ou de la méconnaissance d’un droit attaché à une marque, ou la mise en œuvre des règles propres au droit de la propriété intellectuelle.</w:t>
      </w:r>
    </w:p>
    <w:p>
      <w:pPr>
        <w:spacing w:after="180" w:line="300"/>
        <w:jc w:val="both"/>
      </w:pPr>
      <w:r>
        <w:t xml:space="preserve">Une SARL Guyane pièces auto a assigné une SAS portant la même dénomination devant le tribunal mixte de commerce de Cayenne, sur le fondement de la concurrence déloyale. Elle reprochait à la défenderesse l’usurpation de sa dénomination sociale et de son nom commercial. La SAS a opposé l’incompétence matérielle du tribunal mixte de commerce au profit du tribunal judiciaire de Fort-de-France, en faisant valoir que le signe « GPA Guyane pièces auto » avait été déposé à titre de marque auprès de l’Institut national de la propriété industrielle. Le tribunal mixte de commerce de Cayenne a accueilli cette exception par jugement du 23 juin 2023. La cour d’appel de Cayenne a confirmé cette décision par arrêt du 25 novembre 2024. La SARL demanderesse a formé un pourvoi contre cet arrêt sur compétence.</w:t>
      </w:r>
    </w:p>
    <w:p>
      <w:pPr>
        <w:spacing w:after="180" w:line="300"/>
        <w:jc w:val="both"/>
      </w:pPr>
      <w:r>
        <w:t xml:space="preserve">Dans la branche du moyen retenue, la SARL soutenait que le retrait total de la demande de marque « GPA Guyane pièces auto », intervenu le 22 juillet 2022, empêchait que l’action en concurrence déloyale implique l’examen d’un droit de marque. Elle en déduisait que la juridiction saisie n’avait pas à mettre en œuvre les règles spécifiques du droit des marques et que la compétence exclusive du tribunal judiciaire ne pouvait être retenue. La SAS avait initialement fondé son exception sur le dépôt du signe litigieux comme marque et sur l’incidence que l’interdiction sollicitée aurait, selon elle, sur l’usage de ce signe.</w:t>
      </w:r>
    </w:p>
    <w:p>
      <w:pPr>
        <w:spacing w:after="180" w:line="300"/>
        <w:jc w:val="both"/>
      </w:pPr>
      <w:r>
        <w:t xml:space="preserve">Une demande fondée exclusivement sur l’article 1240 du code civil, tendant à faire cesser l’usurpation d’une dénomination sociale, relève-t-elle de la compétence exclusive du tribunal judiciaire en matière de marques lorsque cette dénomination a fait l’objet d’un dépôt de marque, mais que la demande de marque a été totalement retirée avant que la juridiction statue sur l’exception d’incompétence ?</w:t>
      </w:r>
    </w:p>
    <w:p>
      <w:pPr>
        <w:spacing w:after="180" w:line="300"/>
        <w:jc w:val="both"/>
      </w:pPr>
      <w:r>
        <w:t xml:space="preserve">La Cour vise l’article L. 716-5, II, du code de la propriété intellectuelle, selon lequel les actions civiles et demandes relatives aux marques, y compris lorsqu’elles portent également sur une question connexe de concurrence déloyale, sont exclusivement portées devant les tribunaux judiciaires déterminés par voie réglementaire. Elle relève que la cour d’appel avait constaté, d’une part, que l’action visait l’utilisation de la dénomination sociale « Guyane pièces auto » et, d’autre part, que la demande de marque déposée par la SAS avait fait l’objet d’un retrait total. Or, à la date à laquelle le tribunal mixte de commerce avait statué sur l’exception, la SAS n’était titulaire d’aucune marque en vigueur susceptible d’être affectée par l’interdiction demandée. Il en résultait que l’action en concurrence déloyale pour usurpation de dénomination sociale n’impliquait ni examen de l’existence ou de la méconnaissance d’un droit attaché à une marque, ni mise en œuvre des règles particulières du droit de la propriété intellectuelle. La cour d’appel avait donc fait une fausse application de l’article L. 716-5, II. La Cour de cassation statue ensuite au fond, dans l’intérêt d’une bonne administration de la justice, sur le fondement des articles L. 411-3 du code de l’organisation judiciaire et 627 du code de procédure civile.</w:t>
      </w:r>
    </w:p>
    <w:p>
      <w:pPr>
        <w:spacing w:after="180" w:line="300"/>
        <w:jc w:val="both"/>
      </w:pPr>
      <w:r>
        <w:t xml:space="preserve">La Cour de cassation casse et annule l’arrêt de la cour d’appel de Cayenne en toutes ses dispositions, sans renvoi. Elle infirme également le jugement du tribunal mixte de commerce de Cayenne du 23 juin 2023 et déclare cette juridiction matériellement compétente. Elle constate que l’action avait été engagée sur le seul fondement de l’article 1240 du code civil et que les demandes ne nécessitaient pas de statuer sur la validité ou la contrefaçon d’une marque. La SAS est condamnée aux dépens, y compris ceux exposés devant les juridictions du fond, ainsi qu’au paiement de 1 500 euros au titre des frais irrépétibles d’appel et de 3 000 euros sur le fondement de l’article 700 du code de procédure civile.</w:t>
      </w:r>
    </w:p>
    <w:p>
      <w:pPr>
        <w:pBdr>
          <w:left w:val="single" w:color="507D82" w:sz="10" w:space="8"/>
        </w:pBdr>
        <w:spacing w:after="260" w:before="80"/>
        <w:ind w:left="180"/>
        <w:jc w:val="both"/>
      </w:pPr>
      <w:r>
        <w:rPr>
          <w:b/>
          <w:bCs/>
        </w:rPr>
        <w:t xml:space="preserve">Portée pratique. </w:t>
      </w:r>
      <w:r>
        <w:t xml:space="preserve">L’arrêt impose une analyse concrète de l’objet des demandes et de l’état des droits invoqués à la date d’examen de l’exception de procédure. La compétence spéciale en matière de marques ne résulte pas d’un simple arrière-plan factuel ou historique de propriété industrielle. Elle suppose que la solution du litige commande effectivement d’apprécier un droit de marque ou d’appliquer les règles du code de la propriété intellectuelle. Les demandeurs doivent donc veiller à qualifier avec précision le fondement et l’objet de leurs prétentions. Les défendeurs ne peuvent, symétriquement, obtenir le dessaisissement de la juridiction commerciale par la seule invocation d’un dépôt de marque retiré et dépourvu d’effet au moment où la compétence est appréciée. La décision distingue ainsi l’action autonome en concurrence déloyale, fondée sur l’usurpation d’un signe distinctif non protégé par une marque en vigueur, de l’action qui, sous cette qualification, mettrait en réalité en cause l’existence, la portée, la validité ou la violation d’un droit de marque.</w:t>
      </w:r>
    </w:p>
    <w:p>
      <w:pPr>
        <w:pStyle w:val="Heading1"/>
        <w:pBdr>
          <w:bottom w:val="single" w:color="222222" w:sz="6" w:space="6"/>
        </w:pBdr>
        <w:spacing w:after="180" w:before="300"/>
      </w:pPr>
      <w:r>
        <w:rPr>
          <w:b/>
          <w:bCs/>
        </w:rPr>
        <w:t xml:space="preserve">ACTUALITÉS</w:t>
      </w:r>
    </w:p>
    <w:p>
      <w:pPr>
        <w:pStyle w:val="Heading2"/>
        <w:keepNext/>
        <w:spacing w:after="100" w:before="180"/>
      </w:pPr>
      <w:r>
        <w:rPr>
          <w:b/>
          <w:bCs/>
          <w:u w:val="single"/>
        </w:rPr>
        <w:t xml:space="preserve">L’EUIPO adopte une décision relative aux audits des décisions et aux contrôles qualité associés</w:t>
      </w:r>
    </w:p>
    <w:p>
      <w:pPr>
        <w:spacing w:after="240"/>
      </w:pPr>
      <w:hyperlink w:history="1" r:id="rIdrbtpnpg0jtai3c0xy99ef">
        <w:r>
          <w:rPr>
            <w:color w:val="507D82"/>
            <w:u w:val="single"/>
          </w:rPr>
          <w:t xml:space="preserve">EUIPO, Decision No ADM 26 26, 2026-09-01</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L’EUIPO a inscrit à son Journal officiel du 1er septembre 2026 la décision n° ADM 26 26, intitulée « Decision No ADM 26 26 on IP Decision Audits and Related Quality Controls ». Cette publication intervient dans la période de veille considérée, comprise entre le 31 août et le 6 septembre 2026 inclus. Elle atteste de l’adoption, au sein de l’Office, d’un instrument administratif expressément consacré aux audits de décisions en matière de propriété intellectuelle et aux dispositifs de contrôle qualité qui leur sont associés.</w:t>
      </w:r>
    </w:p>
    <w:p>
      <w:pPr>
        <w:spacing w:after="180" w:line="300"/>
        <w:jc w:val="both"/>
      </w:pPr>
      <w:r>
        <w:t xml:space="preserve">La publication institutionnelle accessible identifie la décision par son numéro et son intitulé, dans la rubrique de septembre 2026 du Journal officiel de l’EUIPO. Elle ne permet pas, en l’état des éléments effectivement accessibles, de déterminer la date de signature de l’acte, son auteur précis, son fondement juridique, son champ matériel exact, ses destinataires, sa date d’entrée en vigueur ou l’existence éventuelle d’un acte antérieur abrogé ou modifié. Le document primaire, pourtant annoncé sous la forme d’un fichier joint au Journal officiel, n’a pas pu être consulté intégralement.</w:t>
      </w:r>
    </w:p>
    <w:p>
      <w:pPr>
        <w:spacing w:after="180" w:line="300"/>
        <w:jc w:val="both"/>
      </w:pPr>
      <w:r>
        <w:t xml:space="preserve">Sans objet. La décision recensée constitue un acte administratif de l’EUIPO et non une décision contentieuse opposant des parties. Les informations accessibles ne font état d’aucune consultation, observation, position institutionnelle ou argumentation préalable ayant accompagné son adoption.</w:t>
      </w:r>
    </w:p>
    <w:p>
      <w:pPr>
        <w:spacing w:after="180" w:line="300"/>
        <w:jc w:val="both"/>
      </w:pPr>
      <w:r>
        <w:t xml:space="preserve">Sans objet au sens contentieux. L’objet vérifiable de l’acte consiste à encadrer les audits portant sur des décisions de propriété intellectuelle ainsi que les contrôles qualité connexes. Les modalités de cet encadrement ne sont pas précisées dans l’extrait institutionnel accessible.</w:t>
      </w:r>
    </w:p>
    <w:p>
      <w:pPr>
        <w:spacing w:after="180" w:line="300"/>
        <w:jc w:val="both"/>
      </w:pPr>
      <w:r>
        <w:t xml:space="preserve">Le seul contenu vérifiable est l’intitulé officiel de la décision, qui relie les audits de décisions de propriété intellectuelle aux contrôles qualité associés. Il n’est pas possible d’identifier, sans accès au texte intégral, les catégories de décisions auditées, la méthode d’échantillonnage, les critères d’évaluation, les organes compétents, les règles de traitement des constats, les mesures correctrices ou les garanties éventuellement prévues. Il ne peut davantage être affirmé que la décision organise une procédure nouvelle, codifie une pratique existante ou modifie un dispositif antérieur.</w:t>
      </w:r>
    </w:p>
    <w:p>
      <w:pPr>
        <w:spacing w:after="180" w:line="300"/>
        <w:jc w:val="both"/>
      </w:pPr>
      <w:r>
        <w:t xml:space="preserve">La décision n° ADM 26 26 a été publiée au Journal officiel de l’EUIPO le 1er septembre 2026. Son existence et son objet général, relatif aux audits des décisions et aux contrôles qualité associés, sont ainsi établis. Les effets juridiques et opérationnels précis de l’acte ne sont pas vérifiables faute d’accès au document primaire complet.</w:t>
      </w:r>
    </w:p>
    <w:p>
      <w:pPr>
        <w:pBdr>
          <w:left w:val="single" w:color="507D82" w:sz="10" w:space="8"/>
        </w:pBdr>
        <w:spacing w:after="260" w:before="80"/>
        <w:ind w:left="180"/>
        <w:jc w:val="both"/>
      </w:pPr>
      <w:r>
        <w:rPr>
          <w:b/>
          <w:bCs/>
        </w:rPr>
        <w:t xml:space="preserve">Portée pratique. </w:t>
      </w:r>
      <w:r>
        <w:t xml:space="preserve">Cette publication appelle une vigilance particulière pour les titulaires de droits, conseils et utilisateurs des procédures EUIPO, dès lors qu’elle semble concerner les mécanismes internes ou institutionnels d’appréciation de la qualité des décisions. À ce stade, aucune conséquence procédurale concrète ne peut être retenue avec certitude. Une analyse complémentaire devra être menée dès la mise à disposition du texte intégral, notamment afin de vérifier son champ d’application, ses modalités d’exécution et sa date d’effet.</w:t>
      </w:r>
    </w:p>
    <w:p>
      <w:pPr>
        <w:spacing w:after="140" w:before="260"/>
      </w:pPr>
      <w:r>
        <w:rPr>
          <w:i/>
          <w:iCs/>
          <w:color w:val="666666"/>
          <w:sz w:val="18"/>
          <w:szCs w:val="18"/>
        </w:rPr>
        <w:t xml:space="preserve">Cette sélection retient cinq publications officielles intervenues durant la semaine. Elle privilégie les décisions directement accessibles du Tribunal de l’Union européenne, de la Cour de cassation et de l’EUIPO. Aucun contenu suffisamment substantiel et directement vérifiable n’a été identifié durant la période en matière de brevets ou de droit d’auteur.</w:t>
      </w:r>
    </w:p>
    <w:sectPr>
      <w:footerReference w:type="default" r:id="rId7"/>
      <w:pgSz w:w="11906" w:h="16838"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Veille IP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vvxgwz1zmulrewyao0xa" Type="http://schemas.openxmlformats.org/officeDocument/2006/relationships/hyperlink" Target="https://infocuria.curia.europa.eu/tabs/jurisprudence?lang=FR&amp;logicDocId=id_325913&amp;publishedId=T-681%2F25&amp;searchTerm=%22T-681%2F25%22" TargetMode="External"/><Relationship Id="rIdytmnszwz_tj_uw1iaffyp" Type="http://schemas.openxmlformats.org/officeDocument/2006/relationships/hyperlink" Target="https://curia.europa.eu/juris/document/document.jsf?text=&amp;docid=325910&amp;pageIndex=0&amp;doclang=EN&amp;mode=req&amp;dir=&amp;occ=first&amp;part=1" TargetMode="External"/><Relationship Id="rIdyvbe7_2iutvnn8digi9x1" Type="http://schemas.openxmlformats.org/officeDocument/2006/relationships/hyperlink" Target="https://infocuria.curia.europa.eu/tabs/jurisprudence?lang=fr&amp;publishedId=T-834%2F25" TargetMode="External"/><Relationship Id="rIdrewixaqp1-zsrxrgi09v2" Type="http://schemas.openxmlformats.org/officeDocument/2006/relationships/hyperlink" Target="https://www.courdecassation.fr/decision/6a97ed0a195da062e0d07192" TargetMode="External"/><Relationship Id="rIdrbtpnpg0jtai3c0xy99ef" Type="http://schemas.openxmlformats.org/officeDocument/2006/relationships/hyperlink" Target="https://www.euipo.europa.eu/sk/law/communications-and-decisions-ed/official-journa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31 août au 6 septembre 2026</dc:title>
  <dc:creator>Veille IP DLA</dc:creator>
  <dc:description>Veille hebdomadaire de propriété intellectuelle</dc:description>
  <cp:lastModifiedBy>Un-named</cp:lastModifiedBy>
  <cp:revision>1</cp:revision>
  <dcterms:created xsi:type="dcterms:W3CDTF">2026-09-06T20:03:22.421Z</dcterms:created>
  <dcterms:modified xsi:type="dcterms:W3CDTF">2026-09-06T20:03:22.421Z</dcterms:modified>
</cp:coreProperties>
</file>

<file path=docProps/custom.xml><?xml version="1.0" encoding="utf-8"?>
<Properties xmlns="http://schemas.openxmlformats.org/officeDocument/2006/custom-properties" xmlns:vt="http://schemas.openxmlformats.org/officeDocument/2006/docPropsVTypes"/>
</file>