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5 octobre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color w:val="1F4E79"/>
        </w:rPr>
        <w:t xml:space="preserve">Marques : Usage sérieux d’une marque de télécommunications : les cartes prépayées et bons de recharge caractérisent l’usage pour les services associés</w:t>
      </w:r>
    </w:p>
    <w:tbl>
      <w:tblPr>
        <w:tblW w:type="dxa" w:w="9866"/>
        <w:tblBorders>
          <w:top w:val="none" w:color="FFFFFF" w:sz="0"/>
          <w:left w:val="none" w:color="FFFFFF" w:sz="0"/>
          <w:bottom w:val="none" w:color="FFFFFF" w:sz="0"/>
          <w:right w:val="none" w:color="FFFFFF" w:sz="0"/>
          <w:insideH w:val="none" w:color="FFFFFF" w:sz="0"/>
          <w:insideV w:val="none" w:color="FFFFFF" w:sz="0"/>
        </w:tblBorders>
      </w:tblPr>
      <w:tblGrid>
        <w:gridCol w:w="9866"/>
      </w:tblGrid>
      <w:tr>
        <w:tc>
          <w:tcPr>
            <w:tcW w:type="dxa" w:w="9866"/>
            <w:tcBorders>
              <w:top w:val="single" w:color="7F7F7F" w:sz="6"/>
              <w:left w:val="single" w:color="7F7F7F" w:sz="6"/>
              <w:bottom w:val="none" w:color="FFFFFF" w:sz="0"/>
              <w:right w:val="single" w:color="7F7F7F" w:sz="6"/>
            </w:tcBorders>
            <w:tcMar>
              <w:top w:type="dxa" w:w="120"/>
              <w:left w:type="dxa" w:w="180"/>
              <w:bottom w:type="dxa" w:w="20"/>
              <w:right w:type="dxa" w:w="180"/>
            </w:tcMar>
          </w:tcPr>
          <w:p>
            <w:pPr>
              <w:keepNext/>
              <w:spacing w:after="240"/>
            </w:pPr>
            <w:hyperlink w:history="1" r:id="rIdaz-zicby-cnn_ew1xtapm">
              <w:r>
                <w:rPr>
                  <w:color w:val="507D82"/>
                  <w:u w:val="single"/>
                </w:rPr>
                <w:t xml:space="preserve">EUR-Lex, texte intégral officiel de l’arrêt du Tribunal de l’Union européenne, 30 septembre 2026.</w:t>
              </w:r>
            </w:hyperlink>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Dépôt de la demande d’enregistrement de la marque de l’Union européenne figurative e plus par Telefónica Germany GmbH &amp; Co. OHG. </w:t>
            </w:r>
            <w:r>
              <w:rPr>
                <w:i/>
                <w:iCs/>
                <w:color w:val="666666"/>
              </w:rPr>
              <w:t xml:space="preserve">(5 mars 1996)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Enregistrement de la marque contestée pour des produits et services relevant des classes 9, 37, 38 et 42. </w:t>
            </w:r>
            <w:r>
              <w:rPr>
                <w:i/>
                <w:iCs/>
                <w:color w:val="666666"/>
              </w:rPr>
              <w:t xml:space="preserve">(18 février 2002)</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ePlus Inc. introduit auprès de l’EUIPO une demande en déchéance pour défaut d’usage sérieux. </w:t>
            </w:r>
            <w:r>
              <w:rPr>
                <w:i/>
                <w:iCs/>
                <w:color w:val="666666"/>
              </w:rPr>
              <w:t xml:space="preserve">(10 novembre 2022)</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La division d’annulation prononce la déchéance de la marque pour l’ensemble des produits et services visés. </w:t>
            </w:r>
            <w:r>
              <w:rPr>
                <w:i/>
                <w:iCs/>
                <w:color w:val="666666"/>
              </w:rPr>
              <w:t xml:space="preserve">(1er février 2024)</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spacing w:after="70" w:line="252"/>
              <w:jc w:val="left"/>
            </w:pPr>
            <w:r>
              <w:t xml:space="preserve">→ La première chambre de recours de l’EUIPO rejette le recours de Telefónica Germany dans l’affaire R 394/2024-1. </w:t>
            </w:r>
            <w:r>
              <w:rPr>
                <w:i/>
                <w:iCs/>
                <w:color w:val="666666"/>
              </w:rPr>
              <w:t xml:space="preserve">(24 février 2025)</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Next w:val="false"/>
              <w:spacing w:after="70" w:line="252"/>
              <w:jc w:val="left"/>
            </w:pPr>
            <w:r>
              <w:t xml:space="preserve">→ Le Tribunal annule la décision de la chambre de recours en tant qu’elle concerne les services de télécommunications de la classe 38. </w:t>
            </w:r>
            <w:r>
              <w:rPr>
                <w:i/>
                <w:iCs/>
                <w:color w:val="666666"/>
              </w:rPr>
              <w:t xml:space="preserve">(30 septembre 2026)</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Par cet arrêt, le Tribunal précise l’appréciation de la nature de l’usage sérieux d’une marque de l’Union européenne dans le secteur des télécommunications. Saisi d’un recours dirigé contre une décision ayant confirmé la déchéance de la marque figurative e plus, il juge que l’utilisation du signe sur des cartes prépayées et des bons de recharge, corroborée par des publicités, des factures et des déclarations sous serment, constitue un usage destiné à désigner l’origine de services de télécommunications. La qualification éventuelle de ces supports comme moyens de paiement est indifférente lorsqu’ils donnent accès aux services en cause.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marque figurative e plus avait été enregistrée, notamment, pour des services de la classe 38 comprenant la téléphonie, la téléphonie mobile, l’utilisation d’un réseau de télécommunications, la transmission de messages et plusieurs services à valeur ajoutée. ePlus Inc. a sollicité la déchéance de cette marque sur le fondement de l’article 58, paragraphe 1, sous a), du règlement 2017/1001, au motif qu’elle n’aurait pas fait l’objet d’un usage sérieux. La période pertinente s’étendait du 10 novembre 2017 au 9 novembre 2022. Après que la division d’annulation eut prononcé la déchéance pour l’ensemble des produits et services, Telefónica Germany a formé un recours devant la première chambre de recours. Celle-ci l’a rejeté, estimant que les pièces produites ne démontraient pas l’usage du signe pour les produits et services enregistrés. Devant le Tribunal, la requérante a limité ses conclusions à l’annulation de cette décision en ce qu’elle concernait les services de télécommunications relevant de la classe 38.</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Telefónica Germany soutenait que la marque avait continué à être employée au cours de la période pertinente dans le cadre d’offres commercialisées sous les marques ALDI TALK et Ortel Mobile. Elle invoquait un faisceau d’éléments constitué de déclarations sous serment, de factures, de bons de recharge, de cartes prépayées et de captures d’écran, afin d’établir que le signe désignait des services de téléphonie mobile. Elle contestait en particulier l’analyse assimilant les cartes et bons à de simples moyens de paiement, en faisant valoir qu’ils permettaient l’accès à des communications téléphoniques, à des données Internet et à l’envoi de messages. L’EUIPO et l’intervenante soutenaient, au contraire, que les éléments invoqués n’attestaient pas de services de télécommunications effectivement commercialisés sous la marque contestée pendant la période pertinente. ePlus Inc. ajoutait que le réseau E-Plus n’existait plus après 2016 et que les services concernés étaient alors proposés sous la marque O2.</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La question posée au Tribunal était de savoir si les éléments produits établissaient la nature de l’usage sérieux de la marque figurative e plus pour les services de télécommunications de la classe 38, au sens de l’article 58, paragraphe 1, sous a), du règlement 2017/1001, alors même que le signe apparaissait notamment sur des cartes prépayées et des bons de recharge.</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rappelle que la preuve de l’usage doit porter sur le lieu, la durée, l’importance et la nature de l’usage, et que l’appréciation du caractère sérieux doit résulter d’un examen global de l’ensemble des circonstances propres à démontrer une exploitation commerciale réelle. Il relève que la chambre de recours avait exclusivement contesté la nature de l’usage, après avoir admis que la marque avait été utilisée dans la vie des affaires et sous une forme n’altérant pas son caractère distinctif. Les publicités relatives aux offres ALDI TALK et Ortel Mobile détaillaient des forfaits comprenant données Internet, minutes d’appel et messages SMS, tout en faisant apparaître le signe e.plus+ ou e plus. Les factures attestaient, en outre, de ventes de bons de recharge et de cartes prépayées portant ce signe. Pour le Tribunal, ces éléments démontrent que la marque était apposée non pour désigner des supports autonomes, mais exclusivement afin d’indiquer l’origine des services de télécommunications auxquels ils donnaient accès. La qualification des cartes comme moyens de paiement ne saurait donc modifier cette appréciation. Les déclarations sous serment de dirigeants de Telefónica Germany et d’Ortel Mobil GmbH, dont la fiabilité n’était pas contestée, confortaient l’existence d’une fourniture effective de services relevant de la classe 38. Le Tribunal constate également que certains éléments étaient substantiellement identiques à ceux déjà regardés comme probants dans une procédure antérieure. La chambre de recours ne pouvait les écarter en se fondant sur la seule référence à un rapport relatif à l’année 2016, ni déduire de la transition annoncée vers O2 la cessation de tout usage de la marque. Cette transition pouvait, au contraire, caractériser une coexistence de marques au sein d’un réseau commun.</w:t>
            </w:r>
          </w:p>
        </w:tc>
      </w:tr>
      <w:tr>
        <w:tc>
          <w:tcPr>
            <w:tcW w:type="dxa" w:w="9866"/>
            <w:tcBorders>
              <w:top w:val="none" w:color="FFFFFF" w:sz="0"/>
              <w:left w:val="single" w:color="7F7F7F" w:sz="6"/>
              <w:bottom w:val="none" w:color="FFFFFF" w:sz="0"/>
              <w:right w:val="single" w:color="7F7F7F" w:sz="6"/>
            </w:tcBorders>
            <w:tcMar>
              <w:top w:type="dxa" w:w="20"/>
              <w:left w:type="dxa" w:w="180"/>
              <w:bottom w:type="dxa" w:w="20"/>
              <w:right w:type="dxa" w:w="180"/>
            </w:tcMar>
          </w:tcPr>
          <w:p>
            <w:pPr>
              <w:keepLines/>
              <w:spacing w:after="130" w:line="276"/>
              <w:jc w:val="both"/>
            </w:pPr>
            <w:r>
              <w:t xml:space="preserve">Le Tribunal accueille le premier moyen, tiré de la violation de l’article 58, paragraphe 1, sous a), et de l’article 58, paragraphe 2, du règlement 2017/1001. Il juge que la chambre de recours a commis une erreur d’appréciation en considérant que la nature de l’usage n’était pas démontrée pour les services de télécommunications de la classe 38. La décision de la première chambre de recours est, en conséquence, annulée dans cette seule mesure. Il n’est pas nécessaire d’examiner le moyen relatif au droit à une bonne administration. L’EUIPO supporte ses propres dépens ainsi que ceux de Telefónica Germany exposés devant le Tribunal. ePlus Inc. supporte ses propres dépens devant cette juridiction. Il appartiendra à la chambre de recours de statuer sur les frais de la procédure administrative à la lumière de l’arrêt.</w:t>
            </w:r>
          </w:p>
        </w:tc>
      </w:tr>
      <w:tr>
        <w:tc>
          <w:tcPr>
            <w:tcW w:type="dxa" w:w="9866"/>
            <w:tcBorders>
              <w:top w:val="none" w:color="FFFFFF" w:sz="0"/>
              <w:left w:val="single" w:color="7F7F7F" w:sz="6"/>
              <w:bottom w:val="single" w:color="7F7F7F" w:sz="6"/>
              <w:right w:val="single" w:color="7F7F7F" w:sz="6"/>
            </w:tcBorders>
            <w:tcMar>
              <w:top w:type="dxa" w:w="20"/>
              <w:left w:type="dxa" w:w="180"/>
              <w:bottom w:type="dxa" w:w="120"/>
              <w:right w:type="dxa" w:w="180"/>
            </w:tcMar>
          </w:tcPr>
          <w:p>
            <w:pPr>
              <w:pBdr>
                <w:left w:val="single" w:color="507D82" w:sz="10" w:space="8"/>
              </w:pBdr>
              <w:spacing w:after="260" w:before="80"/>
              <w:ind w:left="180"/>
              <w:jc w:val="both"/>
            </w:pPr>
            <w:r>
              <w:rPr>
                <w:b/>
                <w:bCs/>
              </w:rPr>
              <w:t xml:space="preserve">Portée pratique. </w:t>
            </w:r>
            <w:r>
              <w:t xml:space="preserve">L’arrêt confirme que l’usage sérieux doit être apprécié à la lumière de la fonction économique effective du signe dans son contexte de commercialisation. Lorsque des cartes SIM, ensembles de démarrage, bons ou recharges constituent le vecteur nécessaire d’accès à des services de télécommunications, leur vente sous une marque peut établir l’usage de celle-ci pour ces services, plutôt que pour de simples produits ou instruments de paiement. Il souligne également la valeur probatoire d’un ensemble cohérent de documents promotionnels, factures et déclarations sous serment. Enfin, une évolution de l’architecture de marque, y compris une transition vers une autre marque, ne permet pas à elle seule de conclure au non-usage de la marque antérieure lorsque les pièces établissent sa persistance dans l’offre de services concernée.</w:t>
            </w:r>
          </w:p>
        </w:tc>
      </w:tr>
    </w:tbl>
    <w:p>
      <w:pPr>
        <w:pStyle w:val="Heading1"/>
        <w:pBdr>
          <w:bottom w:val="single" w:color="222222" w:sz="6" w:space="6"/>
        </w:pBdr>
        <w:spacing w:after="180" w:before="300"/>
      </w:pPr>
      <w:r>
        <w:rPr>
          <w:b/>
          <w:bCs/>
        </w:rPr>
        <w:t xml:space="preserve">ACTUALITÉS</w:t>
      </w:r>
    </w:p>
    <w:p>
      <w:pPr>
        <w:pStyle w:val="Heading2"/>
        <w:keepNext/>
        <w:spacing w:after="100" w:before="180"/>
      </w:pPr>
      <w:r>
        <w:rPr>
          <w:b/>
          <w:bCs/>
          <w:color w:val="1F4E79"/>
        </w:rPr>
        <w:t xml:space="preserve">OEB : généralisation du dépôt et de la notification électroniques à compter du 1er avril 2027</w:t>
      </w:r>
    </w:p>
    <w:p>
      <w:pPr>
        <w:keepNext/>
        <w:spacing w:after="240"/>
      </w:pPr>
      <w:hyperlink w:history="1" r:id="rIdatp0_vlcutqojjmhpv_vi">
        <w:r>
          <w:rPr>
            <w:color w:val="507D82"/>
            <w:u w:val="single"/>
          </w:rPr>
          <w:t xml:space="preserve">Office européen des brevets, Journal officiel, 30 septembre 2026</w:t>
        </w:r>
      </w:hyperlink>
    </w:p>
    <w:p>
      <w:pPr>
        <w:keepLines/>
        <w:spacing w:after="130" w:line="276"/>
        <w:jc w:val="both"/>
      </w:pPr>
      <w:r>
        <w:t xml:space="preserve">L’Office européen des brevets publie une notice relative au dépôt électronique obligatoire des documents et à leur notification électronique obligatoire. Les modifications pertinentes des règles 2, 114 et 125 CBE entreront en vigueur le 1er avril 2027. À cette date, la voie électronique deviendra le mode normal de dépôt auprès de l’OEB, dans le cadre des modalités et exceptions définies par la notice.</w:t>
      </w:r>
    </w:p>
    <w:p>
      <w:pPr>
        <w:keepLines/>
        <w:spacing w:after="130" w:line="276"/>
        <w:jc w:val="both"/>
      </w:pPr>
      <w:r>
        <w:t xml:space="preserve">Le dépôt postal demeurera admis dans certaines circonstances. Il devra toutefois, en principe, être suivi d’un nouveau dépôt électronique dans les deux mois de l’invitation adressée par l’OEB. L’absence de redépôt peut, selon la nature du document en cause, conduire au rejet de la demande, à une perte de droits ou à la fiction de non-réception du document. Des dérogations sont notamment prévues pour certaines copies papier certifiées, les objets matériels, les documents déposés par des personnes non parties à la procédure et des situations particulières. Les observations de tiers devront, quant à elles, être déposées exclusivement par voie électronique.</w:t>
      </w:r>
    </w:p>
    <w:p>
      <w:pPr>
        <w:keepLines/>
        <w:spacing w:after="130" w:line="276"/>
        <w:jc w:val="both"/>
      </w:pPr>
      <w:r>
        <w:t xml:space="preserve">La notification des documents sera en principe électronique, principalement par l’intermédiaire de la MyEPO Mailbox. La notification publique pourra être retenue lorsque le représentant ou la partie non représentée ne dispose pas d’une telle boîte aux lettres, sous réserve des exceptions prévues. La notice organise ainsi un basculement procédural qui impose d’assurer la disponibilité des accès électroniques et le suivi des invitations de l’Office.</w:t>
      </w:r>
    </w:p>
    <w:p>
      <w:pPr>
        <w:pBdr>
          <w:left w:val="single" w:color="507D82" w:sz="10" w:space="8"/>
        </w:pBdr>
        <w:spacing w:after="260" w:before="80"/>
        <w:ind w:left="180"/>
        <w:jc w:val="both"/>
      </w:pPr>
      <w:r>
        <w:t xml:space="preserve">Le maintien d’un dépôt postal ne dispense pas nécessairement d’un redépôt électronique : le défaut de régularisation dans le délai de deux mois suivant l’invitation de l’OEB est susceptible d’emporter des conséquences procédurales substantielles.</w:t>
      </w:r>
    </w:p>
    <w:p>
      <w:pPr>
        <w:pStyle w:val="Heading2"/>
        <w:keepNext/>
        <w:spacing w:after="100" w:before="180"/>
      </w:pPr>
      <w:r>
        <w:rPr>
          <w:b/>
          <w:bCs/>
          <w:color w:val="1F4E79"/>
        </w:rPr>
        <w:t xml:space="preserve">L’OEB introduit un panneau chronologique dans MyEPO</w:t>
      </w:r>
    </w:p>
    <w:p>
      <w:pPr>
        <w:keepNext/>
        <w:spacing w:after="240"/>
      </w:pPr>
      <w:hyperlink w:history="1" r:id="rIdbg8ryfekzon3wrxjsqht2">
        <w:r>
          <w:rPr>
            <w:color w:val="507D82"/>
            <w:u w:val="single"/>
          </w:rPr>
          <w:t xml:space="preserve">Office européen des brevets, OJ OEB 2026, A45, Notice concerning the introduction of a timeline panel in MyEPO, 30 septembre 2026</w:t>
        </w:r>
      </w:hyperlink>
    </w:p>
    <w:p>
      <w:pPr>
        <w:keepLines/>
        <w:spacing w:after="130" w:line="276"/>
        <w:jc w:val="both"/>
      </w:pPr>
      <w:r>
        <w:t xml:space="preserve">L’Office européen des brevets annonce l’introduction, à compter du 1er octobre 2026, d’un panneau chronologique au sein de MyEPO. Cette fonctionnalité standard est directement accessible dans le service, sans inscription ni activation spécifique. Elle vise à présenter, sous une forme chronologique, les principaux événements intervenant dans le traitement d’une demande de brevet européen.</w:t>
      </w:r>
    </w:p>
    <w:p>
      <w:pPr>
        <w:keepLines/>
        <w:spacing w:after="130" w:line="276"/>
        <w:jc w:val="both"/>
      </w:pPr>
      <w:r>
        <w:t xml:space="preserve">Le panneau affiche également le stade procédural en cours, des informations de statut, la prochaine étape procédurale attendue ainsi que des dates indicatives. Ces dernières reposent sur les durées procédurales moyennes constatées dans le domaine technique concerné. À ce stade, l’outil couvre certains événements procéduraux essentiels jusqu’à l’achèvement de la procédure d’examen.</w:t>
      </w:r>
    </w:p>
    <w:p>
      <w:pPr>
        <w:keepLines/>
        <w:spacing w:after="130" w:line="276"/>
        <w:jc w:val="both"/>
      </w:pPr>
      <w:r>
        <w:t xml:space="preserve">L’OEB précise que la couverture du panneau sera progressivement étendue à d’autres phases et étapes procédurales dans de futures versions de MyEPO. Les informations fournies ont un caractère indicatif et ne lient pas l’Office quant aux actes à accomplir ni aux délais applicables à une demande déterminée.</w:t>
      </w:r>
    </w:p>
    <w:p>
      <w:pPr>
        <w:pBdr>
          <w:left w:val="single" w:color="507D82" w:sz="10" w:space="8"/>
        </w:pBdr>
        <w:spacing w:after="260" w:before="80"/>
        <w:ind w:left="180"/>
        <w:jc w:val="both"/>
      </w:pPr>
      <w:r>
        <w:t xml:space="preserve">Les indications affichées dans le panneau chronologique sont expressément dépourvues d’effet contraignant. Elles ne sauraient se substituer au contrôle des communications de l’OEB, des actes de procédure et des délais applicables à chaque demande.</w:t>
      </w:r>
    </w:p>
    <w:p>
      <w:pPr>
        <w:pStyle w:val="Heading2"/>
        <w:keepNext/>
        <w:spacing w:after="100" w:before="180"/>
      </w:pPr>
      <w:r>
        <w:rPr>
          <w:b/>
          <w:bCs/>
          <w:color w:val="1F4E79"/>
        </w:rPr>
        <w:t xml:space="preserve">Techniques génomiques nouvelles, recherches de marques, algorithmes et extensions génériques de premier niveau</w:t>
      </w:r>
    </w:p>
    <w:p>
      <w:pPr>
        <w:keepNext/>
        <w:spacing w:after="240"/>
      </w:pPr>
      <w:hyperlink w:history="1" r:id="rId5ioooitst14wgbwt3fatk">
        <w:r>
          <w:rPr>
            <w:color w:val="507D82"/>
            <w:u w:val="single"/>
          </w:rPr>
          <w:t xml:space="preserve">Dreyfus &amp; Associés, « Newsletter, September 2026 », 29 septembre 2026</w:t>
        </w:r>
      </w:hyperlink>
    </w:p>
    <w:p>
      <w:pPr>
        <w:keepLines/>
        <w:spacing w:after="130" w:line="276"/>
        <w:jc w:val="both"/>
      </w:pPr>
      <w:r>
        <w:rPr>
          <w:b/>
          <w:bCs/>
          <w:color w:val="1F4E79"/>
        </w:rPr>
        <w:t xml:space="preserve">Contexte. </w:t>
      </w:r>
      <w:r>
        <w:t xml:space="preserve">La newsletter aborde quatre enjeux de propriété intellectuelle et de régulation numérique. S’agissant des techniques génomiques nouvelles, elle rappelle que l’autorisation réglementaire d’une plante NGT ne suffit pas à assurer sa liberté d’exploitation. La commercialisation peut en effet demeurer exposée à des droits de tiers, ce qui impose de distinguer l’évaluation réglementaire de l’analyse des droits de propriété intellectuelle susceptibles de couvrir la technologie, la variété ou l’exploitation envisagée.</w:t>
      </w:r>
    </w:p>
    <w:p>
      <w:pPr>
        <w:keepLines/>
        <w:spacing w:after="130" w:line="276"/>
        <w:jc w:val="both"/>
      </w:pPr>
      <w:r>
        <w:t xml:space="preserve">En matière de marques, la publication souligne que la classification de Nice ne constitue pas une frontière juridique étanche pour la recherche d’antériorités. L’examen ne saurait donc être limité aux seules classes désignées lorsque les produits ou services considérés présentent une proximité pertinente. La newsletter met également en lumière le rôle des algorithmes de plateforme : le fait de classer, favoriser ou écarter activement des contenus est susceptible d’interroger le caractère purement neutre de l’intervention de l’opérateur dans l’appréciation de son statut juridique.</w:t>
      </w:r>
    </w:p>
    <w:p>
      <w:pPr>
        <w:keepLines/>
        <w:spacing w:after="130" w:line="276"/>
        <w:jc w:val="both"/>
      </w:pPr>
      <w:r>
        <w:t xml:space="preserve">Enfin, à l’approche d’un nouveau round d’extensions génériques de premier niveau, la publication recommande une préparation fondée sur la surveillance du Reveal Day, le recours au Trademark Clearinghouse, l’examen des procédures d’objection et l’anticipation d’éventuelles procédures UDRP. Ces outils sont présentés comme des moyens de prévenir ou de traiter les atteintes potentielles aux signes distinctifs dans le système des noms de domaine.</w:t>
      </w:r>
    </w:p>
    <w:p>
      <w:pPr>
        <w:pBdr>
          <w:left w:val="single" w:color="507D82" w:sz="10" w:space="8"/>
        </w:pBdr>
        <w:spacing w:after="260" w:before="80"/>
        <w:ind w:left="180"/>
        <w:jc w:val="both"/>
      </w:pPr>
      <w:r>
        <w:t xml:space="preserve">L’autorisation réglementaire d’une plante issue de techniques génomiques nouvelles ne garantit pas, à elle seule, la liberté d’exploitation : une analyse distincte des droits de tiers demeure nécessaire.</w:t>
      </w:r>
    </w:p>
    <w:p>
      <w:pPr>
        <w:pStyle w:val="Heading2"/>
        <w:keepNext/>
        <w:spacing w:after="100" w:before="180"/>
      </w:pPr>
      <w:r>
        <w:rPr>
          <w:b/>
          <w:bCs/>
          <w:color w:val="1F4E79"/>
        </w:rPr>
        <w:t xml:space="preserve">Dix ans des DesignEuropa Awards : le design au service de la mise sur le marché</w:t>
      </w:r>
    </w:p>
    <w:p>
      <w:pPr>
        <w:keepNext/>
        <w:spacing w:after="240"/>
      </w:pPr>
      <w:hyperlink w:history="1" r:id="rIdoclgufng7oz5xczxz03xz">
        <w:r>
          <w:rPr>
            <w:color w:val="507D82"/>
            <w:u w:val="single"/>
          </w:rPr>
          <w:t xml:space="preserve">Office de l’Union européenne pour la propriété intellectuelle, actualité institutionnelle, 28 septembre 2026.</w:t>
        </w:r>
      </w:hyperlink>
    </w:p>
    <w:p>
      <w:pPr>
        <w:keepNext/>
        <w:spacing w:after="220"/>
        <w:jc w:val="both"/>
      </w:pPr>
      <w:r>
        <w:rPr>
          <w:b/>
          <w:bCs/>
          <w:i/>
          <w:iCs/>
          <w:color w:val="C55A11"/>
        </w:rPr>
        <w:t xml:space="preserve">Attention : les informations présentées dans cette section doivent être vérifiées, l’accès à la source étant incomplet, limité ou restreint.</w:t>
      </w:r>
    </w:p>
    <w:p>
      <w:pPr>
        <w:keepLines/>
        <w:spacing w:after="130" w:line="276"/>
        <w:jc w:val="both"/>
      </w:pPr>
      <w:r>
        <w:rPr>
          <w:b/>
          <w:bCs/>
          <w:color w:val="1F4E79"/>
        </w:rPr>
        <w:t xml:space="preserve">Contexte. </w:t>
      </w:r>
      <w:r>
        <w:t xml:space="preserve">L’EUIPO revient sur les dix années des DesignEuropa Awards, institués en 2016 afin de distinguer des dessins et modèles remarquables protégés dans le cadre du système de l’Union européenne, ainsi que leurs créateurs et les entreprises qui les portent. L’Office souligne que les droits sur les dessins et modèles peuvent constituer le lien entre une création et sa mise sur le marché, en permettant de faire d’une création originale un actif autour duquel une activité économique peut se développer.</w:t>
      </w:r>
    </w:p>
    <w:p>
      <w:pPr>
        <w:keepLines/>
        <w:spacing w:after="130" w:line="276"/>
        <w:jc w:val="both"/>
      </w:pPr>
      <w:r>
        <w:t xml:space="preserve">L’édition 2026 a enregistré plus de 1 600 candidatures provenant de 52 pays. Dans la catégorie consacrée aux entrepreneurs et aux petites entreprises, l’EUIPO a récompensé Carbon Less Future, société lettone, pour ses CLF Growth Containers, unités modulaires conçues pour cultiver localement des arbres dans des environnements contrôlés. Le prix de l’industrie a été attribué au StepTower de NOHRD, développé par la société allemande WATERROWER | NOHRD.</w:t>
      </w:r>
    </w:p>
    <w:p>
      <w:pPr>
        <w:keepLines/>
        <w:spacing w:after="130" w:line="276"/>
        <w:jc w:val="both"/>
      </w:pPr>
      <w:r>
        <w:t xml:space="preserve">Le premier Public Choice Award a été remis à la société espagnole Showee Smart Wellness pour une douche intelligente destinée notamment aux personnes à mobilité réduite. L’actualité rappelle également que le Next Generation Design Award, créé en 2024, vise les jeunes créateurs émergents. La prochaine cérémonie des DesignEuropa Awards est annoncée à Prague en 2027.</w:t>
      </w:r>
    </w:p>
    <w:p>
      <w:pPr>
        <w:pBdr>
          <w:left w:val="single" w:color="507D82" w:sz="10" w:space="8"/>
        </w:pBdr>
        <w:spacing w:after="260" w:before="80"/>
        <w:ind w:left="180"/>
        <w:jc w:val="both"/>
      </w:pPr>
      <w:r>
        <w:t xml:space="preserve">L’EUIPO met en avant la fonction économique des droits sur les dessins et modèles : ils peuvent accompagner le passage d’une création originale à sa commercialisation et soutenir le développement d’une activité autour de cet actif.</w:t>
      </w:r>
    </w:p>
    <w:sectPr>
      <w:footerReference w:type="default" r:id="rId6"/>
      <w:pgSz w:w="12240" w:h="15840" w:orient="portrait"/>
      <w:pgMar w:top="1440" w:right="820" w:bottom="145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3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az-zicby-cnn_ew1xtapm" Type="http://schemas.openxmlformats.org/officeDocument/2006/relationships/hyperlink" Target="https://eur-lex.europa.eu/legal-content/FR/TXT/?uri=CELEX:62025TJ0257" TargetMode="External"/><Relationship Id="rIdatp0_vlcutqojjmhpv_vi" Type="http://schemas.openxmlformats.org/officeDocument/2006/relationships/hyperlink" Target="https://www.epo.org/en/legal/official-journal/2026/09/a43" TargetMode="External"/><Relationship Id="rIdbg8ryfekzon3wrxjsqht2" Type="http://schemas.openxmlformats.org/officeDocument/2006/relationships/hyperlink" Target="https://www.epo.org/en/legal/official-journal/2026/09/a45" TargetMode="External"/><Relationship Id="rId5ioooitst14wgbwt3fatk" Type="http://schemas.openxmlformats.org/officeDocument/2006/relationships/hyperlink" Target="https://fr.linkedin.com/pulse/newsletter-september-2026-dreyfus-associes-zhile" TargetMode="External"/><Relationship Id="rIdoclgufng7oz5xczxz03xz" Type="http://schemas.openxmlformats.org/officeDocument/2006/relationships/hyperlink" Target="https://www.euipo.europa.eu/nl/news/ten-years-of-designeuropa-how-design-keeps-changing-the-way-we-live"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Du 28 septembre au 4 octobre 2026</dc:title>
  <dc:creator>Veille IP DLA</dc:creator>
  <dc:description>Veille hebdomadaire de propriété intellectuelle</dc:description>
  <cp:lastModifiedBy>Un-named</cp:lastModifiedBy>
  <cp:revision>1</cp:revision>
  <dcterms:created xsi:type="dcterms:W3CDTF">2026-10-04T21:09:41.216Z</dcterms:created>
  <dcterms:modified xsi:type="dcterms:W3CDTF">2026-10-04T21:09:41.216Z</dcterms:modified>
</cp:coreProperties>
</file>

<file path=docProps/custom.xml><?xml version="1.0" encoding="utf-8"?>
<Properties xmlns="http://schemas.openxmlformats.org/officeDocument/2006/custom-properties" xmlns:vt="http://schemas.openxmlformats.org/officeDocument/2006/docPropsVTypes"/>
</file>