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Arial" w:cs="Arial" w:eastAsia="Arial" w:hAnsi="Arial"/>
          <w:b/>
          <w:bCs/>
          <w:sz w:val="32"/>
          <w:szCs w:val="32"/>
        </w:rPr>
        <w:t xml:space="preserve">Veille Propriété intellectuelle</w:t>
      </w:r>
    </w:p>
    <w:p>
      <w:pPr>
        <w:spacing w:after="420"/>
        <w:jc w:val="center"/>
      </w:pPr>
      <w:r>
        <w:rPr>
          <w:rFonts w:ascii="Arial" w:cs="Arial" w:eastAsia="Arial" w:hAnsi="Arial"/>
          <w:sz w:val="22"/>
          <w:szCs w:val="22"/>
        </w:rPr>
        <w:t xml:space="preserve">2026-08-31 au 2026-09-06</w:t>
      </w:r>
    </w:p>
    <w:p>
      <w:pPr>
        <w:pStyle w:val="Heading1"/>
        <w:pBdr>
          <w:bottom w:val="single" w:color="222222" w:sz="6" w:space="6"/>
        </w:pBdr>
        <w:spacing w:after="180" w:before="240"/>
      </w:pPr>
      <w:r>
        <w:rPr>
          <w:b/>
          <w:bCs/>
        </w:rPr>
        <w:t xml:space="preserve">JURISPRUDENCES</w:t>
      </w:r>
    </w:p>
    <w:p>
      <w:pPr>
        <w:pStyle w:val="Heading2"/>
        <w:keepNext/>
        <w:spacing w:after="100" w:before="180"/>
      </w:pPr>
      <w:r>
        <w:rPr>
          <w:b/>
          <w:bCs/>
          <w:color w:val="1F4E79"/>
        </w:rPr>
        <w:t xml:space="preserve">Marques, compétence juridictionnelle et concurrence déloyale : Stratio Big Data v EUIPO, Stra (stratio)</w:t>
      </w:r>
    </w:p>
    <w:p>
      <w:pPr>
        <w:keepNext/>
        <w:spacing w:after="240"/>
      </w:pPr>
      <w:hyperlink w:history="1" r:id="rIdyntzwjm3s0n0qw92zimnv">
        <w:r>
          <w:rPr>
            <w:color w:val="507D82"/>
            <w:u w:val="single"/>
          </w:rPr>
          <w:t xml:space="preserve">Tribunal de l’Union européenne, affaire T-49/24, 2026-09-02</w:t>
        </w:r>
      </w:hyperlink>
    </w:p>
    <w:p>
      <w:pPr>
        <w:keepLines/>
        <w:spacing w:after="180" w:line="300"/>
        <w:jc w:val="both"/>
      </w:pPr>
      <w:r>
        <w:t xml:space="preserve">Par arrêt du 2 septembre 2026, le Tribunal de l’Union européenne, statuant en première chambre, précise les exigences procédurales applicables à la communication des éléments de preuve dans les procédures devant l’EUIPO. Saisi par Stratio Big Data Inc. d’un recours dirigé contre une décision de la quatrième chambre de recours, le Tribunal retient une violation des droits de la défense et du principe du contradictoire. L’affaire concernait la marque de l’Union européenne verbale « stratio » et une procédure de déchéance fondée sur l’absence alléguée d’usage sérieux. L’arrêt illustre l’importance que revêt, dans le contentieux de l’usage sérieux, l’accès effectif de chaque partie aux pièces et, spécialement, aux traductions prises en considération par l’instance compétente.</w:t>
      </w:r>
    </w:p>
    <w:p>
      <w:pPr>
        <w:keepLines/>
        <w:spacing w:after="180" w:line="300"/>
        <w:jc w:val="both"/>
      </w:pPr>
      <w:r>
        <w:t xml:space="preserve">La marque en cause était la marque de l’Union européenne verbale « stratio ». Dans le cadre d’une procédure de déchéance pour défaut d’usage sérieux, des éléments de preuve avaient été produits afin d’établir ou de contester l’usage de cette marque. Le litige soumis au Tribunal portait notamment sur la production de ces pièces et de leurs traductions au cours de la procédure administrative. Par décision du 20 novembre 2023, dans l’affaire R 999/2022-4, la quatrième chambre de recours de l’EUIPO avait rejeté le recours de Stratio Big Data Inc. Cette dernière a alors introduit un recours en annulation devant le Tribunal. Le Tribunal était appelé à examiner, parmi les griefs invoqués, les conséquences procédurales de l’absence de transmission à la requérante de certaines traductions d’éléments de preuve.</w:t>
      </w:r>
    </w:p>
    <w:p>
      <w:pPr>
        <w:keepLines/>
        <w:spacing w:after="180" w:line="300"/>
        <w:jc w:val="both"/>
      </w:pPr>
      <w:r>
        <w:t xml:space="preserve">Stratio Big Data Inc. faisait notamment valoir que certaines traductions d’éléments de preuve n’avaient pas été communiquées dans le cadre de la procédure devant l’EUIPO. Elle invoquait ainsi une atteinte à ses droits de la défense, au principe du contradictoire et à l’obligation, énoncée à l’article 94, paragraphe 1, deuxième phrase, du règlement (UE) 2017/1001, de fonder les décisions de l’Office uniquement sur des motifs ou éléments de preuve au sujet desquels les parties ont pu prendre position. Les arguments respectifs développés par l’EUIPO et par l’autre partie à la procédure devant la chambre de recours ne sont pas précisés dans les éléments vérifiés. Il ressort toutefois de l’arrêt que le grief procédural soulevé par la requérante visait directement la prise en compte de traductions auxquelles celle-ci n’avait pas eu accès.</w:t>
      </w:r>
    </w:p>
    <w:p>
      <w:pPr>
        <w:keepLines/>
        <w:spacing w:after="180" w:line="300"/>
        <w:jc w:val="both"/>
      </w:pPr>
      <w:r>
        <w:t xml:space="preserve">La question soumise au Tribunal consistait à déterminer si la chambre de recours pouvait prendre en considération, dans une procédure relative à l’usage sérieux d’une marque de l’Union européenne, des traductions d’éléments de preuve qui n’avaient pas été transmises à la partie requérante. Plus précisément, il s’agissait d’apprécier si une telle absence de communication était compatible avec les droits de la défense, le principe du contradictoire et l’article 94, paragraphe 1, deuxième phrase, du règlement (UE) 2017/1001, lequel impose que les décisions de l’EUIPO ne soient fondées que sur des éléments sur lesquels les parties ont pu présenter leurs observations.</w:t>
      </w:r>
    </w:p>
    <w:p>
      <w:pPr>
        <w:keepLines/>
        <w:spacing w:after="180" w:line="300"/>
        <w:jc w:val="both"/>
      </w:pPr>
      <w:r>
        <w:t xml:space="preserve">Le Tribunal examine le moyen tiré de la violation des droits de la défense et du principe du contradictoire au regard de l’article 94, paragraphe 1, deuxième phrase, du règlement (UE) 2017/1001. Il constate que certaines traductions d’éléments de preuve n’avaient pas été transmises à Stratio Big Data Inc. Cette circonstance empêchait la requérante de prendre utilement position sur des documents susceptibles d’être pris en compte dans l’appréciation de l’usage sérieux de la marque litigieuse. Le Tribunal en déduit que les exigences procédurales garantissant le caractère contradictoire de l’instruction n’avaient pas été respectées. Le contrôle exercé ne porte donc pas seulement sur la valeur probante intrinsèque des pièces relatives à l’usage, mais également sur les conditions dans lesquelles elles ont été portées à la connaissance des parties. Le Tribunal accueille dès lors le grief procédural invoqué par la requérante, sans que les éléments vérifiés ne précisent les autres moyens éventuellement examinés.</w:t>
      </w:r>
    </w:p>
    <w:p>
      <w:pPr>
        <w:keepLines/>
        <w:spacing w:after="180" w:line="300"/>
        <w:jc w:val="both"/>
      </w:pPr>
      <w:r>
        <w:t xml:space="preserve">Le Tribunal annule la décision de la quatrième chambre de recours de l’EUIPO du 20 novembre 2023, dans l’affaire R 999/2022-4, en tant que cette chambre avait rejeté le recours de Stratio Big Data Inc. L’annulation est fondée sur la violation des droits de la défense et du principe du contradictoire résultant de la non-transmission de certaines traductions d’éléments de preuve. L’EUIPO est condamné aux dépens afférents à l’instance devant le Tribunal. Le dispositif ne précise pas, dans les éléments vérifiés, les conséquences administratives ultérieures de cette annulation sur le traitement de la procédure de déchéance.</w:t>
      </w:r>
    </w:p>
    <w:p>
      <w:pPr>
        <w:pBdr>
          <w:left w:val="single" w:color="507D82" w:sz="10" w:space="8"/>
        </w:pBdr>
        <w:spacing w:after="260" w:before="80"/>
        <w:ind w:left="180"/>
        <w:jc w:val="both"/>
      </w:pPr>
      <w:r>
        <w:rPr>
          <w:b/>
          <w:bCs/>
        </w:rPr>
        <w:t xml:space="preserve">Portée pratique. </w:t>
      </w:r>
      <w:r>
        <w:t xml:space="preserve">L’arrêt appelle une vigilance particulière dans les procédures administratives de marque impliquant des pièces rédigées dans une langue autre que celle admise ou utile à la compréhension du dossier. Lorsqu’une traduction est produite, utilisée ou prise en considération, sa communication effective aux autres parties constitue une garantie déterminante de l’exercice des droits de la défense. Les titulaires de marques, demandeurs en déchéance et représentants doivent donc vérifier non seulement le dépôt matériel des preuves d’usage, mais aussi la traçabilité de leur notification et de celle de leurs traductions. Pour les instances de l’EUIPO, la décision confirme que l’appréciation de l’usage sérieux doit reposer sur un dossier contradictoirement accessible aux parties. À défaut, la décision encourt l’annulation, indépendamment de l’appréciation au fond de la preuve d’usage.</w:t>
      </w:r>
    </w:p>
    <w:p>
      <w:pPr>
        <w:pStyle w:val="Heading2"/>
        <w:keepNext/>
        <w:spacing w:after="100" w:before="180"/>
      </w:pPr>
      <w:r>
        <w:rPr>
          <w:b/>
          <w:bCs/>
          <w:color w:val="1F4E79"/>
        </w:rPr>
        <w:t xml:space="preserve">Marques et compétence juridictionnelle : Compétence juridictionnelle en matière de marque et d’action en concurrence déloyale</w:t>
      </w:r>
    </w:p>
    <w:p>
      <w:pPr>
        <w:keepNext/>
        <w:spacing w:after="240"/>
      </w:pPr>
      <w:hyperlink w:history="1" r:id="rId5024xdx0mhhhf-z8m728n">
        <w:r>
          <w:rPr>
            <w:color w:val="507D82"/>
            <w:u w:val="single"/>
          </w:rPr>
          <w:t xml:space="preserve">Cour de cassation, chambre commerciale, financière et économique, pourvoi n° 25-12.118, 2026-09-02</w:t>
        </w:r>
      </w:hyperlink>
    </w:p>
    <w:p>
      <w:pPr>
        <w:keepLines/>
        <w:spacing w:after="180" w:line="300"/>
        <w:jc w:val="both"/>
      </w:pPr>
      <w:r>
        <w:t xml:space="preserve">Par cet arrêt publié au Bulletin, la chambre commerciale, financière et économique précise les critères de répartition de compétence entre les juridictions de droit commun du contentieux commercial et celles compétentes pour connaître des actions relevant spécifiquement du droit des marques. La solution procède d’une appréciation concrète de l’objet de la demande et de la situation des droits invoqués à la date à laquelle le juge statue sur l’exception d’incompétence. La seule proximité factuelle d’un litige avec un signe antérieurement déposé à titre de marque ne suffit pas à conférer au litige la nature d’une action en matière de propriété intellectuelle.</w:t>
      </w:r>
    </w:p>
    <w:p>
      <w:pPr>
        <w:keepLines/>
        <w:spacing w:after="180" w:line="300"/>
        <w:jc w:val="both"/>
      </w:pPr>
      <w:r>
        <w:t xml:space="preserve">Le litige opposait la SAS Guyane pièces auto à une partie dont l’identité n’est pas précisée dans les éléments disponibles. L’action était fondée sur des faits d’usurpation alléguée de la dénomination sociale et du nom commercial de la société demanderesse et était qualifiée d’action en concurrence déloyale. La SAS Guyane pièces auto avait antérieurement déposé la marque verbale « GPA Guyane pièces auto ». Toutefois, cette marque avait fait l’objet d’un retrait total le 22 juillet 2022. Le tribunal mixte de commerce de Cayenne, saisi du litige, a rendu un jugement le 23 juin 2023 dont les dispositions ont ensuite été infirmées par la cour d’appel de Cayenne dans un arrêt du 25 novembre 2024. Saisie d’un pourvoi formé sous le n° P 25-12.118, la Cour de cassation casse et annule cet arrêt en toutes ses dispositions. Statuant sans renvoi, elle infirme également intégralement le jugement de première instance et déclare le tribunal mixte de commerce de Cayenne matériellement compétent.</w:t>
      </w:r>
    </w:p>
    <w:p>
      <w:pPr>
        <w:keepLines/>
        <w:spacing w:after="180" w:line="300"/>
        <w:jc w:val="both"/>
      </w:pPr>
      <w:r>
        <w:t xml:space="preserve">Les éléments vérifiés ne reproduisent pas les moyens respectivement développés devant les juges du fond ni les branches du moyen soumis à la Cour de cassation. Il ressort néanmoins de la solution que la compétence spéciale attachée au contentieux des marques était invoquée ou retenue au regard de l’existence antérieure de la marque verbale « GPA Guyane pièces auto ». À l’inverse, la qualification de concurrence déloyale était soutenue au titre de l’usurpation de signes d’identification de l’entreprise, à savoir une dénomination sociale et un nom commercial. La décision ne précise pas davantage la teneur exacte de la mesure d’interdiction sollicitée, sinon qu’elle était susceptible, en théorie, d’affecter l’exercice d’un droit de marque si un tel droit avait été en vigueur.</w:t>
      </w:r>
    </w:p>
    <w:p>
      <w:pPr>
        <w:keepLines/>
        <w:spacing w:after="180" w:line="300"/>
        <w:jc w:val="both"/>
      </w:pPr>
      <w:r>
        <w:t xml:space="preserve">La question soumise à la Cour de cassation était de déterminer si une action en concurrence déloyale fondée sur l’usurpation d’une dénomination sociale et d’un nom commercial devait relever de la compétence juridictionnelle propre aux litiges de propriété intellectuelle en raison de l’existence passée d’une marque portant sur un signe voisin, alors que cette marque avait été retirée avant que le tribunal statue sur l’exception d’incompétence. Il s’agissait, plus précisément, d’apprécier si l’examen de la demande impliquait l’existence ou la méconnaissance d’un droit attaché à une marque et la mise en œuvre des règles spécifiques du droit de la propriété intellectuelle.</w:t>
      </w:r>
    </w:p>
    <w:p>
      <w:pPr>
        <w:keepLines/>
        <w:spacing w:after="180" w:line="300"/>
        <w:jc w:val="both"/>
      </w:pPr>
      <w:r>
        <w:t xml:space="preserve">La Cour adopte un raisonnement centré sur la substance de l’action introduite et sur l’état des droits invoqués au moment pertinent de l’examen de la compétence. Elle constate qu’à la date à laquelle le tribunal mixte de commerce de Cayenne a statué sur l’exception d’incompétence, la SAS Guyane pièces auto n’était titulaire d’aucune marque en vigueur dont l’exercice pouvait être atteint par la mesure d’interdiction sollicitée. Le retrait total de la marque, intervenu le 22 juillet 2022, excluait ainsi que le litige porte sur l’exercice effectif d’un droit de marque. La Cour relève, en outre, que la demande de concurrence déloyale reposait sur l’usurpation alléguée d’une dénomination sociale et d’un nom commercial. Une telle demande n’impliquait, en l’espèce, ni l’examen de l’existence ou de la méconnaissance d’un droit attaché à une marque, ni l’application des règles spécifiques du droit de la propriété intellectuelle. La qualification juridictionnelle du litige ne pouvait donc être déduite de la seule circonstance qu’une marque avait auparavant été déposée sur un signe concerné par le différend.</w:t>
      </w:r>
    </w:p>
    <w:p>
      <w:pPr>
        <w:keepLines/>
        <w:spacing w:after="180" w:line="300"/>
        <w:jc w:val="both"/>
      </w:pPr>
      <w:r>
        <w:t xml:space="preserve">La Cour de cassation casse et annule en toutes ses dispositions l’arrêt rendu le 25 novembre 2024 par la cour d’appel de Cayenne. La cassation est prononcée sans renvoi. La Cour infirme en toutes ses dispositions le jugement rendu le 23 juin 2023 par le tribunal mixte de commerce de Cayenne et déclare cette juridiction matériellement compétente. La SAS Guyane pièces auto est condamnée aux dépens exposés devant le tribunal mixte de commerce de Cayenne et la cour d’appel de Cayenne. Elle est également condamnée au paiement de 1 500 euros au titre des frais irrépétibles d’appel et de 3 000 euros sur le fondement de l’article 700 du code de procédure civile.</w:t>
      </w:r>
    </w:p>
    <w:p>
      <w:pPr>
        <w:pBdr>
          <w:left w:val="single" w:color="507D82" w:sz="10" w:space="8"/>
        </w:pBdr>
        <w:spacing w:after="260" w:before="80"/>
        <w:ind w:left="180"/>
        <w:jc w:val="both"/>
      </w:pPr>
      <w:r>
        <w:rPr>
          <w:b/>
          <w:bCs/>
        </w:rPr>
        <w:t xml:space="preserve">Portée pratique. </w:t>
      </w:r>
      <w:r>
        <w:t xml:space="preserve">L’arrêt rappelle que la compétence ne dépend pas d’une qualification abstraite des signes en présence ni de l’existence historique d’un dépôt de marque. Elle suppose que le litige soumis au juge appelle effectivement l’examen d’un droit de marque en vigueur ou la mise en œuvre de règles propres au droit de la propriété intellectuelle. Lorsqu’une action est exclusivement fondée sur l’atteinte alléguée à une dénomination sociale ou à un nom commercial, et qu’aucune marque en vigueur n’est susceptible d’être affectée par la mesure demandée, elle relève de la compétence de la juridiction commerciale. La décision invite ainsi à distinguer avec rigueur, dès la rédaction des prétentions et l’examen des exceptions de procédure, les actions fondées sur des droits privatifs de propriété intellectuelle de celles qui reposent sur les signes distinctifs non enregistrés de l’entreprise.</w:t>
      </w:r>
    </w:p>
    <w:p>
      <w:pPr>
        <w:pStyle w:val="Heading1"/>
        <w:pBdr>
          <w:bottom w:val="single" w:color="222222" w:sz="6" w:space="6"/>
        </w:pBdr>
        <w:spacing w:after="180" w:before="300"/>
      </w:pPr>
      <w:r>
        <w:rPr>
          <w:b/>
          <w:bCs/>
        </w:rPr>
        <w:t xml:space="preserve">ACTUALITÉS</w:t>
      </w:r>
    </w:p>
    <w:p>
      <w:pPr>
        <w:pStyle w:val="Heading2"/>
        <w:keepNext/>
        <w:spacing w:after="100" w:before="180"/>
      </w:pPr>
      <w:r>
        <w:rPr>
          <w:b/>
          <w:bCs/>
          <w:color w:val="1F4E79"/>
        </w:rPr>
        <w:t xml:space="preserve">WIPO Pearl API for Terminology Now Available in a New Platform</w:t>
      </w:r>
    </w:p>
    <w:p>
      <w:pPr>
        <w:keepNext/>
        <w:spacing w:after="240"/>
      </w:pPr>
      <w:hyperlink w:history="1" r:id="rId0a_wtdnh9zs6l7g2tya_u">
        <w:r>
          <w:rPr>
            <w:color w:val="507D82"/>
            <w:u w:val="single"/>
          </w:rPr>
          <w:t xml:space="preserve">OMPI, actualité du 4 septembre 2026, 2026-09-04</w:t>
        </w:r>
      </w:hyperlink>
    </w:p>
    <w:p>
      <w:pPr>
        <w:keepLines/>
        <w:spacing w:after="180" w:line="300"/>
        <w:jc w:val="both"/>
      </w:pPr>
      <w:r>
        <w:rPr>
          <w:b/>
          <w:bCs/>
          <w:color w:val="1F4E79"/>
        </w:rPr>
        <w:t xml:space="preserve">Contexte. </w:t>
      </w:r>
      <w:r>
        <w:t xml:space="preserve">L’Organisation Mondiale de la Propriété Intellectuelle annonce que l’interface de programmation applicative de sa base terminologique WIPO Pearl est désormais accessible par l’intermédiaire du WIPO Business Partner Portal. Cette évolution concerne les modalités d’accès à un outil numérique consacré à la terminologie scientifique, technique et juridique de la propriété intellectuelle. L’API, lancée en 2021, permet à des logiciels tiers de se connecter automatiquement à WIPO Pearl et d’exploiter certaines de ses données et fonctionnalités sans consultation directe du site de la base.</w:t>
      </w:r>
    </w:p>
    <w:p>
      <w:pPr>
        <w:keepLines/>
        <w:spacing w:after="180" w:line="300"/>
        <w:jc w:val="both"/>
      </w:pPr>
      <w:r>
        <w:rPr>
          <w:b/>
          <w:bCs/>
          <w:color w:val="1F4E79"/>
        </w:rPr>
        <w:t xml:space="preserve">Fondement et champ d’application. </w:t>
      </w:r>
      <w:r>
        <w:t xml:space="preserve">L’actualité revêt un caractère informationnel et ne précise aucun fondement normatif, ni aucune modification des règles substantielles applicables aux brevets ou au système du PCT. Son champ porte sur l’accès technique à la base WIPO Pearl, laquelle comprend plus de 285 000 termes en arabe, chinois, anglais, français, allemand, japonais, coréen, portugais, russe et espagnol. Ces termes sont répartis entre 29 domaines thématiques.</w:t>
      </w:r>
    </w:p>
    <w:p>
      <w:pPr>
        <w:keepLines/>
        <w:spacing w:after="180" w:line="300"/>
        <w:jc w:val="both"/>
      </w:pPr>
      <w:r>
        <w:rPr>
          <w:b/>
          <w:bCs/>
          <w:color w:val="1F4E79"/>
        </w:rPr>
        <w:t xml:space="preserve">Principales dispositions. </w:t>
      </w:r>
      <w:r>
        <w:t xml:space="preserve">L’API permet d’effectuer des recherches terminologiques dans un maximum de dix langues et d’identifier, à partir d’un terme recherché dans une langue, ses équivalents dans neuf autres langues. Elle permet également d’interroger l’ensemble des enregistrements ou de limiter la recherche à des domaines thématiques déterminés. Pour chaque résultat, l’accès à la fiche intégrale est possible au moyen de l’identifiant de l’enregistrement. Cette fiche comporte notamment un contexte définitoire, la source du terme et un indice de fiabilité. L’OMPI précise toutefois que l’API ne reproduit pas l’ensemble des fonctionnalités disponibles sur le site WIPO Pearl, notamment les cartes conceptuelles, la recherche par chemin conceptuel, la recherche d’images et la recherche dans PATENTSCOPE.</w:t>
      </w:r>
    </w:p>
    <w:p>
      <w:pPr>
        <w:keepLines/>
        <w:spacing w:after="180" w:line="300"/>
        <w:jc w:val="both"/>
      </w:pPr>
      <w:r>
        <w:rPr>
          <w:b/>
          <w:bCs/>
          <w:color w:val="1F4E79"/>
        </w:rPr>
        <w:t xml:space="preserve">Mise en œuvre. </w:t>
      </w:r>
      <w:r>
        <w:t xml:space="preserve">La disponibilité de l’API sur le WIPO Business Partner Portal est annoncée le 4 septembre 2026. L’abonnement est gratuit. Une phase d’essai, soumise à un nombre limité de requêtes, est ouverte sans abonnement préalable. À l’issue de cet essai, une demande d’abonnement peut être déposée afin de bénéficier de plafonds d’utilisation plus élevés. Aucun autre calendrier de déploiement n’est précisé.</w:t>
      </w:r>
    </w:p>
    <w:p>
      <w:pPr>
        <w:pBdr>
          <w:left w:val="single" w:color="507D82" w:sz="10" w:space="8"/>
        </w:pBdr>
        <w:spacing w:after="260" w:before="80"/>
        <w:ind w:left="180"/>
        <w:jc w:val="both"/>
      </w:pPr>
      <w:r>
        <w:rPr>
          <w:b/>
          <w:bCs/>
        </w:rPr>
        <w:t xml:space="preserve">Portée pratique. </w:t>
      </w:r>
      <w:r>
        <w:t xml:space="preserve">Cette mise à disposition offre aux utilisateurs la possibilité d’intégrer, dans des environnements logiciels tiers, des recherches portant sur une terminologie validée relative à la propriété intellectuelle. Elle présente un intérêt particulier pour les travaux nécessitant l’identification d’équivalents terminologiques fiables dans plusieurs langues, ainsi que pour l’accès structuré aux informations associées à chaque terme. Pour les offices de propriété intellectuelle et les cabinets spécialisés, l’OMPI indique que l’outil peut notamment soutenir les opérations d’identification de l’état de la technique. L’utilisation de l’API demeure circonscrite aux fonctionnalités effectivement accessibles par cette interface.</w:t>
      </w:r>
    </w:p>
    <w:p>
      <w:pPr>
        <w:spacing w:after="140" w:before="260"/>
      </w:pPr>
      <w:r>
        <w:rPr>
          <w:i/>
          <w:iCs/>
          <w:color w:val="666666"/>
          <w:sz w:val="18"/>
          <w:szCs w:val="18"/>
        </w:rPr>
        <w:t xml:space="preserve">La sélection privilégie les décisions et communications institutionnelles publiées au cours de la semaine, en recherchant un équilibre entre marques, dessins ou modèles, systèmes internationaux de propriété intellectuelle et enjeux numériques liés à l’intelligence artificielle. Un sujet issu d’une alerte Google est retenu à titre de piste spécialisée, sous réserve de la vérification ultérieure de sa source primaire. Aucun contenu provenant de Légifrance, de l’OEB, du CSPLA, du Sénat ou de Dreyfus &amp; Associés n’a été retenu, faute de publication récente et suffisamment vérifiable.</w:t>
      </w:r>
    </w:p>
    <w:sectPr>
      <w:footerReference w:type="default" r:id="rId7"/>
      <w:pgSz w:w="11906" w:h="16838" w:orient="portrait"/>
      <w:pgMar w:top="1020" w:right="1020" w:bottom="102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Veille IP ·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71717"/>
        <w:sz w:val="22"/>
        <w:szCs w:val="22"/>
      </w:rPr>
    </w:rPrDefault>
    <w:pPrDefault>
      <w:pPr>
        <w:spacing w:after="16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171717"/>
      <w:sz w:val="24"/>
      <w:szCs w:val="24"/>
    </w:rPr>
  </w:style>
  <w:style w:type="paragraph" w:styleId="Heading2">
    <w:name w:val="Heading 2"/>
    <w:basedOn w:val="Normal"/>
    <w:next w:val="Normal"/>
    <w:qFormat/>
    <w:rPr>
      <w:rFonts w:ascii="Arial" w:cs="Arial" w:eastAsia="Arial" w:hAnsi="Arial"/>
      <w:b/>
      <w:bCs/>
      <w:color w:val="17171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ntzwjm3s0n0qw92zimnv" Type="http://schemas.openxmlformats.org/officeDocument/2006/relationships/hyperlink" Target="https://eur-lex.europa.eu/legal-content/EN/TXT/?qid=1788300496082&amp;uri=CELEX:62024TJ0049" TargetMode="External"/><Relationship Id="rId5024xdx0mhhhf-z8m728n" Type="http://schemas.openxmlformats.org/officeDocument/2006/relationships/hyperlink" Target="https://www.courdecassation.fr/decision/6a97ed0a195da062e0d07192" TargetMode="External"/><Relationship Id="rId0a_wtdnh9zs6l7g2tya_u" Type="http://schemas.openxmlformats.org/officeDocument/2006/relationships/hyperlink" Target="https://www.wipo.int/fr/web/wipo-pearl/w/news/2026/wipo-pearl-api-for-terminology-now-available-in-a-new-platform"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Veille Propriété intellectuelle : 2026-08-31 au 2026-09-06</dc:title>
  <dc:creator>Veille IP DLA</dc:creator>
  <dc:description>Veille hebdomadaire de propriété intellectuelle</dc:description>
  <cp:lastModifiedBy>Un-named</cp:lastModifiedBy>
  <cp:revision>1</cp:revision>
  <dcterms:created xsi:type="dcterms:W3CDTF">2026-09-06T20:54:39.152Z</dcterms:created>
  <dcterms:modified xsi:type="dcterms:W3CDTF">2026-09-06T20:54:39.152Z</dcterms:modified>
</cp:coreProperties>
</file>

<file path=docProps/custom.xml><?xml version="1.0" encoding="utf-8"?>
<Properties xmlns="http://schemas.openxmlformats.org/officeDocument/2006/custom-properties" xmlns:vt="http://schemas.openxmlformats.org/officeDocument/2006/docPropsVTypes"/>
</file>