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Veille Propriété intellectuelle</w:t>
      </w:r>
    </w:p>
    <w:p>
      <w:pPr>
        <w:spacing w:after="420"/>
        <w:jc w:val="center"/>
      </w:pPr>
      <w:r>
        <w:rPr>
          <w:rFonts w:ascii="Arial" w:cs="Arial" w:eastAsia="Arial" w:hAnsi="Arial"/>
          <w:sz w:val="22"/>
          <w:szCs w:val="22"/>
        </w:rPr>
        <w:t xml:space="preserve">3 octobre 2026</w:t>
      </w:r>
    </w:p>
    <w:p>
      <w:pPr>
        <w:pStyle w:val="Heading1"/>
        <w:pBdr>
          <w:bottom w:val="single" w:color="222222" w:sz="6" w:space="6"/>
        </w:pBdr>
        <w:spacing w:after="180" w:before="240"/>
      </w:pPr>
      <w:r>
        <w:rPr>
          <w:b/>
          <w:bCs/>
        </w:rPr>
        <w:t xml:space="preserve">JURISPRUDENCES</w:t>
      </w:r>
    </w:p>
    <w:p>
      <w:pPr>
        <w:pStyle w:val="Heading2"/>
        <w:keepNext/>
        <w:spacing w:after="100" w:before="180"/>
      </w:pPr>
      <w:r>
        <w:rPr>
          <w:b/>
          <w:bCs/>
          <w:color w:val="1F4E79"/>
        </w:rPr>
        <w:t xml:space="preserve">Marques de l’Union européenne : Le Tribunal confirme le risque de confusion entre T-HEAD et les marques antérieures HEAD</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c>
          <w:tcPr>
            <w:tcW w:type="dxa" w:w="9866"/>
            <w:tcBorders>
              <w:top w:val="single" w:color="7F7F7F" w:sz="6"/>
              <w:left w:val="single" w:color="7F7F7F" w:sz="6"/>
              <w:bottom w:val="none" w:color="FFFFFF" w:sz="0"/>
              <w:right w:val="single" w:color="7F7F7F" w:sz="6"/>
            </w:tcBorders>
            <w:tcMar>
              <w:top w:type="dxa" w:w="120"/>
              <w:left w:type="dxa" w:w="180"/>
              <w:bottom w:type="dxa" w:w="20"/>
              <w:right w:type="dxa" w:w="180"/>
            </w:tcMar>
          </w:tcPr>
          <w:p>
            <w:pPr>
              <w:keepNext/>
              <w:spacing w:after="240"/>
            </w:pPr>
            <w:hyperlink w:history="1" r:id="rIdsojtwvkktiviba6_mhwvo">
              <w:r>
                <w:rPr>
                  <w:color w:val="507D82"/>
                  <w:u w:val="single"/>
                </w:rPr>
                <w:t xml:space="preserve">EUR-Lex, arrêt du Tribunal de l’Union européenne dans l’affaire T-477/25, 30 septembre 2026.</w:t>
              </w:r>
            </w:hyperlink>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Le Tribunal de l’Union européenne, huitième chambre, rend son arrêt dans l’affaire T-477/25. </w:t>
            </w:r>
            <w:r>
              <w:rPr>
                <w:i/>
                <w:iCs/>
                <w:color w:val="666666"/>
              </w:rPr>
              <w:t xml:space="preserve">(30 septembre 2026)</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Le Tribunal rejette le recours introduit par T-Head (Shanghai) Semiconductor Co. Ltd contre la décision de la chambre de recours de l’EUIPO. </w:t>
            </w:r>
            <w:r>
              <w:rPr>
                <w:i/>
                <w:iCs/>
                <w:color w:val="666666"/>
              </w:rPr>
              <w:t xml:space="preserve">(30 septembre 2026)</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val="false"/>
              <w:spacing w:after="70" w:line="252"/>
              <w:jc w:val="left"/>
            </w:pPr>
            <w:r>
              <w:t xml:space="preserve">→ Le Tribunal condamne T-Head (Shanghai) Semiconductor Co. Ltd aux dépens. </w:t>
            </w:r>
            <w:r>
              <w:rPr>
                <w:i/>
                <w:iCs/>
                <w:color w:val="666666"/>
              </w:rPr>
              <w:t xml:space="preserve">(30 septembre 2026)</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Par cet arrêt, le Tribunal de l’Union européenne se prononce sur une opposition dirigée contre une demande de marque de l’Union européenne figurative T-HEAD. Le contentieux oppose la demanderesse, T-Head (Shanghai) Semiconductor Co. Ltd, à l’EUIPO, Head Technology GmbH étant l’autre partie à la procédure devant la chambre de recours. Le Tribunal était appelé à vérifier si l’appréciation du risque de confusion entre le signe demandé et plusieurs marques antérieures HEAD était conforme à l’article 8, paragraphe 1, sous b), du règlement (UE) 2017/1001, ainsi qu’aux exigences de motivation résultant de l’article 94, paragraphe 1, du même règlement. Il confirme la décision contestée et rejette le recours dans son intégralité.</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demande de marque en cause porte sur un signe figuratif comportant l’élément verbal T-HEAD. L’opposition était fondée sur plusieurs droits antérieurs invoqués par Head Technology GmbH, comprenant notamment une marque nationale figurative, un enregistrement international figuratif ainsi que des marques nationales verbales HEAD. Le litige s’inscrit dans le cadre d’une comparaison entre une dénomination composée de la lettre t, d’un trait d’union et du terme head, d’une part, et des signes antérieurs centrés sur le terme HEAD, d’autre part. La chambre de recours de l’EUIPO avait statué sur l’opposition et T-Head (Shanghai) Semiconductor Co. Ltd a saisi le Tribunal d’un recours contre cette décision. Le recours mettait en cause l’application de l’article 8, paragraphe 1, sous b), du règlement 2017/1001 et l’obligation de motivation imposée à l’EUIPO.</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requérante contestait l’appréciation retenue au stade administratif quant au risque de confusion entre le signe demandé et les marques antérieures. Son recours soulevait également un grief tiré de l’article 94, paragraphe 1, du règlement 2017/1001, disposition qui impose à l’EUIPO de motiver ses décisions. Le débat portait en particulier sur la place respective des composantes du signe demandé, à savoir la lettre t, le trait d’union, l’élément verbal head et l’élément figuratif, dans l’impression d’ensemble produite auprès du public pertinent. Il portait également sur le niveau de similitude visuelle et phonétique entre les signes et, par voie de conséquence, sur l’existence d’un risque de confusion pour les produits et services concernés.</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question soumise au Tribunal était de savoir si la chambre de recours pouvait valablement conclure à l’existence d’un risque de confusion, au sens de l’article 8, paragraphe 1, sous b), du règlement 2017/1001, entre la marque figurative demandée T-HEAD et les marques antérieures HEAD. Cette question supposait d’apprécier l’impression d’ensemble produite par les signes, en tenant compte de leurs éléments distinctifs et dominants, puis d’évaluer leurs ressemblances visuelle et phonétique. Le Tribunal devait également vérifier si la décision de la chambre de recours satisfaisait à l’exigence de motivation prévue par l’article 94, paragraphe 1, du règlement 2017/1001.</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Tribunal retient que l’élément verbal head constitue l’élément dominant de la marque demandée. Cette appréciation repose sur le constat que la lettre t, le trait d’union et l’élément figuratif n’exercent qu’une incidence limitée sur l’impression d’ensemble produite par le signe T-HEAD. La présence de head, élément commun avec les marques antérieures, revêt ainsi une importance déterminante dans la comparaison. Le Tribunal ne réduit pas l’analyse à la seule identité de cet élément verbal, mais l’inscrit dans l’examen global exigé en matière de risque de confusion. Il constate, au regard de la configuration respective des signes, une similitude visuelle supérieure à la moyenne. Il relève également une similitude phonétique au moins moyenne. Ces constatations conduisent à confirmer l’appréciation selon laquelle le public pertinent est susceptible de croire que les produits et services concernés proviennent de la même entreprise ou, le cas échéant, d’entreprises économiquement liées. Le Tribunal écarte donc le moyen tiré d’une violation de l’article 8, paragraphe 1, sous b), du règlement 2017/1001. Il examine également l’obligation de motivation consacrée par l’article 94, paragraphe 1, du règlement 2017/1001 et rejette le grief correspondant.</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Tribunal rejette le recours dans son intégralité. Il confirme ainsi la décision de la chambre de recours de l’EUIPO ayant retenu l’existence d’un risque de confusion entre la demande de marque figurative T-HEAD et les marques antérieures HEAD invoquées à l’appui de l’opposition. Le Tribunal juge que l’élément head domine le signe demandé et que les différences tenant à la lettre t, au trait d’union et à l’élément figuratif ne suffisent pas à neutraliser les similitudes constatées. La similitude visuelle, qualifiée de supérieure à la moyenne, et la similitude phonétique, reconnue comme au moins moyenne, justifient la confirmation du risque de confusion pour les produits et services concernés. T-Head (Shanghai) Semiconductor Co. Ltd est condamnée aux dépens.</w:t>
            </w:r>
          </w:p>
        </w:tc>
      </w:tr>
      <w:tr>
        <w:tc>
          <w:tcPr>
            <w:tcW w:type="dxa" w:w="9866"/>
            <w:tcBorders>
              <w:top w:val="none" w:color="FFFFFF" w:sz="0"/>
              <w:left w:val="single" w:color="7F7F7F" w:sz="6"/>
              <w:bottom w:val="single" w:color="7F7F7F" w:sz="6"/>
              <w:right w:val="single" w:color="7F7F7F" w:sz="6"/>
            </w:tcBorders>
            <w:tcMar>
              <w:top w:type="dxa" w:w="20"/>
              <w:left w:type="dxa" w:w="180"/>
              <w:bottom w:type="dxa" w:w="120"/>
              <w:right w:type="dxa" w:w="180"/>
            </w:tcMar>
          </w:tcPr>
          <w:p>
            <w:pPr>
              <w:pBdr>
                <w:left w:val="single" w:color="507D82" w:sz="10" w:space="8"/>
              </w:pBdr>
              <w:spacing w:after="260" w:before="80"/>
              <w:ind w:left="180"/>
              <w:jc w:val="both"/>
            </w:pPr>
            <w:r>
              <w:rPr>
                <w:b/>
                <w:bCs/>
              </w:rPr>
              <w:t xml:space="preserve">Portée pratique. </w:t>
            </w:r>
            <w:r>
              <w:t xml:space="preserve">L’arrêt rappelle l’importance décisive de l’identification des éléments dominants dans la comparaison des signes complexes. L’adjonction d’une lettre initiale, d’un trait d’union ou d’un habillage figuratif ne fait pas nécessairement obstacle à la reconnaissance d’une similitude pertinente lorsque l’élément verbal commun demeure prépondérant dans l’impression d’ensemble. Pour le dépôt et la défense des marques de l’Union européenne, cette décision confirme qu’une variation graphique ou typographique limitée autour d’une dénomination antérieure peut demeurer insuffisante pour écarter le risque de confusion. Elle souligne également que l’analyse doit porter conjointement sur les ressemblances visuelle et phonétique, sans isoler artificiellement les composantes secondaires du signe demandé. Enfin, un recours fondé sur un défaut de motivation ne prospère pas lorsque l’appréciation de la chambre de recours est suffisamment étayée au regard des critères pertinents du risque de confusion.</w:t>
            </w:r>
          </w:p>
        </w:tc>
      </w:tr>
    </w:tbl>
    <w:p>
      <w:pPr>
        <w:pStyle w:val="Heading1"/>
        <w:pBdr>
          <w:bottom w:val="single" w:color="222222" w:sz="6" w:space="6"/>
        </w:pBdr>
        <w:spacing w:after="180" w:before="300"/>
      </w:pPr>
      <w:r>
        <w:rPr>
          <w:b/>
          <w:bCs/>
        </w:rPr>
        <w:t xml:space="preserve">ACTUALITÉS</w:t>
      </w:r>
    </w:p>
    <w:p>
      <w:pPr>
        <w:pStyle w:val="Heading2"/>
        <w:keepNext/>
        <w:spacing w:after="100" w:before="180"/>
      </w:pPr>
      <w:r>
        <w:rPr>
          <w:b/>
          <w:bCs/>
          <w:color w:val="1F4E79"/>
        </w:rPr>
        <w:t xml:space="preserve">L’USPTO fait de Madrid e-Filing la voie de dépôt par défaut des demandes internationales de marque</w:t>
      </w:r>
    </w:p>
    <w:p>
      <w:pPr>
        <w:keepNext/>
        <w:spacing w:after="240"/>
      </w:pPr>
      <w:hyperlink w:history="1" r:id="rIdpjp7rgeg7g-fzghlqmmn7">
        <w:r>
          <w:rPr>
            <w:color w:val="507D82"/>
            <w:u w:val="single"/>
          </w:rPr>
          <w:t xml:space="preserve">Organisation Mondiale de la Propriété Intellectuelle, Système de Madrid, 1 octobre 2026</w:t>
        </w:r>
      </w:hyperlink>
    </w:p>
    <w:p>
      <w:pPr>
        <w:keepLines/>
        <w:spacing w:after="130" w:line="276"/>
        <w:jc w:val="both"/>
      </w:pPr>
      <w:r>
        <w:t xml:space="preserve">L’Office des brevets et des marques des États-Unis, l’USPTO, a retenu le service Madrid e-Filing de l’OMPI comme plateforme par défaut pour le dépôt des nouvelles demandes internationales de marque fondées sur une demande ou un enregistrement américain. Cette évolution se substitue au Trademark Electronic Application System International, ou TEASi, qui constituait jusqu’alors le canal électronique de dépôt international auprès de l’USPTO.</w:t>
      </w:r>
    </w:p>
    <w:p>
      <w:pPr>
        <w:keepLines/>
        <w:spacing w:after="130" w:line="276"/>
        <w:jc w:val="both"/>
      </w:pPr>
      <w:r>
        <w:t xml:space="preserve">Le service Madrid e-Filing permet aux déposants d’effectuer leur demande en ligne, de communiquer directement avec leur office d’origine et de recevoir puis de traiter les notifications d’irrégularité émises par le Bureau international de l’OMPI. Son utilisation suppose la création d’un compte WIPO. L’OMPI indique que 436 demandes internationales avaient déjà été déposées au moyen de ce service par des déposants américains depuis son lancement initial, le 31 juillet 2026.</w:t>
      </w:r>
    </w:p>
    <w:p>
      <w:pPr>
        <w:keepLines/>
        <w:spacing w:after="130" w:line="276"/>
        <w:jc w:val="both"/>
      </w:pPr>
      <w:r>
        <w:t xml:space="preserve">Depuis le 1er octobre 2026, les déposants américains présentant une demande internationale fondée sur une demande ou un enregistrement américain doivent acquitter directement auprès de l’OMPI les taxes correspondantes, libellées en francs suisses. Cette modalité de paiement accompagne le recours à la plateforme Madrid e-Filing.</w:t>
      </w:r>
    </w:p>
    <w:p>
      <w:pPr>
        <w:pBdr>
          <w:left w:val="single" w:color="507D82" w:sz="10" w:space="8"/>
        </w:pBdr>
        <w:spacing w:after="260" w:before="80"/>
        <w:ind w:left="180"/>
        <w:jc w:val="both"/>
      </w:pPr>
      <w:r>
        <w:t xml:space="preserve">Les déposants américains doivent désormais anticiper le paiement direct auprès de l’OMPI, en francs suisses, des taxes afférentes aux demandes internationales déposées sur la base d’un droit américain.</w:t>
      </w:r>
    </w:p>
    <w:p>
      <w:pPr>
        <w:pStyle w:val="Heading2"/>
        <w:keepNext/>
        <w:spacing w:after="100" w:before="180"/>
      </w:pPr>
      <w:r>
        <w:rPr>
          <w:b/>
          <w:bCs/>
          <w:color w:val="1F4E79"/>
        </w:rPr>
        <w:t xml:space="preserve">L’OMPI annonce de nouveaux webinaires sur le Système de Madrid au quatrième trimestre 2026</w:t>
      </w:r>
    </w:p>
    <w:p>
      <w:pPr>
        <w:keepNext/>
        <w:spacing w:after="240"/>
      </w:pPr>
      <w:hyperlink w:history="1" r:id="rIdm5cfyuh0hxebvc-gu4-hh">
        <w:r>
          <w:rPr>
            <w:color w:val="507D82"/>
            <w:u w:val="single"/>
          </w:rPr>
          <w:t xml:space="preserve">Organisation Mondiale de la Propriété Intellectuelle (OMPI), 30 septembre 2026</w:t>
        </w:r>
      </w:hyperlink>
    </w:p>
    <w:p>
      <w:pPr>
        <w:keepLines/>
        <w:spacing w:after="130" w:line="276"/>
        <w:jc w:val="both"/>
      </w:pPr>
      <w:r>
        <w:rPr>
          <w:b/>
          <w:bCs/>
          <w:color w:val="1F4E79"/>
        </w:rPr>
        <w:t xml:space="preserve">Contexte. </w:t>
      </w:r>
      <w:r>
        <w:t xml:space="preserve">L’Organisation Mondiale de la Propriété Intellectuelle annonce une nouvelle série de webinaires publics relatifs au Système de Madrid, programmés au cours du quatrième trimestre 2026. Ces sessions, accessibles gratuitement sur inscription, comportent un temps de questions-réponses en direct avec des experts du Système de Madrid. Les dates, horaires et langues applicables à chaque intervention sont précisés par l’OMPI, les horaires étant exprimés selon l’heure de Genève.</w:t>
      </w:r>
    </w:p>
    <w:p>
      <w:pPr>
        <w:keepLines/>
        <w:spacing w:after="130" w:line="276"/>
        <w:jc w:val="both"/>
      </w:pPr>
      <w:r>
        <w:t xml:space="preserve">La programmation couvre plusieurs opérations pratiques liées à la gestion d’un portefeuille international de marques. Elle comprend notamment des présentations sur l’utilisation d’eMadrid, sur le paiement des taxes du Système de Madrid par les déposants américains auprès de l’United States Patent and Trademark Office, ainsi que sur la classification des produits et services dans les demandes internationales de marque.</w:t>
      </w:r>
    </w:p>
    <w:p>
      <w:pPr>
        <w:keepLines/>
        <w:spacing w:after="130" w:line="276"/>
        <w:jc w:val="both"/>
      </w:pPr>
      <w:r>
        <w:t xml:space="preserve">D’autres sessions portent sur la modification des coordonnées du titulaire et sur le transfert de propriété, soit des inscriptions susceptibles d’affecter la titularité ou l’administration d’un enregistrement international. L’OMPI prévoit également des webinaires consacrés au fonctionnement général du Système de Madrid.</w:t>
      </w:r>
    </w:p>
    <w:p>
      <w:pPr>
        <w:pBdr>
          <w:left w:val="single" w:color="507D82" w:sz="10" w:space="8"/>
        </w:pBdr>
        <w:spacing w:after="260" w:before="80"/>
        <w:ind w:left="180"/>
        <w:jc w:val="both"/>
      </w:pPr>
      <w:r>
        <w:t xml:space="preserve">Les titulaires et mandataires peuvent notamment mobiliser ces sessions pour actualiser leur maîtrise des formalités dématérialisées, de la classification et des inscriptions relatives aux changements affectant un enregistrement international.</w:t>
      </w:r>
    </w:p>
    <w:p>
      <w:pPr>
        <w:pStyle w:val="Heading2"/>
        <w:keepNext/>
        <w:spacing w:after="100" w:before="180"/>
      </w:pPr>
      <w:r>
        <w:rPr>
          <w:b/>
          <w:bCs/>
          <w:color w:val="1F4E79"/>
        </w:rPr>
        <w:t xml:space="preserve">Dix ans des DesignEuropa Awards : l’EUIPO souligne l’évolution du rôle du design</w:t>
      </w:r>
    </w:p>
    <w:p>
      <w:pPr>
        <w:keepNext/>
        <w:spacing w:after="240"/>
      </w:pPr>
      <w:hyperlink w:history="1" r:id="rIdswb2yuow57mo8al3kacax">
        <w:r>
          <w:rPr>
            <w:color w:val="507D82"/>
            <w:u w:val="single"/>
          </w:rPr>
          <w:t xml:space="preserve">EUIPO, actualité institutionnelle du 28 septembre 2026</w:t>
        </w:r>
      </w:hyperlink>
    </w:p>
    <w:p>
      <w:pPr>
        <w:keepNext/>
        <w:spacing w:after="220"/>
        <w:jc w:val="both"/>
      </w:pPr>
      <w:r>
        <w:rPr>
          <w:b/>
          <w:bCs/>
          <w:i/>
          <w:iCs/>
          <w:color w:val="C55A11"/>
        </w:rPr>
        <w:t xml:space="preserve">Attention : les informations présentées dans cette section doivent être vérifiées, l’accès à la source étant incomplet, limité ou restreint.</w:t>
      </w:r>
    </w:p>
    <w:p>
      <w:pPr>
        <w:keepLines/>
        <w:spacing w:after="130" w:line="276"/>
        <w:jc w:val="both"/>
      </w:pPr>
      <w:r>
        <w:rPr>
          <w:b/>
          <w:bCs/>
          <w:color w:val="1F4E79"/>
        </w:rPr>
        <w:t xml:space="preserve">Contexte. </w:t>
      </w:r>
      <w:r>
        <w:t xml:space="preserve">L’EUIPO consacre une actualité au dixième anniversaire des DesignEuropa Awards, distinction consacrée au design et à son influence sur les usages quotidiens. Selon l’Office, l’édition 2026 a recueilli plus de 1 600 candidatures provenant de 52 pays, illustrant la participation internationale à ce rendez-vous consacré aux créations relevant du design.</w:t>
      </w:r>
    </w:p>
    <w:p>
      <w:pPr>
        <w:keepLines/>
        <w:spacing w:after="130" w:line="276"/>
        <w:jc w:val="both"/>
      </w:pPr>
      <w:r>
        <w:t xml:space="preserve">L’actualité mentionne parmi les lauréats Carbon Less Future, WATERROWER | NOHRD et Showee Smart Wellness. Maria Gil s’est vu attribuer le Next Generation Design Award, tandis que Philippe Starck a reçu le Lifetime Achievement Award. Les catégories précises dans lesquelles les autres créations citées ont été distinguées ne sont pas précisées dans les éléments accessibles.</w:t>
      </w:r>
    </w:p>
    <w:p>
      <w:pPr>
        <w:keepLines/>
        <w:spacing w:after="130" w:line="276"/>
        <w:jc w:val="both"/>
      </w:pPr>
      <w:r>
        <w:t xml:space="preserve">L’EUIPO indique enfin que la prochaine édition des DesignEuropa Awards se tiendra à Prague en 2027. Cette communication institutionnelle ne comporte pas d’élément relatif à une procédure, à une décision ou à l’interprétation d’une règle de droit des dessins et modèles.</w:t>
      </w:r>
    </w:p>
    <w:p>
      <w:pPr>
        <w:pBdr>
          <w:left w:val="single" w:color="507D82" w:sz="10" w:space="8"/>
        </w:pBdr>
        <w:spacing w:after="260" w:before="80"/>
        <w:ind w:left="180"/>
        <w:jc w:val="both"/>
      </w:pPr>
      <w:r>
        <w:t xml:space="preserve">L’édition 2026 des DesignEuropa Awards a réuni plus de 1 600 candidatures provenant de 52 pays, selon l’EUIPO.</w:t>
      </w:r>
    </w:p>
    <w:p>
      <w:pPr>
        <w:pStyle w:val="Heading2"/>
        <w:keepNext/>
        <w:spacing w:after="100" w:before="180"/>
      </w:pPr>
      <w:r>
        <w:rPr>
          <w:b/>
          <w:bCs/>
          <w:color w:val="1F4E79"/>
        </w:rPr>
        <w:t xml:space="preserve">EUIPO : prorogation des délais pour les parties établies en Ukraine</w:t>
      </w:r>
    </w:p>
    <w:p>
      <w:pPr>
        <w:keepNext/>
        <w:spacing w:after="240"/>
      </w:pPr>
      <w:hyperlink w:history="1" r:id="rIdovd_wbwmm6twawdptovpl">
        <w:r>
          <w:rPr>
            <w:color w:val="507D82"/>
            <w:u w:val="single"/>
          </w:rPr>
          <w:t xml:space="preserve">Journal officiel de l’Office de l’Union européenne pour la propriété intellectuelle (EUIPO), 1 octobre 2026</w:t>
        </w:r>
      </w:hyperlink>
    </w:p>
    <w:p>
      <w:pPr>
        <w:keepNext/>
        <w:spacing w:after="220"/>
        <w:jc w:val="both"/>
      </w:pPr>
      <w:r>
        <w:rPr>
          <w:b/>
          <w:bCs/>
          <w:i/>
          <w:iCs/>
          <w:color w:val="C55A11"/>
        </w:rPr>
        <w:t xml:space="preserve">Attention : les informations présentées dans cette section doivent être vérifiées, l’accès à la source étant incomplet, limité ou restreint.</w:t>
      </w:r>
    </w:p>
    <w:p>
      <w:pPr>
        <w:keepLines/>
        <w:spacing w:after="130" w:line="276"/>
        <w:jc w:val="both"/>
      </w:pPr>
      <w:r>
        <w:rPr>
          <w:b/>
          <w:bCs/>
          <w:color w:val="1F4E79"/>
        </w:rPr>
        <w:t xml:space="preserve">Contexte. </w:t>
      </w:r>
      <w:r>
        <w:t xml:space="preserve">Le Journal officiel de l’Office de l’Union européenne pour la propriété intellectuelle publie la décision nº EX-26-16 du directeur exécutif de l’Office, datée du 7 septembre 2026. Cette décision porte, selon son intitulé officiel, sur la prorogation des délais applicables aux parties ayant leur résidence ou leur siège social en Ukraine.</w:t>
      </w:r>
    </w:p>
    <w:p>
      <w:pPr>
        <w:keepLines/>
        <w:spacing w:after="130" w:line="276"/>
        <w:jc w:val="both"/>
      </w:pPr>
      <w:r>
        <w:t xml:space="preserve">La publication intervient dans la rubrique du Journal officiel consacrée aux communications et décisions du directeur exécutif de l’EUIPO. La page officielle identifie la décision et comporte un lien vers une pièce jointe PDF. Toutefois, le document joint n’a pas pu être ouvert lors de la consultation de la source.</w:t>
      </w:r>
    </w:p>
    <w:p>
      <w:pPr>
        <w:keepLines/>
        <w:spacing w:after="130" w:line="276"/>
        <w:jc w:val="both"/>
      </w:pPr>
      <w:r>
        <w:t xml:space="preserve">Il n’est dès lors pas possible, sur la seule base des éléments effectivement accessibles, de préciser les délais concernés, la durée ou les modalités de la prorogation, sa période d’application, ni les éventuelles conditions auxquelles les parties intéressées seraient soumises. Ces éléments devront être vérifiés dans le texte de la décision nº EX-26-16 avant toute appréciation de ses effets procéduraux.</w:t>
      </w:r>
    </w:p>
    <w:p>
      <w:pPr>
        <w:pBdr>
          <w:left w:val="single" w:color="507D82" w:sz="10" w:space="8"/>
        </w:pBdr>
        <w:spacing w:after="260" w:before="80"/>
        <w:ind w:left="180"/>
        <w:jc w:val="both"/>
      </w:pPr>
      <w:r>
        <w:t xml:space="preserve">Le dispositif de la décision nº EX-26-16 n’ayant pas été accessible, les délais concernés, l’étendue de leur prorogation et ses conditions d’application ne sont pas précisés dans les éléments vérifiés.</w:t>
      </w:r>
    </w:p>
    <w:sectPr>
      <w:footerReference w:type="default" r:id="rId6"/>
      <w:pgSz w:w="12240" w:h="15840" w:orient="portrait"/>
      <w:pgMar w:top="1440" w:right="820" w:bottom="145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22"/>
        <w:szCs w:val="22"/>
      </w:rPr>
    </w:rPrDefault>
    <w:pPrDefault>
      <w:pPr>
        <w:spacing w:after="13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71717"/>
      <w:sz w:val="24"/>
      <w:szCs w:val="24"/>
    </w:rPr>
  </w:style>
  <w:style w:type="paragraph" w:styleId="Heading2">
    <w:name w:val="Heading 2"/>
    <w:basedOn w:val="Normal"/>
    <w:next w:val="Normal"/>
    <w:qFormat/>
    <w:rPr>
      <w:rFonts w:ascii="Arial" w:cs="Arial" w:eastAsia="Arial" w:hAnsi="Arial"/>
      <w:b/>
      <w:bCs/>
      <w:color w:val="17171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sojtwvkktiviba6_mhwvo" Type="http://schemas.openxmlformats.org/officeDocument/2006/relationships/hyperlink" Target="https://eur-lex.europa.eu/legal-content/EN/TXT/?uri=CELEX:62025TJ0477" TargetMode="External"/><Relationship Id="rIdpjp7rgeg7g-fzghlqmmn7" Type="http://schemas.openxmlformats.org/officeDocument/2006/relationships/hyperlink" Target="https://www.wipo.int/en/web/madrid-system/w/news/2026/uspto-makes-wipo-madrid-e-filing-the-default-option-for-filing-international-trademark-applications" TargetMode="External"/><Relationship Id="rIdm5cfyuh0hxebvc-gu4-hh" Type="http://schemas.openxmlformats.org/officeDocument/2006/relationships/hyperlink" Target="https://www.wipo.int/en/web/madrid-system/w/news/2026/more-madrid-system-webinars-in-q4-2026-secure-your-free-spot-today" TargetMode="External"/><Relationship Id="rIdswb2yuow57mo8al3kacax" Type="http://schemas.openxmlformats.org/officeDocument/2006/relationships/hyperlink" Target="https://www.euipo.europa.eu/nl/news/ten-years-of-designeuropa-how-design-keeps-changing-the-way-we-live" TargetMode="External"/><Relationship Id="rIdovd_wbwmm6twawdptovpl" Type="http://schemas.openxmlformats.org/officeDocument/2006/relationships/hyperlink" Target="https://www.euipo.europa.eu/fr/law/communications-and-decisions-ed/official-journal"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Propriété intellectuelle : Du 28 septembre au 2 octobre 2026</dc:title>
  <dc:creator>Veille IP DLA</dc:creator>
  <dc:description>Veille hebdomadaire de propriété intellectuelle</dc:description>
  <cp:lastModifiedBy>Un-named</cp:lastModifiedBy>
  <cp:revision>1</cp:revision>
  <dcterms:created xsi:type="dcterms:W3CDTF">2026-10-02T09:27:03.360Z</dcterms:created>
  <dcterms:modified xsi:type="dcterms:W3CDTF">2026-10-02T09:27:03.360Z</dcterms:modified>
</cp:coreProperties>
</file>

<file path=docProps/custom.xml><?xml version="1.0" encoding="utf-8"?>
<Properties xmlns="http://schemas.openxmlformats.org/officeDocument/2006/custom-properties" xmlns:vt="http://schemas.openxmlformats.org/officeDocument/2006/docPropsVTypes"/>
</file>