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Veille Propriété intellectuelle</w:t>
      </w:r>
    </w:p>
    <w:p>
      <w:pPr>
        <w:spacing w:after="420"/>
        <w:jc w:val="center"/>
      </w:pPr>
      <w:r>
        <w:rPr>
          <w:rFonts w:ascii="Arial" w:cs="Arial" w:eastAsia="Arial" w:hAnsi="Arial"/>
          <w:sz w:val="22"/>
          <w:szCs w:val="22"/>
        </w:rPr>
        <w:t xml:space="preserve">10 octobre 2026</w:t>
      </w:r>
    </w:p>
    <w:p>
      <w:pPr>
        <w:pStyle w:val="Heading1"/>
        <w:pBdr>
          <w:bottom w:val="single" w:color="222222" w:sz="6" w:space="6"/>
        </w:pBdr>
        <w:spacing w:after="180" w:before="240"/>
      </w:pPr>
      <w:r>
        <w:rPr>
          <w:b/>
          <w:bCs/>
        </w:rPr>
        <w:t xml:space="preserve">JURISPRUDENCES</w:t>
      </w:r>
    </w:p>
    <w:p>
      <w:pPr>
        <w:pStyle w:val="Heading2"/>
        <w:keepNext/>
        <w:spacing w:after="100" w:before="180"/>
      </w:pPr>
      <w:r>
        <w:rPr>
          <w:b/>
          <w:bCs/>
          <w:color w:val="1F4E79"/>
        </w:rPr>
        <w:t xml:space="preserve">Marques de l’Union européenne : Le Tribunal précise l’appréciation du caractère distinctif de la marque FIBER EXPERTS et sanctionne un défaut de motivation limité</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c>
          <w:tcPr>
            <w:tcW w:type="dxa" w:w="9866"/>
            <w:tcBorders>
              <w:top w:val="single" w:color="7F7F7F" w:sz="6"/>
              <w:left w:val="single" w:color="7F7F7F" w:sz="6"/>
              <w:bottom w:val="none" w:color="FFFFFF" w:sz="0"/>
              <w:right w:val="single" w:color="7F7F7F" w:sz="6"/>
            </w:tcBorders>
            <w:tcMar>
              <w:top w:type="dxa" w:w="120"/>
              <w:left w:type="dxa" w:w="180"/>
              <w:bottom w:type="dxa" w:w="20"/>
              <w:right w:type="dxa" w:w="180"/>
            </w:tcMar>
          </w:tcPr>
          <w:p>
            <w:pPr>
              <w:keepNext/>
              <w:spacing w:after="240"/>
            </w:pPr>
            <w:hyperlink w:history="1" r:id="rIdg7fpdzepdshdoa29_wwq_">
              <w:r>
                <w:rPr>
                  <w:color w:val="507D82"/>
                  <w:u w:val="single"/>
                </w:rPr>
                <w:t xml:space="preserve">EUR-Lex, arrêt du Tribunal de l’Union européenne, neuvième chambre, affaire T-559/25, ECLI:EU:T:2026:643, 7 octobre 2026.</w:t>
              </w:r>
            </w:hyperlink>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La première chambre de recours de l’EUIPO adopte la décision contestée par Fiber Experts Deutschland GmbH. </w:t>
            </w:r>
            <w:r>
              <w:rPr>
                <w:i/>
                <w:iCs/>
                <w:color w:val="666666"/>
              </w:rPr>
              <w:t xml:space="preserve">(2025-06-12)</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 Le Tribunal de l’Union européenne, neuvième chambre, statue sur le recours introduit contre cette décision dans l’affaire T-559/25. </w:t>
            </w:r>
            <w:r>
              <w:rPr>
                <w:i/>
                <w:iCs/>
                <w:color w:val="666666"/>
              </w:rPr>
              <w:t xml:space="preserve">(2026-10-07)</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val="false"/>
              <w:spacing w:after="70" w:line="252"/>
              <w:jc w:val="left"/>
            </w:pPr>
            <w:r>
              <w:t xml:space="preserve">→ Le Tribunal annule la décision attaquée pour les services de divertissement et de sport de la classe 41, rejette le recours pour le surplus et décide que chaque partie supportera ses propres dépens. </w:t>
            </w:r>
            <w:r>
              <w:rPr>
                <w:i/>
                <w:iCs/>
                <w:color w:val="666666"/>
              </w:rPr>
              <w:t xml:space="preserve">(2026-10-07)</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Par cet arrêt, le Tribunal de l’Union européenne se prononce sur le refus d’enregistrement, en tant que marque de l’Union européenne, du signe verbal FIBER EXPERTS. Le contentieux porte sur l’application du motif absolu de refus tiré de l’absence de caractère distinctif, prévu à l’article 7, paragraphe 1, sous b), du règlement 2017/1001. Le Tribunal confirme l’analyse de l’EUIPO pour les produits et services concernés, sous une réserve circonscrite aux services de divertissement et de sport relevant de la classe 41. Cette réserve ne procède pas d’une reconnaissance du caractère distinctif du signe pour ces services, mais de l’insuffisance de la motivation exposée par la chambre de recours pour justifier le refus à leur égard.</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Fiber Experts Deutschland GmbH a présenté une demande d’enregistrement de la marque de l’Union européenne verbale FIBER EXPERTS. Le signe était destiné à couvrir des produits et services dont le détail n’est pas précisé dans les éléments vérifiés, comprenant notamment des services de divertissement et de sport de la classe 41. L’EUIPO a considéré que le signe était dépourvu de caractère distinctif. La première chambre de recours a adopté, le 12 juin 2025, une décision confirmant ce refus. La demanderesse a alors saisi le Tribunal d’un recours contre cette décision. Le litige soumis au Tribunal était ainsi circonscrit à la légalité de la décision de la chambre de recours au regard, d’une part, de l’exigence de caractère distinctif et, d’autre part, de l’obligation de motivation de l’EUIPO.</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Les éléments vérifiés établissent que Fiber Experts Deutschland GmbH contestait le refus opposé à sa demande de marque, tandis que l’EUIPO défendait la décision de la première chambre de recours. Le contenu détaillé des moyens développés par la requérante, des observations de l’EUIPO et des éventuelles réponses respectives n’est pas précisé dans les informations disponibles. Il ressort néanmoins de l’arrêt que le débat portait sur l’aptitude du signe FIBER EXPERTS à distinguer les produits et services visés de ceux provenant d’autres entreprises. Il portait également, à tout le moins pour les services de divertissement et de sport de la classe 41, sur le caractère suffisant de l’exposé des motifs retenus par la chambre de recours.</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Tribunal devait déterminer si la chambre de recours avait valablement conclu que le signe verbal FIBER EXPERTS était dépourvu de caractère distinctif au sens de l’article 7, paragraphe 1, sous b), du règlement 2017/1001, pour les produits et services couverts par la demande. Il devait aussi vérifier si la décision attaquée permettait d’identifier, avec une clarté suffisante, les motifs justifiant le refus spécifiquement appliqué aux services de divertissement et de sport relevant de la classe 41. La seconde question concernait donc non pas l’appréciation au fond de la distinctivité de ces services, mais l’exigence que l’EUIPO motive sa décision de manière à permettre à son destinataire d’en comprendre le fondement et au juge de l’Union d’exercer son contrôle.</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Tribunal retient que le signe FIBER EXPERTS est dépourvu de caractère distinctif pour les produits et services concernés, à l’exception des services de divertissement et de sport de la classe 41. Il valide ainsi, pour l’essentiel, l’appréciation de la chambre de recours selon laquelle le signe ne remplit pas la fonction essentielle d’une marque, consistant à garantir l’origine commerciale des produits ou services désignés. Les éléments vérifiés ne reproduisent pas le détail de l’analyse linguistique ou conceptuelle menée par le Tribunal, ni la liste exhaustive des produits et services pour lesquels le refus est confirmé. Il est toutefois certain que le Tribunal n’a pas retenu les critiques de la requérante pour ces produits et services. En revanche, s’agissant des services de divertissement et de sport de la classe 41, le Tribunal constate un défaut de motivation. La décision attaquée ne justifiait donc pas suffisamment l’extension du refus à cette catégorie de services. Cette irrégularité impose l’annulation partielle de la décision, sans que l’arrêt ne constate, par lui-même, que le signe présenterait un caractère distinctif pour les services en cause.</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Tribunal annule la décision de la première chambre de recours de l’EUIPO du 12 juin 2025 en tant qu’elle concerne les services de divertissement et de sport relevant de la classe 41. Le recours est rejeté pour le surplus, de sorte que le refus fondé sur l’absence de caractère distinctif demeure confirmé pour les autres produits et services concernés par la demande. Le Tribunal décide enfin que Fiber Experts Deutschland GmbH et l’EUIPO supporteront chacune leurs propres dépens. La portée de l’annulation est strictement limitée au défaut de motivation relevé à l’égard des services précités et ne remet pas en cause l’appréciation du Tribunal relative aux autres produits et services.</w:t>
            </w:r>
          </w:p>
        </w:tc>
      </w:tr>
      <w:tr>
        <w:tc>
          <w:tcPr>
            <w:tcW w:type="dxa" w:w="9866"/>
            <w:tcBorders>
              <w:top w:val="none" w:color="FFFFFF" w:sz="0"/>
              <w:left w:val="single" w:color="7F7F7F" w:sz="6"/>
              <w:bottom w:val="single" w:color="7F7F7F" w:sz="6"/>
              <w:right w:val="single" w:color="7F7F7F" w:sz="6"/>
            </w:tcBorders>
            <w:tcMar>
              <w:top w:type="dxa" w:w="20"/>
              <w:left w:type="dxa" w:w="180"/>
              <w:bottom w:type="dxa" w:w="120"/>
              <w:right w:type="dxa" w:w="180"/>
            </w:tcMar>
          </w:tcPr>
          <w:p>
            <w:pPr>
              <w:pBdr>
                <w:left w:val="single" w:color="507D82" w:sz="10" w:space="8"/>
              </w:pBdr>
              <w:spacing w:after="260" w:before="80"/>
              <w:ind w:left="180"/>
              <w:jc w:val="both"/>
            </w:pPr>
            <w:r>
              <w:rPr>
                <w:b/>
                <w:bCs/>
              </w:rPr>
              <w:t xml:space="preserve">Portée pratique. </w:t>
            </w:r>
            <w:r>
              <w:t xml:space="preserve">L’arrêt rappelle que l’examen du caractère distinctif d’un signe doit être conduit au regard de chacun des produits et services visés, ou de groupes suffisamment homogènes de produits et services. Il souligne également que, même lorsqu’un refus paraît fondé pour une part substantielle du libellé, l’EUIPO doit exposer des motifs permettant de comprendre son application à chaque catégorie effectivement refusée. Pour les déposants, la décision illustre l’intérêt de distinguer, dans un recours, les griefs dirigés contre l’appréciation matérielle de la distinctivité de ceux tirés de la motivation de la décision. Pour l’EUIPO, elle confirme que l’annulation pour défaut de motivation peut être limitée à certains services, sans affecter nécessairement la validité du refus maintenu pour le reste du libellé.</w:t>
            </w:r>
          </w:p>
        </w:tc>
      </w:tr>
    </w:tbl>
    <w:p>
      <w:pPr>
        <w:pStyle w:val="Heading1"/>
        <w:pBdr>
          <w:bottom w:val="single" w:color="222222" w:sz="6" w:space="6"/>
        </w:pBdr>
        <w:spacing w:after="180" w:before="300"/>
      </w:pPr>
      <w:r>
        <w:rPr>
          <w:b/>
          <w:bCs/>
        </w:rPr>
        <w:t xml:space="preserve">ACTUALITÉS</w:t>
      </w:r>
    </w:p>
    <w:p>
      <w:pPr>
        <w:pStyle w:val="Heading2"/>
        <w:keepNext/>
        <w:spacing w:after="100" w:before="180"/>
      </w:pPr>
      <w:r>
        <w:rPr>
          <w:b/>
          <w:bCs/>
          <w:color w:val="1F4E79"/>
        </w:rPr>
        <w:t xml:space="preserve">L’OMPI met en service WIPO Wallet pour le paiement de ses taxes et services de propriété intellectuelle</w:t>
      </w:r>
    </w:p>
    <w:p>
      <w:pPr>
        <w:keepNext/>
        <w:spacing w:after="240"/>
      </w:pPr>
      <w:hyperlink w:history="1" r:id="rIdag1ewbfbgbuuhf6d0m2b6">
        <w:r>
          <w:rPr>
            <w:color w:val="507D82"/>
            <w:u w:val="single"/>
          </w:rPr>
          <w:t xml:space="preserve">Organisation Mondiale de la Propriété Intellectuelle (OMPI), 5 octobre 2026</w:t>
        </w:r>
      </w:hyperlink>
    </w:p>
    <w:p>
      <w:pPr>
        <w:keepLines/>
        <w:spacing w:after="130" w:line="276"/>
        <w:jc w:val="both"/>
      </w:pPr>
      <w:r>
        <w:rPr>
          <w:b/>
          <w:bCs/>
          <w:color w:val="1F4E79"/>
        </w:rPr>
        <w:t xml:space="preserve">Contexte. </w:t>
      </w:r>
      <w:r>
        <w:t xml:space="preserve">L’Organisation Mondiale de la Propriété Intellectuelle annonce que son Current Account devient WIPO Wallet. Présenté comme un compte de dépôt sécurisé auprès de l’Organisation, ce dispositif est destiné au règlement des taxes et émoluments afférents aux services de propriété intellectuelle administrés ou proposés par l’OMPI.</w:t>
      </w:r>
    </w:p>
    <w:p>
      <w:pPr>
        <w:keepLines/>
        <w:spacing w:after="130" w:line="276"/>
        <w:jc w:val="both"/>
      </w:pPr>
      <w:r>
        <w:t xml:space="preserve">Le WIPO Wallet peut être utilisé pour les paiements relatifs aux brevets, aux marques, aux dessins et modèles industriels, aux indications géographiques, aux procédures de règlement des litiges relatifs aux noms de domaine, ainsi qu’aux services d’arbitrage et de médiation. Il couvre également les cours en ligne de l’Académie de l’OMPI.</w:t>
      </w:r>
    </w:p>
    <w:p>
      <w:pPr>
        <w:keepLines/>
        <w:spacing w:after="130" w:line="276"/>
        <w:jc w:val="both"/>
      </w:pPr>
      <w:r>
        <w:t xml:space="preserve">L’OMPI réduit le dépôt initial nécessaire à l’ouverture d’un compte, lequel passe de 2 000 francs suisses à 200 francs suisses. Le compte demeure toutefois soumis à une exigence minimale de quatre transactions par année civile. Les comptes courants déjà ouverts ont été convertis automatiquement en WIPO Wallet, sans formalité à accomplir par leurs titulaires. L’Organisation précise que les fonds détenus, les soldes et les paramètres existants sont conservés et que les transactions continuent d’être traitées selon les mêmes modalités.</w:t>
      </w:r>
    </w:p>
    <w:p>
      <w:pPr>
        <w:pBdr>
          <w:left w:val="single" w:color="507D82" w:sz="10" w:space="8"/>
        </w:pBdr>
        <w:spacing w:after="260" w:before="80"/>
        <w:ind w:left="180"/>
        <w:jc w:val="both"/>
      </w:pPr>
      <w:r>
        <w:t xml:space="preserve">La conversion des comptes courants existants en WIPO Wallet est automatique, sans démarche des titulaires, et n’emporte aucune modification des fonds, soldes ou paramètres du compte.</w:t>
      </w:r>
    </w:p>
    <w:p>
      <w:pPr>
        <w:pStyle w:val="Heading2"/>
        <w:keepNext/>
        <w:spacing w:after="100" w:before="180"/>
      </w:pPr>
      <w:r>
        <w:rPr>
          <w:b/>
          <w:bCs/>
          <w:color w:val="1F4E79"/>
        </w:rPr>
        <w:t xml:space="preserve">HURRAW! Natural Lip Balms : d’une entreprise locale à une marque internationale grâce au système de Madrid</w:t>
      </w:r>
    </w:p>
    <w:p>
      <w:pPr>
        <w:keepNext/>
        <w:spacing w:after="240"/>
      </w:pPr>
      <w:hyperlink w:history="1" r:id="rId9i6bkc284csgd_k5ui4vt">
        <w:r>
          <w:rPr>
            <w:color w:val="507D82"/>
            <w:u w:val="single"/>
          </w:rPr>
          <w:t xml:space="preserve">Organisation Mondiale de la Propriété Intellectuelle, IP Advantage, 7 octobre 2026</w:t>
        </w:r>
      </w:hyperlink>
    </w:p>
    <w:p>
      <w:pPr>
        <w:keepLines/>
        <w:spacing w:after="130" w:line="276"/>
        <w:jc w:val="both"/>
      </w:pPr>
      <w:r>
        <w:rPr>
          <w:b/>
          <w:bCs/>
          <w:color w:val="1F4E79"/>
        </w:rPr>
        <w:t xml:space="preserve">Contexte. </w:t>
      </w:r>
      <w:r>
        <w:t xml:space="preserve">L’Organisation Mondiale de la Propriété Intellectuelle présente le parcours de HURRAW!, entreprise créée par Corrie Colbert et Neil Stuber à Whitefish, dans le Montana, autour de la fabrication de baumes à lèvres naturels à partir de 2007. L’étude décrit le passage progressif d’une activité locale à une commercialisation internationale, les ventes hors des États-Unis représentant désormais environ la moitié de l’activité de l’entreprise.</w:t>
      </w:r>
    </w:p>
    <w:p>
      <w:pPr>
        <w:keepLines/>
        <w:spacing w:after="130" w:line="276"/>
        <w:jc w:val="both"/>
      </w:pPr>
      <w:r>
        <w:t xml:space="preserve">HURRAW! a déposé sa première demande d’enregistrement international de marque au titre du système de Madrid en 2012. Son portefeuille comprend désormais neuf enregistrements internationaux, couvrant notamment des dénominations de produits ainsi que le slogan « Planted in purpose ». L’OMPI relève également le recours à la désignation postérieure, qui permet d’ajouter de nouveaux territoires à un enregistrement international existant.</w:t>
      </w:r>
    </w:p>
    <w:p>
      <w:pPr>
        <w:keepLines/>
        <w:spacing w:after="130" w:line="276"/>
        <w:jc w:val="both"/>
      </w:pPr>
      <w:r>
        <w:t xml:space="preserve">L’article rappelle que le système de Madrid permet de solliciter la protection d’une marque dans plus de 130 pays par une demande unique, rédigée dans une seule langue et accompagnée du paiement d’un ensemble unique de taxes dans une seule monnaie. L’exemple de HURRAW! illustre l’usage de ce mécanisme comme instrument de déploiement territorial progressif d’un portefeuille de marques.</w:t>
      </w:r>
    </w:p>
    <w:p>
      <w:pPr>
        <w:pBdr>
          <w:left w:val="single" w:color="507D82" w:sz="10" w:space="8"/>
        </w:pBdr>
        <w:spacing w:after="260" w:before="80"/>
        <w:ind w:left="180"/>
        <w:jc w:val="both"/>
      </w:pPr>
      <w:r>
        <w:t xml:space="preserve">La désignation postérieure permet au titulaire d’un enregistrement international d’étendre ultérieurement la protection de sa marque à de nouveaux pays, sans devoir engager une nouvelle procédure internationale complète pour chacun d’eux.</w:t>
      </w:r>
    </w:p>
    <w:p>
      <w:pPr>
        <w:pStyle w:val="Heading2"/>
        <w:keepNext/>
        <w:spacing w:after="100" w:before="180"/>
      </w:pPr>
      <w:r>
        <w:rPr>
          <w:b/>
          <w:bCs/>
          <w:color w:val="1F4E79"/>
        </w:rPr>
        <w:t xml:space="preserve">L’OEB échange avec Schneider Electric sur la qualité des brevets, l’intelligence artificielle et les brevets essentiels à des normes</w:t>
      </w:r>
    </w:p>
    <w:p>
      <w:pPr>
        <w:keepNext/>
        <w:spacing w:after="240"/>
      </w:pPr>
      <w:hyperlink w:history="1" r:id="rId9fzxok81zocgefct4ez59">
        <w:r>
          <w:rPr>
            <w:color w:val="507D82"/>
            <w:u w:val="single"/>
          </w:rPr>
          <w:t xml:space="preserve">Office européen des brevets (OEB), 5 octobre 2026</w:t>
        </w:r>
      </w:hyperlink>
    </w:p>
    <w:p>
      <w:pPr>
        <w:keepLines/>
        <w:spacing w:after="130" w:line="276"/>
        <w:jc w:val="both"/>
      </w:pPr>
      <w:r>
        <w:rPr>
          <w:b/>
          <w:bCs/>
          <w:color w:val="1F4E79"/>
        </w:rPr>
        <w:t xml:space="preserve">Contexte. </w:t>
      </w:r>
      <w:r>
        <w:t xml:space="preserve">Le 14 septembre 2026, l’Office européen des brevets a rencontré Schneider Electric dans le cadre de son dialogue avec les grands déposants, organisé au titre du User Engagement Programme et du Quality Action Plan 2026. Cette réunion était la dix-huitième tenue individuellement avec un grand déposant en 2026, et la cent vingt-quatrième depuis le lancement de l’initiative en 2021. La délégation de Schneider Electric était conduite par Carole Boelitz, vice-présidente chargée de la propriété intellectuelle mondiale et directrice juridique de la propriété intellectuelle.</w:t>
      </w:r>
    </w:p>
    <w:p>
      <w:pPr>
        <w:keepLines/>
        <w:spacing w:after="130" w:line="276"/>
        <w:jc w:val="both"/>
      </w:pPr>
      <w:r>
        <w:t xml:space="preserve">Les échanges ont notamment porté sur la stratégie de brevets, la qualité des procédures et les brevets essentiels à des normes. Schneider Electric a indiqué effectuer environ un tiers de ses premiers dépôts auprès de l’OEB et a relevé la qualité des rapports de recherche ainsi que leur délivrance dans un délai de six mois. L’entreprise a souligné l’importance de la prévisibilité, du dialogue et de la transparence, tout en accueillant favorablement la division de recherche active et les travaux d’harmonisation de l’Office. Elle a également évoqué le système juridictionnel européen de la propriété intellectuelle et le recours au brevet unitaire, lequel a concerné 62 % des titres délivrés à Schneider Electric en 2025.</w:t>
      </w:r>
    </w:p>
    <w:p>
      <w:pPr>
        <w:keepLines/>
        <w:spacing w:after="130" w:line="276"/>
        <w:jc w:val="both"/>
      </w:pPr>
      <w:r>
        <w:t xml:space="preserve">S’agissant des brevets essentiels à des normes, l’OEB a présenté ses activités de données, d’expertise technique, d’études et de transparence conduites par l’intermédiaire de l’Observatoire. La documentation relative aux normes mise à la disposition des examinateurs comptait 5,7 millions de documents. Schneider Electric a par ailleurs marqué son intérêt pour les outils d’intelligence artificielle de l’OEB et son approche centrée sur l’humain. Les délégations ont examiné les capacités et limites actuelles des outils de présélection employés par les examinateurs et sont convenues de poursuivre leurs échanges sur l’Observatoire, la qualité et la célérité des procédures.</w:t>
      </w:r>
    </w:p>
    <w:p>
      <w:pPr>
        <w:pBdr>
          <w:left w:val="single" w:color="507D82" w:sz="10" w:space="8"/>
        </w:pBdr>
        <w:spacing w:after="260" w:before="80"/>
        <w:ind w:left="180"/>
        <w:jc w:val="both"/>
      </w:pPr>
      <w:r>
        <w:t xml:space="preserve">L’échange confirme que l’OEB associe les grands déposants à ses travaux sur la qualité, la prévisibilité et la transparence des procédures, y compris dans le déploiement d’outils d’intelligence artificielle destinés à assister les examinateurs.</w:t>
      </w:r>
    </w:p>
    <w:p>
      <w:pPr>
        <w:pStyle w:val="Heading2"/>
        <w:keepNext/>
        <w:spacing w:after="100" w:before="180"/>
      </w:pPr>
      <w:r>
        <w:rPr>
          <w:b/>
          <w:bCs/>
          <w:color w:val="1F4E79"/>
        </w:rPr>
        <w:t xml:space="preserve">EUIPO : actualisation des rapports des chambres de recours sur les indications géographiques et les dessins ou modèles antérieurs</w:t>
      </w:r>
    </w:p>
    <w:p>
      <w:pPr>
        <w:keepNext/>
        <w:spacing w:after="240"/>
      </w:pPr>
      <w:hyperlink w:history="1" r:id="rId1hbhlz5qk7xrbccdazvo7">
        <w:r>
          <w:rPr>
            <w:color w:val="507D82"/>
            <w:u w:val="single"/>
          </w:rPr>
          <w:t xml:space="preserve">EUIPO, Tuesday Webinars October 2026, 6 octobre 2026</w:t>
        </w:r>
      </w:hyperlink>
    </w:p>
    <w:p>
      <w:pPr>
        <w:keepNext/>
        <w:spacing w:after="220"/>
        <w:jc w:val="both"/>
      </w:pPr>
      <w:r>
        <w:rPr>
          <w:b/>
          <w:bCs/>
          <w:i/>
          <w:iCs/>
          <w:color w:val="C55A11"/>
        </w:rPr>
        <w:t xml:space="preserve">Attention : les informations présentées dans cette section doivent être vérifiées, l’accès à la source étant incomplet, limité ou restreint.</w:t>
      </w:r>
    </w:p>
    <w:p>
      <w:pPr>
        <w:keepLines/>
        <w:spacing w:after="130" w:line="276"/>
        <w:jc w:val="both"/>
      </w:pPr>
      <w:r>
        <w:t xml:space="preserve">L’EUIPO a annoncé un webinaire, en langue anglaise et de niveau avancé, consacré à l’actualisation de rapports de recherche de jurisprudence élaborés par les chambres de recours. La session, organisée de 10 h 00 à 11 h 00, portait sur deux sujets : l’évocation des indications géographiques et la divulgation d’un dessin ou modèle antérieur au regard de l’article 7, paragraphe 1, du règlement sur les dessins ou modèles de l’Union européenne.</w:t>
      </w:r>
    </w:p>
    <w:p>
      <w:pPr>
        <w:keepLines/>
        <w:spacing w:after="130" w:line="276"/>
        <w:jc w:val="both"/>
      </w:pPr>
      <w:r>
        <w:t xml:space="preserve">Selon les informations publiées par l’Office, les rapports concernés procèdent d’une analyse objective de la jurisprudence. Ils reflètent également les discussions intervenues au sein des groupes de cohérence ainsi que lors des réunions générales de cohérence des chambres de recours. L’EUIPO précise expressément que ces documents ne revêtent pas de caractère contraignant.</w:t>
      </w:r>
    </w:p>
    <w:p>
      <w:pPr>
        <w:keepLines/>
        <w:spacing w:after="130" w:line="276"/>
        <w:jc w:val="both"/>
      </w:pPr>
      <w:r>
        <w:t xml:space="preserve">L’actualité accessible ne permet pas d’identifier les décisions analysées, les références d’affaires, ni les orientations concrètes dégagées par les rapports. Le portail d’apprentissage de l’EUIPO référence néanmoins la mise à disposition d’un webinaire correspondant, sans rendre accessibles, dans le périmètre examiné, les contenus intégraux des rapports ou des supports présentés.</w:t>
      </w:r>
    </w:p>
    <w:p>
      <w:pPr>
        <w:pBdr>
          <w:left w:val="single" w:color="507D82" w:sz="10" w:space="8"/>
        </w:pBdr>
        <w:spacing w:after="260" w:before="80"/>
        <w:ind w:left="180"/>
        <w:jc w:val="both"/>
      </w:pPr>
      <w:r>
        <w:t xml:space="preserve">Les rapports de jurisprudence des chambres de recours constituent un outil d’information utile pour appréhender les discussions de cohérence internes à l’EUIPO, mais l’Office rappelle qu’ils ne sont pas contraignants.</w:t>
      </w:r>
    </w:p>
    <w:sectPr>
      <w:footerReference w:type="default" r:id="rId6"/>
      <w:pgSz w:w="12240" w:h="15840" w:orient="portrait"/>
      <w:pgMar w:top="1440" w:right="820" w:bottom="145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717"/>
        <w:sz w:val="22"/>
        <w:szCs w:val="22"/>
      </w:rPr>
    </w:rPrDefault>
    <w:pPrDefault>
      <w:pPr>
        <w:spacing w:after="13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71717"/>
      <w:sz w:val="24"/>
      <w:szCs w:val="24"/>
    </w:rPr>
  </w:style>
  <w:style w:type="paragraph" w:styleId="Heading2">
    <w:name w:val="Heading 2"/>
    <w:basedOn w:val="Normal"/>
    <w:next w:val="Normal"/>
    <w:qFormat/>
    <w:rPr>
      <w:rFonts w:ascii="Arial" w:cs="Arial" w:eastAsia="Arial" w:hAnsi="Arial"/>
      <w:b/>
      <w:bCs/>
      <w:color w:val="17171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g7fpdzepdshdoa29_wwq_" Type="http://schemas.openxmlformats.org/officeDocument/2006/relationships/hyperlink" Target="https://eur-lex.europa.eu/legal-content/EN/TXT/?uri=CELEX:62025TJ0559" TargetMode="External"/><Relationship Id="rIdag1ewbfbgbuuhf6d0m2b6" Type="http://schemas.openxmlformats.org/officeDocument/2006/relationships/hyperlink" Target="https://www.wipo.int/fr/web/paying-for-ip-services/w/news/2026/wipo-wallet-is-now-live" TargetMode="External"/><Relationship Id="rId9i6bkc284csgd_k5ui4vt" Type="http://schemas.openxmlformats.org/officeDocument/2006/relationships/hyperlink" Target="https://www.wipo.int/en/web/ip-advantage/w/stories/hurraw-natural-lip-balms-main-street-to-global-brand" TargetMode="External"/><Relationship Id="rId9fzxok81zocgefct4ez59" Type="http://schemas.openxmlformats.org/officeDocument/2006/relationships/hyperlink" Target="https://www.epo.org/en/news-events/news/epo-meets-schneider-electric" TargetMode="External"/><Relationship Id="rId1hbhlz5qk7xrbccdazvo7" Type="http://schemas.openxmlformats.org/officeDocument/2006/relationships/hyperlink" Target="https://www.euipo.europa.eu/de/news/tuesday-webinars-october-2026"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Propriété intellectuelle : Du 5 octobre au 9 octobre 2026</dc:title>
  <dc:creator>Veille IP DLA</dc:creator>
  <dc:description>Veille hebdomadaire de propriété intellectuelle</dc:description>
  <cp:lastModifiedBy>Un-named</cp:lastModifiedBy>
  <cp:revision>1</cp:revision>
  <dcterms:created xsi:type="dcterms:W3CDTF">2026-10-09T09:18:58.727Z</dcterms:created>
  <dcterms:modified xsi:type="dcterms:W3CDTF">2026-10-09T09:18:58.727Z</dcterms:modified>
</cp:coreProperties>
</file>

<file path=docProps/custom.xml><?xml version="1.0" encoding="utf-8"?>
<Properties xmlns="http://schemas.openxmlformats.org/officeDocument/2006/custom-properties" xmlns:vt="http://schemas.openxmlformats.org/officeDocument/2006/docPropsVTypes"/>
</file>