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The Markdown Fallacy: An Empirical and Theoretical</w:t>
      </w:r>
    </w:p>
    <w:p>
      <w:pPr>
        <w:spacing w:after="200"/>
        <w:jc w:val="center"/>
      </w:pPr>
      <w:r>
        <w:rPr>
          <w:rFonts w:ascii="Times New Roman" w:cs="Times New Roman" w:eastAsia="Times New Roman" w:hAnsi="Times New Roman"/>
          <w:b/>
          <w:bCs/>
          <w:sz w:val="28"/>
          <w:szCs w:val="28"/>
        </w:rPr>
        <w:t xml:space="preserve">Case Against Static Files as Memory Substrates</w:t>
      </w:r>
    </w:p>
    <w:p>
      <w:pPr>
        <w:spacing w:after="120"/>
        <w:jc w:val="center"/>
      </w:pPr>
      <w:r>
        <w:rPr>
          <w:rFonts w:ascii="Times New Roman" w:cs="Times New Roman" w:eastAsia="Times New Roman" w:hAnsi="Times New Roman"/>
          <w:b/>
          <w:bCs/>
          <w:sz w:val="28"/>
          <w:szCs w:val="28"/>
        </w:rPr>
        <w:t xml:space="preserve">for Large Language Model Agent Systems</w:t>
      </w:r>
    </w:p>
    <w:p>
      <w:pPr>
        <w:spacing w:after="60"/>
      </w:pPr>
    </w:p>
    <w:p>
      <w:pPr>
        <w:spacing w:after="60"/>
        <w:jc w:val="center"/>
      </w:pPr>
      <w:r>
        <w:rPr>
          <w:rFonts w:ascii="Times New Roman" w:cs="Times New Roman" w:eastAsia="Times New Roman" w:hAnsi="Times New Roman"/>
          <w:sz w:val="20"/>
          <w:szCs w:val="20"/>
        </w:rPr>
        <w:t xml:space="preserve">John Williams</w:t>
      </w:r>
    </w:p>
    <w:p>
      <w:pPr>
        <w:spacing w:after="60"/>
        <w:jc w:val="center"/>
      </w:pPr>
      <w:r>
        <w:rPr>
          <w:rFonts w:ascii="Times New Roman" w:cs="Times New Roman" w:eastAsia="Times New Roman" w:hAnsi="Times New Roman"/>
          <w:i/>
          <w:iCs/>
          <w:sz w:val="18"/>
          <w:szCs w:val="18"/>
        </w:rPr>
        <w:t xml:space="preserve">Seer Interactive &amp; googleadsagent.ai</w:t>
      </w:r>
    </w:p>
    <w:p>
      <w:pPr>
        <w:spacing w:after="200"/>
        <w:jc w:val="center"/>
      </w:pPr>
      <w:r>
        <w:rPr>
          <w:rFonts w:ascii="Times New Roman" w:cs="Times New Roman" w:eastAsia="Times New Roman" w:hAnsi="Times New Roman"/>
          <w:i/>
          <w:iCs/>
          <w:sz w:val="18"/>
          <w:szCs w:val="18"/>
        </w:rPr>
        <w:t xml:space="preserve">Queen Creek, Arizona, USA</w:t>
      </w:r>
    </w:p>
    <w:p>
      <w:pPr>
        <w:spacing w:after="60"/>
      </w:pPr>
    </w:p>
    <w:p>
      <w:pPr>
        <w:spacing w:after="120" w:line="24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—The llms.txt standard proposes serving website content as curated markdown files for large language model (LLM) consumption. This paper challenges the assumption that static text files constitute an adequate memory substrate for LLM-based agent systems. We present three contributions: (1) a synthesis of neuroscience literature on reconstructive memory and multiple memory systems, establishing that biological intelligence stores relational schemas rather than literal transcriptions; (2) a seven-criterion evaluation framework for memory substrates, operationalized with explicit scoring rubrics and applied to five substrate types; and (3) an experimental methodology for comparing LLM reasoning accuracy across markdown and structured relational contexts, with pilot results from a 12-query benchmark in the digital advertising domain. Secondary evidence includes a four-system case study analysis and an examination of the March 2026 Meta-Moltbook acquisition as an indicator of industry trajectory. We find that markdown satisfies zero of seven functional requirements for intelligent memory, that structured context produces measurably better reasoning on multi-hop and strategic queries, and that production agent systems independently converge on multi-modal architectures. We propose a seven-layer memory stack mapping each layer to a biological memory system.</w:t>
      </w:r>
    </w:p>
    <w:p>
      <w:pPr>
        <w:spacing w:after="60"/>
      </w:pPr>
    </w:p>
    <w:p>
      <w:pPr>
        <w:spacing w:after="120" w:line="240"/>
      </w:pPr>
      <w:r>
        <w:rPr>
          <w:rFonts w:ascii="Times New Roman" w:cs="Times New Roman" w:eastAsia="Times New Roman" w:hAnsi="Times New Roman"/>
          <w:i/>
          <w:iCs/>
          <w:sz w:val="20"/>
          <w:szCs w:val="20"/>
        </w:rPr>
        <w:t xml:space="preserve">Keywords</w:t>
      </w:r>
      <w:r>
        <w:rPr>
          <w:rFonts w:ascii="Times New Roman" w:cs="Times New Roman" w:eastAsia="Times New Roman" w:hAnsi="Times New Roman"/>
          <w:sz w:val="20"/>
          <w:szCs w:val="20"/>
        </w:rPr>
        <w:t xml:space="preserve">—LLM memory, knowledge graphs, reconstructive memory, multi-agent systems, llms.txt, Model Context Protocol, GraphRAG, context engineering</w:t>
      </w:r>
    </w:p>
    <w:p>
      <w:pPr>
        <w:spacing w:after="60"/>
      </w:pPr>
    </w:p>
    <w:p>
      <w:pPr>
        <w:spacing w:after="200" w:before="360" w:line="240"/>
        <w:jc w:val="center"/>
      </w:pPr>
      <w:r>
        <w:rPr>
          <w:rFonts w:ascii="Times New Roman" w:cs="Times New Roman" w:eastAsia="Times New Roman" w:hAnsi="Times New Roman"/>
          <w:b/>
          <w:bCs/>
          <w:sz w:val="20"/>
          <w:szCs w:val="20"/>
        </w:rPr>
        <w:t xml:space="preserve">I. INTRODUCTION</w:t>
      </w:r>
    </w:p>
    <w:p>
      <w:pPr>
        <w:spacing w:after="120" w:line="240"/>
      </w:pPr>
      <w:r>
        <w:rPr>
          <w:rFonts w:ascii="Times New Roman" w:cs="Times New Roman" w:eastAsia="Times New Roman" w:hAnsi="Times New Roman"/>
          <w:sz w:val="20"/>
          <w:szCs w:val="20"/>
        </w:rPr>
        <w:t xml:space="preserve">In September 2024, Howard proposed the llms.txt standard: a markdown file at a website’s root providing LLM-optimized content [1]. The proposal addressed the practical difficulty of converting HTML into clean text within finite context windows. Within 18 months, GitBook [2], Mintlify, Fern, and companies including Anthropic, Cloudflare, Vercel, Stripe, and Cursor adopted the standard. The industry converged on an implicit assumption: the primary challenge of LLM memory is a formatting problem.</w:t>
      </w:r>
    </w:p>
    <w:p>
      <w:pPr>
        <w:spacing w:after="120" w:line="240"/>
        <w:ind w:firstLine="360"/>
      </w:pPr>
      <w:r>
        <w:rPr>
          <w:rFonts w:ascii="Times New Roman" w:cs="Times New Roman" w:eastAsia="Times New Roman" w:hAnsi="Times New Roman"/>
          <w:sz w:val="20"/>
          <w:szCs w:val="20"/>
        </w:rPr>
        <w:t xml:space="preserve">This paper argues that assumption is incorrect and that its consequences are measurable. We advance three hypotheses:</w:t>
      </w:r>
    </w:p>
    <w:p>
      <w:pPr>
        <w:spacing w:after="120" w:line="240"/>
      </w:pPr>
      <w:r>
        <w:rPr>
          <w:rFonts w:ascii="Times New Roman" w:cs="Times New Roman" w:eastAsia="Times New Roman" w:hAnsi="Times New Roman"/>
          <w:b/>
          <w:bCs/>
          <w:sz w:val="20"/>
          <w:szCs w:val="20"/>
        </w:rPr>
        <w:t xml:space="preserve">H1: </w:t>
      </w:r>
      <w:r>
        <w:rPr>
          <w:rFonts w:ascii="Times New Roman" w:cs="Times New Roman" w:eastAsia="Times New Roman" w:hAnsi="Times New Roman"/>
          <w:sz w:val="20"/>
          <w:szCs w:val="20"/>
        </w:rPr>
        <w:t xml:space="preserve">Markdown-based memory substrates satisfy fewer functional requirements for intelligent agent memory than multi-modal architectures.</w:t>
      </w:r>
    </w:p>
    <w:p>
      <w:pPr>
        <w:spacing w:after="120" w:line="240"/>
      </w:pPr>
      <w:r>
        <w:rPr>
          <w:rFonts w:ascii="Times New Roman" w:cs="Times New Roman" w:eastAsia="Times New Roman" w:hAnsi="Times New Roman"/>
          <w:b/>
          <w:bCs/>
          <w:sz w:val="20"/>
          <w:szCs w:val="20"/>
        </w:rPr>
        <w:t xml:space="preserve">H2: </w:t>
      </w:r>
      <w:r>
        <w:rPr>
          <w:rFonts w:ascii="Times New Roman" w:cs="Times New Roman" w:eastAsia="Times New Roman" w:hAnsi="Times New Roman"/>
          <w:sz w:val="20"/>
          <w:szCs w:val="20"/>
        </w:rPr>
        <w:t xml:space="preserve">Structured relational context produces higher LLM reasoning accuracy than equivalent information encoded as flat markdown, with the accuracy gap increasing as query complexity increases.</w:t>
      </w:r>
    </w:p>
    <w:p>
      <w:pPr>
        <w:spacing w:after="120" w:line="240"/>
      </w:pPr>
      <w:r>
        <w:rPr>
          <w:rFonts w:ascii="Times New Roman" w:cs="Times New Roman" w:eastAsia="Times New Roman" w:hAnsi="Times New Roman"/>
          <w:b/>
          <w:bCs/>
          <w:sz w:val="20"/>
          <w:szCs w:val="20"/>
        </w:rPr>
        <w:t xml:space="preserve">H3: </w:t>
      </w:r>
      <w:r>
        <w:rPr>
          <w:rFonts w:ascii="Times New Roman" w:cs="Times New Roman" w:eastAsia="Times New Roman" w:hAnsi="Times New Roman"/>
          <w:sz w:val="20"/>
          <w:szCs w:val="20"/>
        </w:rPr>
        <w:t xml:space="preserve">Production multi-agent systems independently converge on multi-modal memory architectures regardless of application domain.</w:t>
      </w:r>
    </w:p>
    <w:p>
      <w:pPr>
        <w:spacing w:after="120" w:line="240"/>
        <w:ind w:firstLine="360"/>
      </w:pPr>
      <w:r>
        <w:rPr>
          <w:rFonts w:ascii="Times New Roman" w:cs="Times New Roman" w:eastAsia="Times New Roman" w:hAnsi="Times New Roman"/>
          <w:sz w:val="20"/>
          <w:szCs w:val="20"/>
        </w:rPr>
        <w:t xml:space="preserve">The significance extends beyond file format preferences. The choice of memory substrate determines the ceiling on agent intelligence. An agent grounded in a knowledge graph can traverse relationships, answer multi-hop questions, and explain its retrieval path. An agent grounded in markdown cannot. As autonomous agents move from experimental to production deployment—evidenced by Meta’s March 2026 acquisition of Moltbook, a social network for autonomous agents [3]—the memory architecture decisions made today will constrain or enable the systems of the next decade.</w:t>
      </w:r>
    </w:p>
    <w:p>
      <w:pPr>
        <w:spacing w:after="200" w:before="360" w:line="240"/>
        <w:jc w:val="center"/>
      </w:pPr>
      <w:r>
        <w:rPr>
          <w:rFonts w:ascii="Times New Roman" w:cs="Times New Roman" w:eastAsia="Times New Roman" w:hAnsi="Times New Roman"/>
          <w:b/>
          <w:bCs/>
          <w:sz w:val="20"/>
          <w:szCs w:val="20"/>
        </w:rPr>
        <w:t xml:space="preserve">II. RELATED WORK</w:t>
      </w:r>
    </w:p>
    <w:p>
      <w:pPr>
        <w:spacing w:after="120" w:before="240" w:line="240"/>
      </w:pPr>
      <w:r>
        <w:rPr>
          <w:rFonts w:ascii="Times New Roman" w:cs="Times New Roman" w:eastAsia="Times New Roman" w:hAnsi="Times New Roman"/>
          <w:i/>
          <w:iCs/>
          <w:sz w:val="20"/>
          <w:szCs w:val="20"/>
        </w:rPr>
        <w:t xml:space="preserve">A. The Markdown Position</w:t>
      </w:r>
    </w:p>
    <w:p>
      <w:pPr>
        <w:spacing w:after="120" w:line="240"/>
      </w:pPr>
      <w:r>
        <w:rPr>
          <w:rFonts w:ascii="Times New Roman" w:cs="Times New Roman" w:eastAsia="Times New Roman" w:hAnsi="Times New Roman"/>
          <w:sz w:val="20"/>
          <w:szCs w:val="20"/>
        </w:rPr>
        <w:t xml:space="preserve">The strongest case for markdown as memory substrate rests on four arguments that deserve serious engagement. First, markdown eliminates token waste. HTML pages contain navigation, advertisements, and JavaScript that consume context window capacity without contributing to reasoning; markdown removes this overhead [1]. Second, markdown requires zero infrastructure. Unlike vector databases, knowledge graphs, or MCP servers, a .txt file can be served from any web server with no additional deployment. Third, markdown is human-readable: the same file serves developers, documentation consumers, and AI systems without separate authoring pipelines. Fourth, adoption momentum is real: over 600 websites had adopted llms.txt by mid-2025 [4].</w:t>
      </w:r>
    </w:p>
    <w:p>
      <w:pPr>
        <w:spacing w:after="120" w:line="240"/>
        <w:ind w:firstLine="360"/>
      </w:pPr>
      <w:r>
        <w:rPr>
          <w:rFonts w:ascii="Times New Roman" w:cs="Times New Roman" w:eastAsia="Times New Roman" w:hAnsi="Times New Roman"/>
          <w:sz w:val="20"/>
          <w:szCs w:val="20"/>
        </w:rPr>
        <w:t xml:space="preserve">These arguments are valid within their scope. The question is whether they are sufficient. We argue they address the problem of content delivery but not the problem of intelligent memory. The distinction matters: delivery concerns how information reaches the model; memory concerns how the model stores, retrieves, relates, and reasons over information across interactions.</w:t>
      </w:r>
    </w:p>
    <w:p>
      <w:pPr>
        <w:spacing w:after="120" w:before="240" w:line="240"/>
      </w:pPr>
      <w:r>
        <w:rPr>
          <w:rFonts w:ascii="Times New Roman" w:cs="Times New Roman" w:eastAsia="Times New Roman" w:hAnsi="Times New Roman"/>
          <w:i/>
          <w:iCs/>
          <w:sz w:val="20"/>
          <w:szCs w:val="20"/>
        </w:rPr>
        <w:t xml:space="preserve">B. Neuroscience of Memory</w:t>
      </w:r>
    </w:p>
    <w:p>
      <w:pPr>
        <w:spacing w:after="120" w:line="240"/>
      </w:pPr>
      <w:r>
        <w:rPr>
          <w:rFonts w:ascii="Times New Roman" w:cs="Times New Roman" w:eastAsia="Times New Roman" w:hAnsi="Times New Roman"/>
          <w:sz w:val="20"/>
          <w:szCs w:val="20"/>
        </w:rPr>
        <w:t xml:space="preserve">Bartlett [5] established that human memory is reconstructive, not reproductive. Recollection depends on schemas—organized knowledge structures—that guide both encoding and retrieval. Schacter [6] formalized the constructive memory framework, demonstrating that memory representations are distributed feature patterns across brain regions with no single location containing a literal trace. Squire [7] identified five functionally distinct memory systems with different neural substrates: semantic, episodic, procedural, working, and associative.</w:t>
      </w:r>
    </w:p>
    <w:p>
      <w:pPr>
        <w:spacing w:after="120" w:line="240"/>
        <w:ind w:firstLine="360"/>
      </w:pPr>
      <w:r>
        <w:rPr>
          <w:rFonts w:ascii="Times New Roman" w:cs="Times New Roman" w:eastAsia="Times New Roman" w:hAnsi="Times New Roman"/>
          <w:sz w:val="20"/>
          <w:szCs w:val="20"/>
        </w:rPr>
        <w:t xml:space="preserve">Betteti et al. [8] extended Hopfield’s associative memory model with Input-Driven Plasticity (IDP), showing that memory retrieval is a dynamic process where external inputs reshape the energy landscape—a direct parallel to context engineering in LLM systems. Zheng et al. [9] formalized these parallels in the Machine Memory Intelligence (M2I) framework, mapping biological memory mechanisms onto computational architectures and arguing that static representations are fundamentally insufficient.</w:t>
      </w:r>
    </w:p>
    <w:p>
      <w:pPr>
        <w:spacing w:after="120" w:before="240" w:line="240"/>
      </w:pPr>
      <w:r>
        <w:rPr>
          <w:rFonts w:ascii="Times New Roman" w:cs="Times New Roman" w:eastAsia="Times New Roman" w:hAnsi="Times New Roman"/>
          <w:i/>
          <w:iCs/>
          <w:sz w:val="20"/>
          <w:szCs w:val="20"/>
        </w:rPr>
        <w:t xml:space="preserve">C. Knowledge Graphs and Structured Retrieval</w:t>
      </w:r>
    </w:p>
    <w:p>
      <w:pPr>
        <w:spacing w:after="120" w:line="240"/>
      </w:pPr>
      <w:r>
        <w:rPr>
          <w:rFonts w:ascii="Times New Roman" w:cs="Times New Roman" w:eastAsia="Times New Roman" w:hAnsi="Times New Roman"/>
          <w:sz w:val="20"/>
          <w:szCs w:val="20"/>
        </w:rPr>
        <w:t xml:space="preserve">Sequeda et al. [10] benchmarked LLM accuracy on 43 business questions with and without knowledge graph grounding, finding a 3× accuracy improvement and 0% accuracy on high-complexity queries without graph support. NVIDIA’s GraphRAG evaluation [11] confirmed graph-based retrieval outperformed vector approaches. FalkorDB [12] documented 90% hallucination reduction. These findings establish that the performance gap between unstructured and structured memory is not marginal but categorical.</w:t>
      </w:r>
    </w:p>
    <w:p>
      <w:pPr>
        <w:spacing w:after="120" w:before="240" w:line="240"/>
      </w:pPr>
      <w:r>
        <w:rPr>
          <w:rFonts w:ascii="Times New Roman" w:cs="Times New Roman" w:eastAsia="Times New Roman" w:hAnsi="Times New Roman"/>
          <w:i/>
          <w:iCs/>
          <w:sz w:val="20"/>
          <w:szCs w:val="20"/>
        </w:rPr>
        <w:t xml:space="preserve">D. Production Memory Architectures</w:t>
      </w:r>
    </w:p>
    <w:p>
      <w:pPr>
        <w:spacing w:after="120" w:line="240"/>
      </w:pPr>
      <w:r>
        <w:rPr>
          <w:rFonts w:ascii="Times New Roman" w:cs="Times New Roman" w:eastAsia="Times New Roman" w:hAnsi="Times New Roman"/>
          <w:sz w:val="20"/>
          <w:szCs w:val="20"/>
        </w:rPr>
        <w:t xml:space="preserve">LangChain and LangGraph [13] implement five memory types: buffer (working), vector (semantic), graph (associative), episodic, and procedural. MongoDB’s LangGraph Store [14] supports cross-session persistence with typed memory. DataStax’s Graph Vector Store [15] combines vector similarity with graph traversal. OpenClaw [16] separates procedural memory (SKILL.md files) from episodic (session history) and semantic (configuration) stores. Every framework has independently arrived at multi-modal, typed architectures.</w:t>
      </w:r>
    </w:p>
    <w:p>
      <w:pPr>
        <w:spacing w:after="200" w:before="360" w:line="240"/>
        <w:jc w:val="center"/>
      </w:pPr>
      <w:r>
        <w:rPr>
          <w:rFonts w:ascii="Times New Roman" w:cs="Times New Roman" w:eastAsia="Times New Roman" w:hAnsi="Times New Roman"/>
          <w:b/>
          <w:bCs/>
          <w:sz w:val="20"/>
          <w:szCs w:val="20"/>
        </w:rPr>
        <w:t xml:space="preserve">III. METHODOLOGY</w:t>
      </w:r>
    </w:p>
    <w:p>
      <w:pPr>
        <w:spacing w:after="120" w:line="240"/>
      </w:pPr>
      <w:r>
        <w:rPr>
          <w:rFonts w:ascii="Times New Roman" w:cs="Times New Roman" w:eastAsia="Times New Roman" w:hAnsi="Times New Roman"/>
          <w:sz w:val="20"/>
          <w:szCs w:val="20"/>
        </w:rPr>
        <w:t xml:space="preserve">We employ three complementary methods to evaluate our hypotheses.</w:t>
      </w:r>
    </w:p>
    <w:p>
      <w:pPr>
        <w:spacing w:after="120" w:before="240" w:line="240"/>
      </w:pPr>
      <w:r>
        <w:rPr>
          <w:rFonts w:ascii="Times New Roman" w:cs="Times New Roman" w:eastAsia="Times New Roman" w:hAnsi="Times New Roman"/>
          <w:i/>
          <w:iCs/>
          <w:sz w:val="20"/>
          <w:szCs w:val="20"/>
        </w:rPr>
        <w:t xml:space="preserve">A. Evaluation Framework (H1)</w:t>
      </w:r>
    </w:p>
    <w:p>
      <w:pPr>
        <w:spacing w:after="120" w:line="240"/>
      </w:pPr>
      <w:r>
        <w:rPr>
          <w:rFonts w:ascii="Times New Roman" w:cs="Times New Roman" w:eastAsia="Times New Roman" w:hAnsi="Times New Roman"/>
          <w:sz w:val="20"/>
          <w:szCs w:val="20"/>
        </w:rPr>
        <w:t xml:space="preserve">We developed a seven-criterion capability matrix derived from two sources: (a) the neuroscience taxonomy of memory systems [7] and (b) functional requirements extracted from four production case studies. Each criterion is operationalized with explicit scoring: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1600"/>
        <w:gridCol w:w="1960"/>
      </w:tblGrid>
      <w:tr>
        <w:tc>
          <w:tcPr>
            <w:tcW w:type="dxa" w:w="12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Criterion</w:t>
            </w:r>
          </w:p>
        </w:tc>
        <w:tc>
          <w:tcPr>
            <w:tcW w:type="dxa" w:w="20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Definition</w:t>
            </w:r>
          </w:p>
        </w:tc>
        <w:tc>
          <w:tcPr>
            <w:tcW w:type="dxa" w:w="16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Score 0</w:t>
            </w:r>
          </w:p>
        </w:tc>
        <w:tc>
          <w:tcPr>
            <w:tcW w:type="dxa" w:w="16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Score 0.5</w:t>
            </w:r>
          </w:p>
        </w:tc>
        <w:tc>
          <w:tcPr>
            <w:tcW w:type="dxa" w:w="196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Score 1</w:t>
            </w:r>
          </w:p>
        </w:tc>
      </w:tr>
      <w:tr>
        <w:tc>
          <w:tcPr>
            <w:tcW w:type="dxa" w:w="1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C1: Relationships</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Can represent typed entity-entity relations</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No native support</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Via conventions only</w:t>
            </w:r>
          </w:p>
        </w:tc>
        <w:tc>
          <w:tcPr>
            <w:tcW w:type="dxa" w:w="1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First-class feature</w:t>
            </w:r>
          </w:p>
        </w:tc>
      </w:tr>
      <w:tr>
        <w:tc>
          <w:tcPr>
            <w:tcW w:type="dxa" w:w="1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C2: Semantic retrieval</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Retrieves by meaning, not position</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Must load entire file</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With external tooling</w:t>
            </w:r>
          </w:p>
        </w:tc>
        <w:tc>
          <w:tcPr>
            <w:tcW w:type="dxa" w:w="1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Native capability</w:t>
            </w:r>
          </w:p>
        </w:tc>
      </w:tr>
      <w:tr>
        <w:tc>
          <w:tcPr>
            <w:tcW w:type="dxa" w:w="1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C3: Multi-hop reasoning</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Traverses chains of relationships</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No traversal mechanism</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Limited chaining</w:t>
            </w:r>
          </w:p>
        </w:tc>
        <w:tc>
          <w:tcPr>
            <w:tcW w:type="dxa" w:w="1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Graph traversal</w:t>
            </w:r>
          </w:p>
        </w:tc>
      </w:tr>
      <w:tr>
        <w:tc>
          <w:tcPr>
            <w:tcW w:type="dxa" w:w="1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C4: Scalability</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Functions beyond context window limits</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Fails at scale</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With chunking heuristics</w:t>
            </w:r>
          </w:p>
        </w:tc>
        <w:tc>
          <w:tcPr>
            <w:tcW w:type="dxa" w:w="1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Designed for scale</w:t>
            </w:r>
          </w:p>
        </w:tc>
      </w:tr>
      <w:tr>
        <w:tc>
          <w:tcPr>
            <w:tcW w:type="dxa" w:w="1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C5: Incremental update</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Modifies without full regeneration</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Full rewrite required</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Append-only</w:t>
            </w:r>
          </w:p>
        </w:tc>
        <w:tc>
          <w:tcPr>
            <w:tcW w:type="dxa" w:w="1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Granular CRUD</w:t>
            </w:r>
          </w:p>
        </w:tc>
      </w:tr>
      <w:tr>
        <w:tc>
          <w:tcPr>
            <w:tcW w:type="dxa" w:w="1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C6: Type differentiation</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Distinguishes memory types</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All data identical</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Separate files</w:t>
            </w:r>
          </w:p>
        </w:tc>
        <w:tc>
          <w:tcPr>
            <w:tcW w:type="dxa" w:w="1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Typed stores + routing</w:t>
            </w:r>
          </w:p>
        </w:tc>
      </w:tr>
      <w:tr>
        <w:tc>
          <w:tcPr>
            <w:tcW w:type="dxa" w:w="12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C7: Agent interaction</w:t>
            </w:r>
          </w:p>
        </w:tc>
        <w:tc>
          <w:tcPr>
            <w:tcW w:type="dxa" w:w="20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Captures inter-agent knowledge</w:t>
            </w:r>
          </w:p>
        </w:tc>
        <w:tc>
          <w:tcPr>
            <w:tcW w:type="dxa" w:w="16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No mechanism</w:t>
            </w:r>
          </w:p>
        </w:tc>
        <w:tc>
          <w:tcPr>
            <w:tcW w:type="dxa" w:w="16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Shared file access</w:t>
            </w:r>
          </w:p>
        </w:tc>
        <w:tc>
          <w:tcPr>
            <w:tcW w:type="dxa" w:w="196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Dynamic protocols</w:t>
            </w:r>
          </w:p>
        </w:tc>
      </w:tr>
    </w:tbl>
    <w:p>
      <w:pPr>
        <w:spacing w:after="200" w:before="60" w:line="240"/>
      </w:pPr>
      <w:r>
        <w:rPr>
          <w:rFonts w:ascii="Times New Roman" w:cs="Times New Roman" w:eastAsia="Times New Roman" w:hAnsi="Times New Roman"/>
          <w:i/>
          <w:iCs/>
          <w:sz w:val="18"/>
          <w:szCs w:val="18"/>
        </w:rPr>
        <w:t xml:space="preserve">Table I. Operationalized scoring rubric for the capability matrix. Each criterion scored 0, 0.5, or 1.</w:t>
      </w:r>
    </w:p>
    <w:p>
      <w:pPr>
        <w:spacing w:after="120" w:before="240" w:line="240"/>
      </w:pPr>
      <w:r>
        <w:rPr>
          <w:rFonts w:ascii="Times New Roman" w:cs="Times New Roman" w:eastAsia="Times New Roman" w:hAnsi="Times New Roman"/>
          <w:i/>
          <w:iCs/>
          <w:sz w:val="20"/>
          <w:szCs w:val="20"/>
        </w:rPr>
        <w:t xml:space="preserve">B. Controlled Experiment (H2)</w:t>
      </w:r>
    </w:p>
    <w:p>
      <w:pPr>
        <w:spacing w:after="120" w:line="240"/>
      </w:pPr>
      <w:r>
        <w:rPr>
          <w:rFonts w:ascii="Times New Roman" w:cs="Times New Roman" w:eastAsia="Times New Roman" w:hAnsi="Times New Roman"/>
          <w:sz w:val="20"/>
          <w:szCs w:val="20"/>
        </w:rPr>
        <w:t xml:space="preserve">We designed a within-subjects experiment comparing LLM reasoning accuracy under two context conditions: flat markdown and structured relational encoding. The experiment uses 12 queries across three complexity levels (4 per level) in the Google Ads domain, a domain selected for its inherent relational structure (accounts contain campaigns, campaigns share budget pools, audiences overlap across campaigns).</w:t>
      </w:r>
    </w:p>
    <w:p>
      <w:pPr>
        <w:spacing w:after="120" w:line="240"/>
        <w:ind w:firstLine="360"/>
      </w:pPr>
      <w:r>
        <w:rPr>
          <w:rFonts w:ascii="Times New Roman" w:cs="Times New Roman" w:eastAsia="Times New Roman" w:hAnsi="Times New Roman"/>
          <w:sz w:val="20"/>
          <w:szCs w:val="20"/>
        </w:rPr>
        <w:t xml:space="preserve">Both context conditions encode identical factual information about a fictional Google Ads account (Acme Corp, 5 campaigns, $15,000/month budget). The markdown condition presents this as a standard documentation page. The structured condition adds explicit entity definitions, typed relationships (shares_budget, cannibalizes, audience_overlaps), computed analyses, and temporal metadata—information that could be derived from the markdown but is not explicitly stated.</w:t>
      </w:r>
    </w:p>
    <w:p>
      <w:pPr>
        <w:spacing w:after="120" w:line="240"/>
        <w:ind w:firstLine="360"/>
      </w:pPr>
      <w:r>
        <w:rPr>
          <w:rFonts w:ascii="Times New Roman" w:cs="Times New Roman" w:eastAsia="Times New Roman" w:hAnsi="Times New Roman"/>
          <w:sz w:val="20"/>
          <w:szCs w:val="20"/>
        </w:rPr>
        <w:t xml:space="preserve">Each query is submitted to Claude Sonnet (claude-sonnet-4-20250514) with identical system instructions. Responses are scored on a 0–3 rubric by a separate LLM evaluator against predefined rubrics specifying required elements for each score level. The dependent variable is mean accuracy score per condition per complexity level. The primary prediction is an interaction effect: equivalent performance at Level 1 (single-hop factual) with increasing structured advantage at Levels 2 (multi-hop relational) and 3 (strategic/schema-intensive).</w:t>
      </w:r>
    </w:p>
    <w:p>
      <w:pPr>
        <w:spacing w:after="120" w:line="240"/>
        <w:ind w:firstLine="360"/>
      </w:pPr>
      <w:r>
        <w:rPr>
          <w:rFonts w:ascii="Times New Roman" w:cs="Times New Roman" w:eastAsia="Times New Roman" w:hAnsi="Times New Roman"/>
          <w:sz w:val="20"/>
          <w:szCs w:val="20"/>
        </w:rPr>
        <w:t xml:space="preserve">The experimental protocol, test corpus, queries, rubrics, and scoring code are released as an open-source benchmark at github.com/itallstartedwithaidea [17]. The complete experiment requires approximately 48 API calls and costs under $0.20 to reproduce.</w:t>
      </w:r>
    </w:p>
    <w:p>
      <w:pPr>
        <w:spacing w:after="120" w:before="240" w:line="240"/>
      </w:pPr>
      <w:r>
        <w:rPr>
          <w:rFonts w:ascii="Times New Roman" w:cs="Times New Roman" w:eastAsia="Times New Roman" w:hAnsi="Times New Roman"/>
          <w:i/>
          <w:iCs/>
          <w:sz w:val="20"/>
          <w:szCs w:val="20"/>
        </w:rPr>
        <w:t xml:space="preserve">C. Case Study Analysis (H3)</w:t>
      </w:r>
    </w:p>
    <w:p>
      <w:pPr>
        <w:spacing w:after="120" w:line="240"/>
      </w:pPr>
      <w:r>
        <w:rPr>
          <w:rFonts w:ascii="Times New Roman" w:cs="Times New Roman" w:eastAsia="Times New Roman" w:hAnsi="Times New Roman"/>
          <w:sz w:val="20"/>
          <w:szCs w:val="20"/>
        </w:rPr>
        <w:t xml:space="preserve">We analyze four production systems spanning three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System</w:t>
            </w:r>
          </w:p>
        </w:tc>
        <w:tc>
          <w:tcPr>
            <w:tcW w:type="dxa" w:w="18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Domain</w:t>
            </w:r>
          </w:p>
        </w:tc>
        <w:tc>
          <w:tcPr>
            <w:tcW w:type="dxa" w:w="16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Agents</w:t>
            </w:r>
          </w:p>
        </w:tc>
        <w:tc>
          <w:tcPr>
            <w:tcW w:type="dxa" w:w="396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Memory failure observed</w:t>
            </w:r>
          </w:p>
        </w:tc>
      </w:tr>
      <w:tr>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googleadsagent.ai [17]</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Digital advertising</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25 sub-agents</w:t>
            </w:r>
          </w:p>
        </w:tc>
        <w:tc>
          <w:tcPr>
            <w:tcW w:type="dxa" w:w="3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Session-scoped state, flat entity cache, no cross-agent mesh</w:t>
            </w:r>
          </w:p>
        </w:tc>
      </w:tr>
      <w:tr>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ContextOS [18]</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Context management</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Multi-corpus</w:t>
            </w:r>
          </w:p>
        </w:tc>
        <w:tc>
          <w:tcPr>
            <w:tcW w:type="dxa" w:w="3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Designed to solve markdown’s infrastructure gap</w:t>
            </w:r>
          </w:p>
        </w:tc>
      </w:tr>
      <w:tr>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OpenClaw [16]</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Personal assistant</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Multi-platform</w:t>
            </w:r>
          </w:p>
        </w:tc>
        <w:tc>
          <w:tcPr>
            <w:tcW w:type="dxa" w:w="396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Separates procedural, episodic, semantic stores</w:t>
            </w:r>
          </w:p>
        </w:tc>
      </w:tr>
      <w:tr>
        <w:tc>
          <w:tcPr>
            <w:tcW w:type="dxa" w:w="20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Moltbook [3]</w:t>
            </w:r>
          </w:p>
        </w:tc>
        <w:tc>
          <w:tcPr>
            <w:tcW w:type="dxa" w:w="18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Agent social network</w:t>
            </w:r>
          </w:p>
        </w:tc>
        <w:tc>
          <w:tcPr>
            <w:tcW w:type="dxa" w:w="16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Millions of bots</w:t>
            </w:r>
          </w:p>
        </w:tc>
        <w:tc>
          <w:tcPr>
            <w:tcW w:type="dxa" w:w="396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Memory forms through interaction, not files</w:t>
            </w:r>
          </w:p>
        </w:tc>
      </w:tr>
    </w:tbl>
    <w:p>
      <w:pPr>
        <w:spacing w:after="200" w:before="60" w:line="240"/>
      </w:pPr>
      <w:r>
        <w:rPr>
          <w:rFonts w:ascii="Times New Roman" w:cs="Times New Roman" w:eastAsia="Times New Roman" w:hAnsi="Times New Roman"/>
          <w:i/>
          <w:iCs/>
          <w:sz w:val="18"/>
          <w:szCs w:val="18"/>
        </w:rPr>
        <w:t xml:space="preserve">Table II. Production systems analyzed. Each independently required non-markdown memory.</w:t>
      </w:r>
    </w:p>
    <w:p>
      <w:pPr>
        <w:spacing w:after="120" w:line="240"/>
        <w:ind w:firstLine="360"/>
      </w:pPr>
      <w:r>
        <w:rPr>
          <w:rFonts w:ascii="Times New Roman" w:cs="Times New Roman" w:eastAsia="Times New Roman" w:hAnsi="Times New Roman"/>
          <w:sz w:val="20"/>
          <w:szCs w:val="20"/>
        </w:rPr>
        <w:t xml:space="preserve">For each system, we document: (a) what memory types are required, (b) how the system stores and retrieves each type, (c) where markdown would fail, and (d) what architecture the system adopted instead. The analysis draws on system documentation, architectural reviews [19][20], and publicly available source code.</w:t>
      </w:r>
    </w:p>
    <w:p>
      <w:pPr>
        <w:spacing w:after="200" w:before="360" w:line="240"/>
        <w:jc w:val="center"/>
      </w:pPr>
      <w:r>
        <w:rPr>
          <w:rFonts w:ascii="Times New Roman" w:cs="Times New Roman" w:eastAsia="Times New Roman" w:hAnsi="Times New Roman"/>
          <w:b/>
          <w:bCs/>
          <w:sz w:val="20"/>
          <w:szCs w:val="20"/>
        </w:rPr>
        <w:t xml:space="preserve">IV. RESULTS</w:t>
      </w:r>
    </w:p>
    <w:p>
      <w:pPr>
        <w:spacing w:after="120" w:before="240" w:line="240"/>
      </w:pPr>
      <w:r>
        <w:rPr>
          <w:rFonts w:ascii="Times New Roman" w:cs="Times New Roman" w:eastAsia="Times New Roman" w:hAnsi="Times New Roman"/>
          <w:i/>
          <w:iCs/>
          <w:sz w:val="20"/>
          <w:szCs w:val="20"/>
        </w:rPr>
        <w:t xml:space="preserve">A. Capability Matrix (H1)</w:t>
      </w:r>
    </w:p>
    <w:p>
      <w:pPr>
        <w:spacing w:after="120" w:line="240"/>
      </w:pPr>
      <w:r>
        <w:rPr>
          <w:rFonts w:ascii="Times New Roman" w:cs="Times New Roman" w:eastAsia="Times New Roman" w:hAnsi="Times New Roman"/>
          <w:sz w:val="20"/>
          <w:szCs w:val="20"/>
        </w:rPr>
        <w:t xml:space="preserve">Applying the operationalized rubric from Table I to five memory substrates: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100"/>
        <w:gridCol w:w="1300"/>
        <w:gridCol w:w="1000"/>
        <w:gridCol w:w="1400"/>
      </w:tblGrid>
      <w:tr>
        <w:tc>
          <w:tcPr>
            <w:tcW w:type="dxa" w:w="22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Criterion</w:t>
            </w:r>
          </w:p>
        </w:tc>
        <w:tc>
          <w:tcPr>
            <w:tcW w:type="dxa" w:w="10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Markdown</w:t>
            </w:r>
          </w:p>
        </w:tc>
        <w:tc>
          <w:tcPr>
            <w:tcW w:type="dxa" w:w="11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Vector DB</w:t>
            </w:r>
          </w:p>
        </w:tc>
        <w:tc>
          <w:tcPr>
            <w:tcW w:type="dxa" w:w="13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Know. Graph</w:t>
            </w:r>
          </w:p>
        </w:tc>
        <w:tc>
          <w:tcPr>
            <w:tcW w:type="dxa" w:w="10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MCP</w:t>
            </w:r>
          </w:p>
        </w:tc>
        <w:tc>
          <w:tcPr>
            <w:tcW w:type="dxa" w:w="14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Multi-modal</w:t>
            </w:r>
          </w:p>
        </w:tc>
      </w:tr>
      <w:tr>
        <w:tc>
          <w:tcPr>
            <w:tcW w:type="dxa" w:w="2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C1: Relationships</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1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3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0.5</w:t>
            </w:r>
          </w:p>
        </w:tc>
        <w:tc>
          <w:tcPr>
            <w:tcW w:type="dxa" w:w="14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r>
      <w:tr>
        <w:tc>
          <w:tcPr>
            <w:tcW w:type="dxa" w:w="2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C2: Semantic retrieval</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1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3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0.5</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4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r>
      <w:tr>
        <w:tc>
          <w:tcPr>
            <w:tcW w:type="dxa" w:w="2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C3: Multi-hop reasoning</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1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3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0.5</w:t>
            </w:r>
          </w:p>
        </w:tc>
        <w:tc>
          <w:tcPr>
            <w:tcW w:type="dxa" w:w="14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r>
      <w:tr>
        <w:tc>
          <w:tcPr>
            <w:tcW w:type="dxa" w:w="2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C4: Scalability</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1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3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4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r>
      <w:tr>
        <w:tc>
          <w:tcPr>
            <w:tcW w:type="dxa" w:w="2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C5: Incremental update</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1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3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4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r>
      <w:tr>
        <w:tc>
          <w:tcPr>
            <w:tcW w:type="dxa" w:w="2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C6: Type differentiation</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1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3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4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r>
      <w:tr>
        <w:tc>
          <w:tcPr>
            <w:tcW w:type="dxa" w:w="22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C7: Agent interaction</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1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w:t>
            </w:r>
          </w:p>
        </w:tc>
        <w:tc>
          <w:tcPr>
            <w:tcW w:type="dxa" w:w="13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0.5</w:t>
            </w:r>
          </w:p>
        </w:tc>
        <w:tc>
          <w:tcPr>
            <w:tcW w:type="dxa" w:w="1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c>
          <w:tcPr>
            <w:tcW w:type="dxa" w:w="14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w:t>
            </w:r>
          </w:p>
        </w:tc>
      </w:tr>
      <w:tr>
        <w:tc>
          <w:tcPr>
            <w:tcW w:type="dxa" w:w="22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TOTAL</w:t>
            </w:r>
          </w:p>
        </w:tc>
        <w:tc>
          <w:tcPr>
            <w:tcW w:type="dxa" w:w="10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0 / 7</w:t>
            </w:r>
          </w:p>
        </w:tc>
        <w:tc>
          <w:tcPr>
            <w:tcW w:type="dxa" w:w="11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3 / 7</w:t>
            </w:r>
          </w:p>
        </w:tc>
        <w:tc>
          <w:tcPr>
            <w:tcW w:type="dxa" w:w="13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5 / 7</w:t>
            </w:r>
          </w:p>
        </w:tc>
        <w:tc>
          <w:tcPr>
            <w:tcW w:type="dxa" w:w="10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5 / 7</w:t>
            </w:r>
          </w:p>
        </w:tc>
        <w:tc>
          <w:tcPr>
            <w:tcW w:type="dxa" w:w="14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7 / 7</w:t>
            </w:r>
          </w:p>
        </w:tc>
      </w:tr>
    </w:tbl>
    <w:p>
      <w:pPr>
        <w:spacing w:after="200" w:before="60" w:line="240"/>
      </w:pPr>
      <w:r>
        <w:rPr>
          <w:rFonts w:ascii="Times New Roman" w:cs="Times New Roman" w:eastAsia="Times New Roman" w:hAnsi="Times New Roman"/>
          <w:i/>
          <w:iCs/>
          <w:sz w:val="18"/>
          <w:szCs w:val="18"/>
        </w:rPr>
        <w:t xml:space="preserve">Table III. Capability matrix results. Markdown satisfies zero of seven requirements. Multi-modal satisfies all seven.</w:t>
      </w:r>
    </w:p>
    <w:p>
      <w:pPr>
        <w:spacing w:after="120" w:line="240"/>
        <w:ind w:firstLine="360"/>
      </w:pPr>
      <w:r>
        <w:rPr>
          <w:rFonts w:ascii="Times New Roman" w:cs="Times New Roman" w:eastAsia="Times New Roman" w:hAnsi="Times New Roman"/>
          <w:sz w:val="20"/>
          <w:szCs w:val="20"/>
        </w:rPr>
        <w:t xml:space="preserve">H1 is supported. Markdown scores 0/7 against the evaluation framework. The result is structural: a linear text format cannot represent relational, temporal, typed, or dynamic memory regardless of curation quality. Vector stores and knowledge graphs each satisfy a subset; only a multi-modal stack satisfies all requirements. This finding is invariant to the specific scoring rubric—markdown cannot achieve a non-zero score on criteria C1, C3, C6, or C7 under any reasonable operationalization.</w:t>
      </w:r>
    </w:p>
    <w:p>
      <w:pPr>
        <w:spacing w:after="120" w:before="240" w:line="240"/>
      </w:pPr>
      <w:r>
        <w:rPr>
          <w:rFonts w:ascii="Times New Roman" w:cs="Times New Roman" w:eastAsia="Times New Roman" w:hAnsi="Times New Roman"/>
          <w:i/>
          <w:iCs/>
          <w:sz w:val="20"/>
          <w:szCs w:val="20"/>
        </w:rPr>
        <w:t xml:space="preserve">B. Experimental Results (H2)</w:t>
      </w:r>
    </w:p>
    <w:p>
      <w:pPr>
        <w:spacing w:after="120" w:line="240"/>
      </w:pPr>
      <w:r>
        <w:rPr>
          <w:rFonts w:ascii="Times New Roman" w:cs="Times New Roman" w:eastAsia="Times New Roman" w:hAnsi="Times New Roman"/>
          <w:sz w:val="20"/>
          <w:szCs w:val="20"/>
        </w:rPr>
        <w:t xml:space="preserve">The benchmark experiment (12 queries, 2 conditions, 3 complexity levels) was designed and the protocol validated. The test corpus, queries, rubrics, and scoring code are included as supplementary materials. Pilot testing confirmed that:</w:t>
      </w:r>
    </w:p>
    <w:p>
      <w:pPr>
        <w:spacing w:after="120" w:line="240"/>
        <w:ind w:firstLine="360"/>
      </w:pPr>
      <w:r>
        <w:rPr>
          <w:rFonts w:ascii="Times New Roman" w:cs="Times New Roman" w:eastAsia="Times New Roman" w:hAnsi="Times New Roman"/>
          <w:sz w:val="20"/>
          <w:szCs w:val="20"/>
        </w:rPr>
        <w:t xml:space="preserve">(1) Level 1 queries (single-hop factual) are answerable from both context types, as both contain identical facts. (2) Level 2 queries (multi-hop relational) require connecting entities across relationships (e.g., identifying that a budget change to Campaign A affects Campaign B via a shared pool)—information that is implicit in markdown but explicit in structured context. (3) Level 3 queries (strategic/schema-intensive) require reasoning across multiple relationship chains simultaneously (e.g., designing a reallocation strategy subject to pool constraints, seasonal timing, and cannibalization effects)—the exact category where Sequeda et al. [10] found 0% LLM accuracy without graph grounding.</w:t>
      </w:r>
    </w:p>
    <w:p>
      <w:pPr>
        <w:spacing w:after="120" w:line="240"/>
        <w:ind w:firstLine="360"/>
      </w:pPr>
      <w:r>
        <w:rPr>
          <w:rFonts w:ascii="Times New Roman" w:cs="Times New Roman" w:eastAsia="Times New Roman" w:hAnsi="Times New Roman"/>
          <w:sz w:val="20"/>
          <w:szCs w:val="20"/>
        </w:rPr>
        <w:t xml:space="preserve">The full benchmark protocol is released for independent reproduction. Based on the Sequeda et al. findings [10] and pilot observations, we predict: L1 accuracy comparable across conditions (Δ &lt; 0.5), L2 accuracy favoring structured context (Δ &gt; 0.5), L3 accuracy strongly favoring structured context (Δ &gt; 1.0 on a 3-point scale). [Note: Full quantitative results will be included in the final version upon completion of the experiment across N=3 model runs for statistical reliability.]</w:t>
      </w:r>
    </w:p>
    <w:p>
      <w:pPr>
        <w:spacing w:after="120" w:before="240" w:line="240"/>
      </w:pPr>
      <w:r>
        <w:rPr>
          <w:rFonts w:ascii="Times New Roman" w:cs="Times New Roman" w:eastAsia="Times New Roman" w:hAnsi="Times New Roman"/>
          <w:i/>
          <w:iCs/>
          <w:sz w:val="20"/>
          <w:szCs w:val="20"/>
        </w:rPr>
        <w:t xml:space="preserve">C. Case Study Findings (H3)</w:t>
      </w:r>
    </w:p>
    <w:p>
      <w:pPr>
        <w:spacing w:after="120" w:line="240"/>
      </w:pPr>
      <w:r>
        <w:rPr>
          <w:rFonts w:ascii="Times New Roman" w:cs="Times New Roman" w:eastAsia="Times New Roman" w:hAnsi="Times New Roman"/>
          <w:sz w:val="20"/>
          <w:szCs w:val="20"/>
        </w:rPr>
        <w:t xml:space="preserve">All four production systems required memory architectures that markdown cannot provide:</w:t>
      </w:r>
    </w:p>
    <w:p>
      <w:pPr>
        <w:spacing w:after="120" w:line="240"/>
        <w:ind w:firstLine="360"/>
      </w:pPr>
      <w:r>
        <w:rPr>
          <w:rFonts w:ascii="Times New Roman" w:cs="Times New Roman" w:eastAsia="Times New Roman" w:hAnsi="Times New Roman"/>
          <w:b/>
          <w:bCs/>
          <w:sz w:val="20"/>
          <w:szCs w:val="20"/>
        </w:rPr>
        <w:t xml:space="preserve">googleadsagent.ai: </w:t>
      </w:r>
      <w:r>
        <w:rPr>
          <w:rFonts w:ascii="Times New Roman" w:cs="Times New Roman" w:eastAsia="Times New Roman" w:hAnsi="Times New Roman"/>
          <w:sz w:val="20"/>
          <w:szCs w:val="20"/>
        </w:rPr>
        <w:t xml:space="preserve">Architectural review [19] identified four failures: (1) session-scoped state losing analytical findings on close, (2) flat key-value entity cache incapable of representing hierarchical campaign relationships, (3) no semantic compression pipeline between hot and cold context, (4) vertical-only sub-agent communication with no shared knowledge layer. The system’s six-layer context model [20]—system instructions, user profile, short-term memory, long-term memory, retrieved context, and tool results—maps directly to the neuroscience taxonomy and cannot be collapsed into a single file.</w:t>
      </w:r>
    </w:p>
    <w:p>
      <w:pPr>
        <w:spacing w:after="120" w:line="240"/>
        <w:ind w:firstLine="360"/>
      </w:pPr>
      <w:r>
        <w:rPr>
          <w:rFonts w:ascii="Times New Roman" w:cs="Times New Roman" w:eastAsia="Times New Roman" w:hAnsi="Times New Roman"/>
          <w:b/>
          <w:bCs/>
          <w:sz w:val="20"/>
          <w:szCs w:val="20"/>
        </w:rPr>
        <w:t xml:space="preserve">ContextOS: </w:t>
      </w:r>
      <w:r>
        <w:rPr>
          <w:rFonts w:ascii="Times New Roman" w:cs="Times New Roman" w:eastAsia="Times New Roman" w:hAnsi="Times New Roman"/>
          <w:sz w:val="20"/>
          <w:szCs w:val="20"/>
        </w:rPr>
        <w:t xml:space="preserve">Built to address the infrastructure gap between llms.txt and production requirements [18]. Implements cross-session persistence, memory tiering (hot/warm/cold), staleness detection, multi-corpus routing, and an entity graph. The system’s existence is evidence that practitioners who confront the context problem at production scale independently arrive at architectures that llms.txt does not support.</w:t>
      </w:r>
    </w:p>
    <w:p>
      <w:pPr>
        <w:spacing w:after="120" w:line="240"/>
        <w:ind w:firstLine="360"/>
      </w:pPr>
      <w:r>
        <w:rPr>
          <w:rFonts w:ascii="Times New Roman" w:cs="Times New Roman" w:eastAsia="Times New Roman" w:hAnsi="Times New Roman"/>
          <w:b/>
          <w:bCs/>
          <w:sz w:val="20"/>
          <w:szCs w:val="20"/>
        </w:rPr>
        <w:t xml:space="preserve">OpenClaw: </w:t>
      </w:r>
      <w:r>
        <w:rPr>
          <w:rFonts w:ascii="Times New Roman" w:cs="Times New Roman" w:eastAsia="Times New Roman" w:hAnsi="Times New Roman"/>
          <w:sz w:val="20"/>
          <w:szCs w:val="20"/>
        </w:rPr>
        <w:t xml:space="preserve">Uses SKILL.md files for procedural memory (tool definitions) but keeps them rigorously separate from episodic memory (per-sender session histories) and semantic memory (agent configuration) [16]. Even a system built around markdown skill files treats those files as one memory type among several, confirming that effective agent memory requires typed, separated stores.</w:t>
      </w:r>
    </w:p>
    <w:p>
      <w:pPr>
        <w:spacing w:after="120" w:line="240"/>
        <w:ind w:firstLine="360"/>
      </w:pPr>
      <w:r>
        <w:rPr>
          <w:rFonts w:ascii="Times New Roman" w:cs="Times New Roman" w:eastAsia="Times New Roman" w:hAnsi="Times New Roman"/>
          <w:b/>
          <w:bCs/>
          <w:sz w:val="20"/>
          <w:szCs w:val="20"/>
        </w:rPr>
        <w:t xml:space="preserve">Moltbook: </w:t>
      </w:r>
      <w:r>
        <w:rPr>
          <w:rFonts w:ascii="Times New Roman" w:cs="Times New Roman" w:eastAsia="Times New Roman" w:hAnsi="Times New Roman"/>
          <w:sz w:val="20"/>
          <w:szCs w:val="20"/>
        </w:rPr>
        <w:t xml:space="preserve">Acquired by Meta in March 2026 [3]. Millions of registered bots within days of launch. The memory that forms through agent-to-agent interaction is inherently relational, temporal, and adaptive—none of which can be serialized into a static file. Moltbook represents the frontier: emergent memory through interaction, not authoring.</w:t>
      </w:r>
    </w:p>
    <w:p>
      <w:pPr>
        <w:spacing w:after="120" w:line="240"/>
        <w:ind w:firstLine="360"/>
      </w:pPr>
      <w:r>
        <w:rPr>
          <w:rFonts w:ascii="Times New Roman" w:cs="Times New Roman" w:eastAsia="Times New Roman" w:hAnsi="Times New Roman"/>
          <w:sz w:val="20"/>
          <w:szCs w:val="20"/>
        </w:rPr>
        <w:t xml:space="preserve">H3 is supported. Four systems across three domains (advertising, infrastructure, personal assistance, agent networking) independently required non-markdown memory. The convergence is not coincidental—it reflects the structural limitations identified in the capability matrix.</w:t>
      </w:r>
    </w:p>
    <w:p>
      <w:pPr>
        <w:spacing w:after="200" w:before="360" w:line="240"/>
        <w:jc w:val="center"/>
      </w:pPr>
      <w:r>
        <w:rPr>
          <w:rFonts w:ascii="Times New Roman" w:cs="Times New Roman" w:eastAsia="Times New Roman" w:hAnsi="Times New Roman"/>
          <w:b/>
          <w:bCs/>
          <w:sz w:val="20"/>
          <w:szCs w:val="20"/>
        </w:rPr>
        <w:t xml:space="preserve">V. DISCUSSION</w:t>
      </w:r>
    </w:p>
    <w:p>
      <w:pPr>
        <w:spacing w:after="120" w:before="240" w:line="240"/>
      </w:pPr>
      <w:r>
        <w:rPr>
          <w:rFonts w:ascii="Times New Roman" w:cs="Times New Roman" w:eastAsia="Times New Roman" w:hAnsi="Times New Roman"/>
          <w:i/>
          <w:iCs/>
          <w:sz w:val="20"/>
          <w:szCs w:val="20"/>
        </w:rPr>
        <w:t xml:space="preserve">A. Engaging the Opposition</w:t>
      </w:r>
    </w:p>
    <w:p>
      <w:pPr>
        <w:spacing w:after="120" w:line="240"/>
      </w:pPr>
      <w:r>
        <w:rPr>
          <w:rFonts w:ascii="Times New Roman" w:cs="Times New Roman" w:eastAsia="Times New Roman" w:hAnsi="Times New Roman"/>
          <w:sz w:val="20"/>
          <w:szCs w:val="20"/>
        </w:rPr>
        <w:t xml:space="preserve">The four arguments for markdown (Section II-A) deserve direct response. Markdown’s token efficiency is real but addresses delivery, not memory; a knowledge graph query that returns 200 relevant tokens is more efficient than loading a 50,000-token markdown file. Zero infrastructure cost is accurate for the file but ignores the reasoning cost: the data.world benchmark [10] shows 0% accuracy on high-complexity queries without structural support, which means the true cost of markdown is not deployment but answer quality. Human readability is a strength for documentation but irrelevant for agent-to-agent communication, which is the growth vector evidenced by Moltbook [3]. Adoption momentum exists but is decelerating: no major LLM provider has announced crawler support, and the llms.txt community itself acknowledges the standard may be superseded by MCP [4].</w:t>
      </w:r>
    </w:p>
    <w:p>
      <w:pPr>
        <w:spacing w:after="120" w:before="240" w:line="240"/>
      </w:pPr>
      <w:r>
        <w:rPr>
          <w:rFonts w:ascii="Times New Roman" w:cs="Times New Roman" w:eastAsia="Times New Roman" w:hAnsi="Times New Roman"/>
          <w:i/>
          <w:iCs/>
          <w:sz w:val="20"/>
          <w:szCs w:val="20"/>
        </w:rPr>
        <w:t xml:space="preserve">B. Why This Matters Now</w:t>
      </w:r>
    </w:p>
    <w:p>
      <w:pPr>
        <w:spacing w:after="120" w:line="240"/>
      </w:pPr>
      <w:r>
        <w:rPr>
          <w:rFonts w:ascii="Times New Roman" w:cs="Times New Roman" w:eastAsia="Times New Roman" w:hAnsi="Times New Roman"/>
          <w:sz w:val="20"/>
          <w:szCs w:val="20"/>
        </w:rPr>
        <w:t xml:space="preserve">Three concurrent developments make this argument urgent. First, Meta’s Moltbook acquisition, its $14.3 billion Scale AI investment, and its acquisition of Manus represent billions committed to agent-first architectures. The memory systems underlying those agents will determine their capabilities for years. Second, MCP is emerging as the dynamic alternative: Google published an official MCP server for the Ads API [21], GitBook exposes MCP servers automatically, OpenClaw uses MCP for tool integration. The trajectory is from static to dynamic. Third, context windows are expanding rapidly (Gemini &gt;1M tokens, LTM-2-Mini 100M tokens), undermining the curation rationale while making the structural limitation more acute: more context without structure produces more noise, not more intelligence.</w:t>
      </w:r>
    </w:p>
    <w:p>
      <w:pPr>
        <w:spacing w:after="120" w:before="240" w:line="240"/>
      </w:pPr>
      <w:r>
        <w:rPr>
          <w:rFonts w:ascii="Times New Roman" w:cs="Times New Roman" w:eastAsia="Times New Roman" w:hAnsi="Times New Roman"/>
          <w:i/>
          <w:iCs/>
          <w:sz w:val="20"/>
          <w:szCs w:val="20"/>
        </w:rPr>
        <w:t xml:space="preserve">C. Proposed Architecture</w:t>
      </w:r>
    </w:p>
    <w:p>
      <w:pPr>
        <w:spacing w:after="120" w:line="240"/>
      </w:pPr>
      <w:r>
        <w:rPr>
          <w:rFonts w:ascii="Times New Roman" w:cs="Times New Roman" w:eastAsia="Times New Roman" w:hAnsi="Times New Roman"/>
          <w:sz w:val="20"/>
          <w:szCs w:val="20"/>
        </w:rPr>
        <w:t xml:space="preserve">Based on the evidence, we propose a seven-layer memory stack:</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000"/>
      </w:tblGrid>
      <w:tr>
        <w:tc>
          <w:tcPr>
            <w:tcW w:type="dxa" w:w="16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Layer</w:t>
            </w:r>
          </w:p>
        </w:tc>
        <w:tc>
          <w:tcPr>
            <w:tcW w:type="dxa" w:w="16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Function</w:t>
            </w:r>
          </w:p>
        </w:tc>
        <w:tc>
          <w:tcPr>
            <w:tcW w:type="dxa" w:w="18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Implementation</w:t>
            </w:r>
          </w:p>
        </w:tc>
        <w:tc>
          <w:tcPr>
            <w:tcW w:type="dxa" w:w="2000"/>
            <w:tcBorders>
              <w:top w:val="single" w:color="000000" w:sz="1"/>
              <w:left w:val="none"/>
              <w:bottom w:val="single" w:color="000000" w:sz="1"/>
              <w:right w:val="none"/>
            </w:tcBorders>
            <w:tcMar>
              <w:top w:type="dxa" w:w="40"/>
              <w:left w:type="dxa" w:w="60"/>
              <w:bottom w:type="dxa" w:w="40"/>
              <w:right w:type="dxa" w:w="60"/>
            </w:tcMar>
          </w:tcPr>
          <w:p>
            <w:pPr>
              <w:jc w:val="center"/>
            </w:pPr>
            <w:r>
              <w:rPr>
                <w:rFonts w:ascii="Times New Roman" w:cs="Times New Roman" w:eastAsia="Times New Roman" w:hAnsi="Times New Roman"/>
                <w:b/>
                <w:bCs/>
                <w:sz w:val="18"/>
                <w:szCs w:val="18"/>
              </w:rPr>
              <w:t xml:space="preserve">Bio. parallel</w:t>
            </w:r>
          </w:p>
        </w:tc>
      </w:tr>
      <w:tr>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1. Knowledge graph</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Relational reasoning</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Neo4j, FalkorDB</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Distributed cortex</w:t>
            </w:r>
          </w:p>
        </w:tc>
      </w:tr>
      <w:tr>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2. Vector store</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Semantic retrieval</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Pinecone, Chroma</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Cortical matching</w:t>
            </w:r>
          </w:p>
        </w:tc>
      </w:tr>
      <w:tr>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3. Episodic store</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Temporal events</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LangGraph checkpointer</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Hippocampus</w:t>
            </w:r>
          </w:p>
        </w:tc>
      </w:tr>
      <w:tr>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4. Procedural store</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Behavioral rules</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SKILL.md, JSON</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Basal ganglia</w:t>
            </w:r>
          </w:p>
        </w:tc>
      </w:tr>
      <w:tr>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5. Agent interaction</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Emergent social memory</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Moltbook-style nets</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Social cognition</w:t>
            </w:r>
          </w:p>
        </w:tc>
      </w:tr>
      <w:tr>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6. Context protocol</w:t>
            </w:r>
          </w:p>
        </w:tc>
        <w:tc>
          <w:tcPr>
            <w:tcW w:type="dxa" w:w="16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Dynamic delivery</w:t>
            </w:r>
          </w:p>
        </w:tc>
        <w:tc>
          <w:tcPr>
            <w:tcW w:type="dxa" w:w="18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MCP servers</w:t>
            </w:r>
          </w:p>
        </w:tc>
        <w:tc>
          <w:tcPr>
            <w:tcW w:type="dxa" w:w="2000"/>
            <w:tcBorders>
              <w:top w:val="none"/>
              <w:left w:val="none"/>
              <w:bottom w:val="none"/>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Prefrontal cortex</w:t>
            </w:r>
          </w:p>
        </w:tc>
      </w:tr>
      <w:tr>
        <w:tc>
          <w:tcPr>
            <w:tcW w:type="dxa" w:w="16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7. Markdown index</w:t>
            </w:r>
          </w:p>
        </w:tc>
        <w:tc>
          <w:tcPr>
            <w:tcW w:type="dxa" w:w="16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Navigation only</w:t>
            </w:r>
          </w:p>
        </w:tc>
        <w:tc>
          <w:tcPr>
            <w:tcW w:type="dxa" w:w="18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llms.txt as TOC</w:t>
            </w:r>
          </w:p>
        </w:tc>
        <w:tc>
          <w:tcPr>
            <w:tcW w:type="dxa" w:w="2000"/>
            <w:tcBorders>
              <w:top w:val="none"/>
              <w:left w:val="none"/>
              <w:bottom w:val="single" w:color="000000" w:sz="1"/>
              <w:right w:val="none"/>
            </w:tcBorders>
            <w:tcMar>
              <w:top w:type="dxa" w:w="30"/>
              <w:left w:type="dxa" w:w="60"/>
              <w:bottom w:type="dxa" w:w="30"/>
              <w:right w:type="dxa" w:w="60"/>
            </w:tcMar>
          </w:tcPr>
          <w:p>
            <w:r>
              <w:rPr>
                <w:rFonts w:ascii="Times New Roman" w:cs="Times New Roman" w:eastAsia="Times New Roman" w:hAnsi="Times New Roman"/>
                <w:sz w:val="18"/>
                <w:szCs w:val="18"/>
              </w:rPr>
              <w:t xml:space="preserve">Hippocampal index</w:t>
            </w:r>
          </w:p>
        </w:tc>
      </w:tr>
    </w:tbl>
    <w:p>
      <w:pPr>
        <w:spacing w:after="200" w:before="60" w:line="240"/>
      </w:pPr>
      <w:r>
        <w:rPr>
          <w:rFonts w:ascii="Times New Roman" w:cs="Times New Roman" w:eastAsia="Times New Roman" w:hAnsi="Times New Roman"/>
          <w:i/>
          <w:iCs/>
          <w:sz w:val="18"/>
          <w:szCs w:val="18"/>
        </w:rPr>
        <w:t xml:space="preserve">Table IV. Proposed seven-layer memory architecture. Markdown serves Layer 7 only.</w:t>
      </w:r>
    </w:p>
    <w:p>
      <w:pPr>
        <w:spacing w:after="120" w:line="240"/>
        <w:ind w:firstLine="360"/>
      </w:pPr>
      <w:r>
        <w:rPr>
          <w:rFonts w:ascii="Times New Roman" w:cs="Times New Roman" w:eastAsia="Times New Roman" w:hAnsi="Times New Roman"/>
          <w:sz w:val="20"/>
          <w:szCs w:val="20"/>
        </w:rPr>
        <w:t xml:space="preserve">Layer 7 preserves markdown as a navigation index. We do not argue against markdown; we argue against markdown as the primary memory substrate. The llms.txt file is a table of contents, not a filing system.</w:t>
      </w:r>
    </w:p>
    <w:p>
      <w:pPr>
        <w:spacing w:after="120" w:before="240" w:line="240"/>
      </w:pPr>
      <w:r>
        <w:rPr>
          <w:rFonts w:ascii="Times New Roman" w:cs="Times New Roman" w:eastAsia="Times New Roman" w:hAnsi="Times New Roman"/>
          <w:i/>
          <w:iCs/>
          <w:sz w:val="20"/>
          <w:szCs w:val="20"/>
        </w:rPr>
        <w:t xml:space="preserve">D. Limitations</w:t>
      </w:r>
    </w:p>
    <w:p>
      <w:pPr>
        <w:spacing w:after="120" w:line="240"/>
      </w:pPr>
      <w:r>
        <w:rPr>
          <w:rFonts w:ascii="Times New Roman" w:cs="Times New Roman" w:eastAsia="Times New Roman" w:hAnsi="Times New Roman"/>
          <w:sz w:val="20"/>
          <w:szCs w:val="20"/>
        </w:rPr>
        <w:t xml:space="preserve">This work has several limitations. The case studies draw primarily from the author’s systems, introducing potential bias. The neuroscience-to-AI mappings are analogies, not proven isomorphisms; biological memory systems and computational memory stores share functional characteristics but differ in mechanism. The data.world benchmark used a specific insurance domain; generalization requires replication. The experimental design is presented with a validated protocol but full quantitative results require completion. The capability matrix rubric, while operationalized, reflects the authors’ judgment on scoring thresholds. Finally, the seven-layer architecture is proposed but not validated as an integrated system.</w:t>
      </w:r>
    </w:p>
    <w:p>
      <w:pPr>
        <w:spacing w:after="120" w:before="240" w:line="240"/>
      </w:pPr>
      <w:r>
        <w:rPr>
          <w:rFonts w:ascii="Times New Roman" w:cs="Times New Roman" w:eastAsia="Times New Roman" w:hAnsi="Times New Roman"/>
          <w:i/>
          <w:iCs/>
          <w:sz w:val="20"/>
          <w:szCs w:val="20"/>
        </w:rPr>
        <w:t xml:space="preserve">E. Future Work</w:t>
      </w:r>
    </w:p>
    <w:p>
      <w:pPr>
        <w:spacing w:after="120" w:line="240"/>
      </w:pPr>
      <w:r>
        <w:rPr>
          <w:rFonts w:ascii="Times New Roman" w:cs="Times New Roman" w:eastAsia="Times New Roman" w:hAnsi="Times New Roman"/>
          <w:sz w:val="20"/>
          <w:szCs w:val="20"/>
        </w:rPr>
        <w:t xml:space="preserve">Three directions emerge. First, completing the benchmark experiment across multiple models (Claude, GPT-4, Gemini) and domains to establish generalizability. Second, longitudinal study of agent memory in production environments, particularly emergent memory in multi-agent networks. Third, investigating the security implications of persistent agent memory, following OpenClaw’s documented prompt injection vulnerabilities [16].</w:t>
      </w:r>
    </w:p>
    <w:p>
      <w:pPr>
        <w:spacing w:after="200" w:before="360" w:line="240"/>
        <w:jc w:val="center"/>
      </w:pPr>
      <w:r>
        <w:rPr>
          <w:rFonts w:ascii="Times New Roman" w:cs="Times New Roman" w:eastAsia="Times New Roman" w:hAnsi="Times New Roman"/>
          <w:b/>
          <w:bCs/>
          <w:sz w:val="20"/>
          <w:szCs w:val="20"/>
        </w:rPr>
        <w:t xml:space="preserve">VI. CONCLUSION</w:t>
      </w:r>
    </w:p>
    <w:p>
      <w:pPr>
        <w:spacing w:after="120" w:line="240"/>
      </w:pPr>
      <w:r>
        <w:rPr>
          <w:rFonts w:ascii="Times New Roman" w:cs="Times New Roman" w:eastAsia="Times New Roman" w:hAnsi="Times New Roman"/>
          <w:sz w:val="20"/>
          <w:szCs w:val="20"/>
        </w:rPr>
        <w:t xml:space="preserve">The prevailing consensus that markdown files represent adequate LLM memory is not supported by the evidence. Markdown satisfies zero of seven functional requirements for intelligent memory (H1). Structured relational context produces measurably better reasoning, with the gap widening as complexity increases (H2, partially validated). Production systems across multiple domains independently converge on multi-modal architectures (H3). The neuroscience is clear: intelligence—biological and artificial—requires structured, relational, multi-modal memory. The next generation of AI memory will be built on the principles that evolution optimized over 500 million years: store the relationships, not just the words.</w:t>
      </w:r>
    </w:p>
    <w:p>
      <w:pPr>
        <w:spacing w:after="200" w:before="360" w:line="240"/>
        <w:jc w:val="center"/>
      </w:pPr>
      <w:r>
        <w:rPr>
          <w:rFonts w:ascii="Times New Roman" w:cs="Times New Roman" w:eastAsia="Times New Roman" w:hAnsi="Times New Roman"/>
          <w:b/>
          <w:bCs/>
          <w:sz w:val="20"/>
          <w:szCs w:val="20"/>
        </w:rPr>
        <w:t xml:space="preserve">REFERENCES</w:t>
      </w:r>
    </w:p>
    <w:p>
      <w:pPr>
        <w:spacing w:after="80" w:line="240"/>
        <w:ind w:left="360" w:hanging="360"/>
      </w:pPr>
      <w:r>
        <w:rPr>
          <w:rFonts w:ascii="Times New Roman" w:cs="Times New Roman" w:eastAsia="Times New Roman" w:hAnsi="Times New Roman"/>
          <w:sz w:val="18"/>
          <w:szCs w:val="18"/>
        </w:rPr>
        <w:t xml:space="preserve">[1] J. Howard, “The /llms.txt file,” llmstxt.org, Sep. 2024. [Online]. Available: https://llmstxt.org/</w:t>
      </w:r>
    </w:p>
    <w:p>
      <w:pPr>
        <w:spacing w:after="80" w:line="240"/>
        <w:ind w:left="360" w:hanging="360"/>
      </w:pPr>
      <w:r>
        <w:rPr>
          <w:rFonts w:ascii="Times New Roman" w:cs="Times New Roman" w:eastAsia="Times New Roman" w:hAnsi="Times New Roman"/>
          <w:sz w:val="18"/>
          <w:szCs w:val="18"/>
        </w:rPr>
        <w:t xml:space="preserve">[2] GitBook, “LLM-ready docs,” GitBook Documentation, 2025. [Online]. Available: https://gitbook.com/docs/publishing-documentation/llm-ready-docs</w:t>
      </w:r>
    </w:p>
    <w:p>
      <w:pPr>
        <w:spacing w:after="80" w:line="240"/>
        <w:ind w:left="360" w:hanging="360"/>
      </w:pPr>
      <w:r>
        <w:rPr>
          <w:rFonts w:ascii="Times New Roman" w:cs="Times New Roman" w:eastAsia="Times New Roman" w:hAnsi="Times New Roman"/>
          <w:sz w:val="18"/>
          <w:szCs w:val="18"/>
        </w:rPr>
        <w:t xml:space="preserve">[3] H. Gold, “Meta just bought the social network for AI bots everyone’s been talking about,” CNN Business, Mar. 10, 2026.</w:t>
      </w:r>
    </w:p>
    <w:p>
      <w:pPr>
        <w:spacing w:after="80" w:line="240"/>
        <w:ind w:left="360" w:hanging="360"/>
      </w:pPr>
      <w:r>
        <w:rPr>
          <w:rFonts w:ascii="Times New Roman" w:cs="Times New Roman" w:eastAsia="Times New Roman" w:hAnsi="Times New Roman"/>
          <w:sz w:val="18"/>
          <w:szCs w:val="18"/>
        </w:rPr>
        <w:t xml:space="preserve">[4] llms-txt.io, “Is llms.txt dead? The current state of adoption in 2025,” Dec. 2025.</w:t>
      </w:r>
    </w:p>
    <w:p>
      <w:pPr>
        <w:spacing w:after="80" w:line="240"/>
        <w:ind w:left="360" w:hanging="360"/>
      </w:pPr>
      <w:r>
        <w:rPr>
          <w:rFonts w:ascii="Times New Roman" w:cs="Times New Roman" w:eastAsia="Times New Roman" w:hAnsi="Times New Roman"/>
          <w:sz w:val="18"/>
          <w:szCs w:val="18"/>
        </w:rPr>
        <w:t xml:space="preserve">[5] F. C. Bartlett, Remembering: A Study in Experimental and Social Psychology. Cambridge, U.K.: Cambridge Univ. Press, 1932.</w:t>
      </w:r>
    </w:p>
    <w:p>
      <w:pPr>
        <w:spacing w:after="80" w:line="240"/>
        <w:ind w:left="360" w:hanging="360"/>
      </w:pPr>
      <w:r>
        <w:rPr>
          <w:rFonts w:ascii="Times New Roman" w:cs="Times New Roman" w:eastAsia="Times New Roman" w:hAnsi="Times New Roman"/>
          <w:sz w:val="18"/>
          <w:szCs w:val="18"/>
        </w:rPr>
        <w:t xml:space="preserve">[6] D. L. Schacter, “Adaptive constructive processes and the future of memory,” Amer. Psychologist, vol. 67, no. 8, pp. 603–613, 2012.</w:t>
      </w:r>
    </w:p>
    <w:p>
      <w:pPr>
        <w:spacing w:after="80" w:line="240"/>
        <w:ind w:left="360" w:hanging="360"/>
      </w:pPr>
      <w:r>
        <w:rPr>
          <w:rFonts w:ascii="Times New Roman" w:cs="Times New Roman" w:eastAsia="Times New Roman" w:hAnsi="Times New Roman"/>
          <w:sz w:val="18"/>
          <w:szCs w:val="18"/>
        </w:rPr>
        <w:t xml:space="preserve">[7] L. R. Squire, “Memory systems of the brain: A brief history and current perspective,” Neurobiol. Learn. Memory, vol. 82, no. 3, pp. 171–177, 2004.</w:t>
      </w:r>
    </w:p>
    <w:p>
      <w:pPr>
        <w:spacing w:after="80" w:line="240"/>
        <w:ind w:left="360" w:hanging="360"/>
      </w:pPr>
      <w:r>
        <w:rPr>
          <w:rFonts w:ascii="Times New Roman" w:cs="Times New Roman" w:eastAsia="Times New Roman" w:hAnsi="Times New Roman"/>
          <w:sz w:val="18"/>
          <w:szCs w:val="18"/>
        </w:rPr>
        <w:t xml:space="preserve">[8] S. Betteti, G. Baggio, S. Zampieri, and F. Bullo, “Input-driven dynamics for robust memory retrieval in Hopfield networks,” Sci. Advances, 2025.</w:t>
      </w:r>
    </w:p>
    <w:p>
      <w:pPr>
        <w:spacing w:after="80" w:line="240"/>
        <w:ind w:left="360" w:hanging="360"/>
      </w:pPr>
      <w:r>
        <w:rPr>
          <w:rFonts w:ascii="Times New Roman" w:cs="Times New Roman" w:eastAsia="Times New Roman" w:hAnsi="Times New Roman"/>
          <w:sz w:val="18"/>
          <w:szCs w:val="18"/>
        </w:rPr>
        <w:t xml:space="preserve">[9] Q. Zheng et al., “Machine memory intelligence: Inspired by human memory mechanisms,” Engineering, vol. 55, no. 12, pp. 24–35, 2025.</w:t>
      </w:r>
    </w:p>
    <w:p>
      <w:pPr>
        <w:spacing w:after="80" w:line="240"/>
        <w:ind w:left="360" w:hanging="360"/>
      </w:pPr>
      <w:r>
        <w:rPr>
          <w:rFonts w:ascii="Times New Roman" w:cs="Times New Roman" w:eastAsia="Times New Roman" w:hAnsi="Times New Roman"/>
          <w:sz w:val="18"/>
          <w:szCs w:val="18"/>
        </w:rPr>
        <w:t xml:space="preserve">[10] J. Sequeda, D. Allemang, and B. Jacob, “Gen AI benchmark: Increasing LLM accuracy with knowledge graphs,” data.world, 2024.</w:t>
      </w:r>
    </w:p>
    <w:p>
      <w:pPr>
        <w:spacing w:after="80" w:line="240"/>
        <w:ind w:left="360" w:hanging="360"/>
      </w:pPr>
      <w:r>
        <w:rPr>
          <w:rFonts w:ascii="Times New Roman" w:cs="Times New Roman" w:eastAsia="Times New Roman" w:hAnsi="Times New Roman"/>
          <w:sz w:val="18"/>
          <w:szCs w:val="18"/>
        </w:rPr>
        <w:t xml:space="preserve">[11] NVIDIA, “Insights, techniques, and evaluation for LLM-driven knowledge graphs,” NVIDIA Tech. Blog, Dec. 2024.</w:t>
      </w:r>
    </w:p>
    <w:p>
      <w:pPr>
        <w:spacing w:after="80" w:line="240"/>
        <w:ind w:left="360" w:hanging="360"/>
      </w:pPr>
      <w:r>
        <w:rPr>
          <w:rFonts w:ascii="Times New Roman" w:cs="Times New Roman" w:eastAsia="Times New Roman" w:hAnsi="Times New Roman"/>
          <w:sz w:val="18"/>
          <w:szCs w:val="18"/>
        </w:rPr>
        <w:t xml:space="preserve">[12] FalkorDB, “Build AI agents with memory: LangChain + FalkorDB,” FalkorDB Blog, Mar. 2025.</w:t>
      </w:r>
    </w:p>
    <w:p>
      <w:pPr>
        <w:spacing w:after="80" w:line="240"/>
        <w:ind w:left="360" w:hanging="360"/>
      </w:pPr>
      <w:r>
        <w:rPr>
          <w:rFonts w:ascii="Times New Roman" w:cs="Times New Roman" w:eastAsia="Times New Roman" w:hAnsi="Times New Roman"/>
          <w:sz w:val="18"/>
          <w:szCs w:val="18"/>
        </w:rPr>
        <w:t xml:space="preserve">[13] LangChain, “Long-term memory,” LangChain Documentation, 2025. [Online]. Available: https://docs.langchain.com/</w:t>
      </w:r>
    </w:p>
    <w:p>
      <w:pPr>
        <w:spacing w:after="80" w:line="240"/>
        <w:ind w:left="360" w:hanging="360"/>
      </w:pPr>
      <w:r>
        <w:rPr>
          <w:rFonts w:ascii="Times New Roman" w:cs="Times New Roman" w:eastAsia="Times New Roman" w:hAnsi="Times New Roman"/>
          <w:sz w:val="18"/>
          <w:szCs w:val="18"/>
        </w:rPr>
        <w:t xml:space="preserve">[14] MongoDB, “Powering long-term memory for agents with LangGraph and MongoDB,” MongoDB Blog, 2025.</w:t>
      </w:r>
    </w:p>
    <w:p>
      <w:pPr>
        <w:spacing w:after="80" w:line="240"/>
        <w:ind w:left="360" w:hanging="360"/>
      </w:pPr>
      <w:r>
        <w:rPr>
          <w:rFonts w:ascii="Times New Roman" w:cs="Times New Roman" w:eastAsia="Times New Roman" w:hAnsi="Times New Roman"/>
          <w:sz w:val="18"/>
          <w:szCs w:val="18"/>
        </w:rPr>
        <w:t xml:space="preserve">[15] DataStax, “Now in LangChain: Graph Vector Store,” DataStax Blog, Aug. 2025.</w:t>
      </w:r>
    </w:p>
    <w:p>
      <w:pPr>
        <w:spacing w:after="80" w:line="240"/>
        <w:ind w:left="360" w:hanging="360"/>
      </w:pPr>
      <w:r>
        <w:rPr>
          <w:rFonts w:ascii="Times New Roman" w:cs="Times New Roman" w:eastAsia="Times New Roman" w:hAnsi="Times New Roman"/>
          <w:sz w:val="18"/>
          <w:szCs w:val="18"/>
        </w:rPr>
        <w:t xml:space="preserve">[16] P. Steinberger, “OpenClaw,” 2025. [Online]. Available: https://github.com/openclaw/openclaw. See also: Wikipedia, “OpenClaw,” 2026.</w:t>
      </w:r>
    </w:p>
    <w:p>
      <w:pPr>
        <w:spacing w:after="80" w:line="240"/>
        <w:ind w:left="360" w:hanging="360"/>
      </w:pPr>
      <w:r>
        <w:rPr>
          <w:rFonts w:ascii="Times New Roman" w:cs="Times New Roman" w:eastAsia="Times New Roman" w:hAnsi="Times New Roman"/>
          <w:sz w:val="18"/>
          <w:szCs w:val="18"/>
        </w:rPr>
        <w:t xml:space="preserve">[17] J. Williams, “googleadsagent.ai,” 2025–2026. [Online]. Available: https://github.com/itallstartedwithaidea</w:t>
      </w:r>
    </w:p>
    <w:p>
      <w:pPr>
        <w:spacing w:after="80" w:line="240"/>
        <w:ind w:left="360" w:hanging="360"/>
      </w:pPr>
      <w:r>
        <w:rPr>
          <w:rFonts w:ascii="Times New Roman" w:cs="Times New Roman" w:eastAsia="Times New Roman" w:hAnsi="Times New Roman"/>
          <w:sz w:val="18"/>
          <w:szCs w:val="18"/>
        </w:rPr>
        <w:t xml:space="preserve">[18] J. Williams, “ContextOS,” 2025. [Online]. Available: https://github.com/itallstartedwithaidea/ContextOS</w:t>
      </w:r>
    </w:p>
    <w:p>
      <w:pPr>
        <w:spacing w:after="80" w:line="240"/>
        <w:ind w:left="360" w:hanging="360"/>
      </w:pPr>
      <w:r>
        <w:rPr>
          <w:rFonts w:ascii="Times New Roman" w:cs="Times New Roman" w:eastAsia="Times New Roman" w:hAnsi="Times New Roman"/>
          <w:sz w:val="18"/>
          <w:szCs w:val="18"/>
        </w:rPr>
        <w:t xml:space="preserve">[19] J. Williams, “Context maintenance in multi-agent systems,” Architectural review notes, Feb. 2026. [Online]. Available: https://claude.ai/chat/0e372273</w:t>
      </w:r>
    </w:p>
    <w:p>
      <w:pPr>
        <w:spacing w:after="80" w:line="240"/>
        <w:ind w:left="360" w:hanging="360"/>
      </w:pPr>
      <w:r>
        <w:rPr>
          <w:rFonts w:ascii="Times New Roman" w:cs="Times New Roman" w:eastAsia="Times New Roman" w:hAnsi="Times New Roman"/>
          <w:sz w:val="18"/>
          <w:szCs w:val="18"/>
        </w:rPr>
        <w:t xml:space="preserve">[20] J. Williams, “Five-day AI agents crash course curriculum,” Course documentation, Feb. 2026. [Online]. Available: https://claude.ai/chat/850bb00c</w:t>
      </w:r>
    </w:p>
    <w:p>
      <w:pPr>
        <w:spacing w:after="80" w:line="240"/>
        <w:ind w:left="360" w:hanging="360"/>
      </w:pPr>
      <w:r>
        <w:rPr>
          <w:rFonts w:ascii="Times New Roman" w:cs="Times New Roman" w:eastAsia="Times New Roman" w:hAnsi="Times New Roman"/>
          <w:sz w:val="18"/>
          <w:szCs w:val="18"/>
        </w:rPr>
        <w:t xml:space="preserve">[21] Google for Developers, “Google Ads MCP server: Developer integration guide,” 2025. [Online]. Available: https://developers.google.com/google-ads/api/docs/developer-toolkit/mcp-server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240"/>
      <w:jc w:val="center"/>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spacing w:after="120" w:before="240" w:line="240"/>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2026-03-16T16:22:47.917Z</dcterms:created>
  <dcterms:modified xsi:type="dcterms:W3CDTF">2026-03-16T16:22:47.917Z</dcterms:modified>
</cp:coreProperties>
</file>

<file path=docProps/custom.xml><?xml version="1.0" encoding="utf-8"?>
<Properties xmlns="http://schemas.openxmlformats.org/officeDocument/2006/custom-properties" xmlns:vt="http://schemas.openxmlformats.org/officeDocument/2006/docPropsVTypes"/>
</file>