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Roteiro para IA - AppCaptação</w:t>
      </w:r>
    </w:p>
    <w:p>
      <w:pPr>
        <w:jc w:val="center"/>
      </w:pPr>
      <w:r>
        <w:rPr>
          <w:i/>
        </w:rPr>
        <w:t xml:space="preserve">Guia editável para orientar uma IA a reproduzir o estágio atual do aplicativo, </w:t>
      </w:r>
      <w:r>
        <w:rPr>
          <w:i/>
        </w:rPr>
        <w:t>sem gerar script e com foco em login no Sienge, relatórios, filtros, tabelas e downloads.</w:t>
      </w:r>
    </w:p>
    <w:p/>
    <w:p>
      <w:r>
        <w:rPr>
          <w:b/>
        </w:rPr>
        <w:t xml:space="preserve">Objetivo do documento: </w:t>
      </w:r>
      <w:r>
        <w:t>servir como base de super prompt, briefing técnico e roteiro operacional para qualquer IA ou time que precise continuar a evolução do AppCaptação a partir do que já foi implementado.</w:t>
      </w:r>
    </w:p>
    <w:p>
      <w:pPr>
        <w:pStyle w:val="Heading1"/>
      </w:pPr>
      <w:r>
        <w:t>1. O que este aplicativo é</w:t>
      </w:r>
    </w:p>
    <w:p>
      <w:pPr>
        <w:pStyle w:val="ListBullet"/>
      </w:pPr>
      <w:r>
        <w:t>O AppCaptação é um aplicativo desktop em Python que reutiliza partes de uma aplicação web interna para automatizar a execução de relatórios dentro do Sienge.</w:t>
      </w:r>
    </w:p>
    <w:p>
      <w:pPr>
        <w:pStyle w:val="ListBullet"/>
      </w:pPr>
      <w:r>
        <w:t>O fluxo principal começa com autenticação no Sienge, passa pela seleção de relatório ou operação, carrega filtros dinâmicos cadastrados em banco, executa a navegação automática no navegador e finaliza com download, renomeação e cópia do arquivo resultante.</w:t>
      </w:r>
    </w:p>
    <w:p>
      <w:pPr>
        <w:pStyle w:val="ListBullet"/>
      </w:pPr>
      <w:r>
        <w:t>A solução não é um robô genérico. Ela depende de cadastros, regras por relatório e módulos dedicados para telas específicas do Sienge.</w:t>
      </w:r>
    </w:p>
    <w:p>
      <w:pPr>
        <w:pStyle w:val="ListBullet"/>
      </w:pPr>
      <w:r>
        <w:t>O aplicativo precisa ser tratado como uma plataforma de automação parametrizada por banco de dados e não como um conjunto fixo de cliques.</w:t>
      </w:r>
    </w:p>
    <w:p>
      <w:pPr>
        <w:pStyle w:val="Heading1"/>
      </w:pPr>
      <w:r>
        <w:t>2. Resultado atual que a IA deve preservar</w:t>
      </w:r>
    </w:p>
    <w:p>
      <w:pPr>
        <w:pStyle w:val="ListBullet"/>
      </w:pPr>
      <w:r>
        <w:t>Login automatizado no Sienge com suporte a fluxo Sienge ID e autenticação Microsoft.</w:t>
      </w:r>
    </w:p>
    <w:p>
      <w:pPr>
        <w:pStyle w:val="ListBullet"/>
      </w:pPr>
      <w:r>
        <w:t>Espera controlada para MFA ou token da Microsoft antes de seguir a execução.</w:t>
      </w:r>
    </w:p>
    <w:p>
      <w:pPr>
        <w:pStyle w:val="ListBullet"/>
      </w:pPr>
      <w:r>
        <w:t>Execução de relatório individual ou operação com vários relatórios na mesma sessão autenticada.</w:t>
      </w:r>
    </w:p>
    <w:p>
      <w:pPr>
        <w:pStyle w:val="ListBullet"/>
      </w:pPr>
      <w:r>
        <w:t>Leitura do catálogo de relatórios e filtros a partir do banco de dados.</w:t>
      </w:r>
    </w:p>
    <w:p>
      <w:pPr>
        <w:pStyle w:val="ListBullet"/>
      </w:pPr>
      <w:r>
        <w:t>Mapeamento do relatório para um executor dedicado conforme nome, ID ou trecho da URL.</w:t>
      </w:r>
    </w:p>
    <w:p>
      <w:pPr>
        <w:pStyle w:val="ListBullet"/>
      </w:pPr>
      <w:r>
        <w:t>Preenchimento dinâmico de campos, inclusive datas, lookup de empresa, lookup de empreendimento e campos que vivem dentro de iframes.</w:t>
      </w:r>
    </w:p>
    <w:p>
      <w:pPr>
        <w:pStyle w:val="ListBullet"/>
      </w:pPr>
      <w:r>
        <w:t>Download monitorado, renomeação padronizada do arquivo e cópia para destino local ou pasta sincronizada do SharePoint.</w:t>
      </w:r>
    </w:p>
    <w:p>
      <w:pPr>
        <w:pStyle w:val="ListBullet"/>
      </w:pPr>
      <w:r>
        <w:t>Tratamento de relatórios que exigem comportamento próprio de paginação, iteração por empresa ou exportação por página.</w:t>
      </w:r>
    </w:p>
    <w:p>
      <w:pPr>
        <w:pStyle w:val="Heading1"/>
      </w:pPr>
      <w:r>
        <w:t>3. Papel esperado da IA</w:t>
      </w:r>
    </w:p>
    <w:p>
      <w:pPr>
        <w:pStyle w:val="ListBullet"/>
      </w:pPr>
      <w:r>
        <w:t>Entender o aplicativo como produto e também como automação técnica.</w:t>
      </w:r>
    </w:p>
    <w:p>
      <w:pPr>
        <w:pStyle w:val="ListBullet"/>
      </w:pPr>
      <w:r>
        <w:t>Preservar o comportamento já estabilizado antes de sugerir refatorações.</w:t>
      </w:r>
    </w:p>
    <w:p>
      <w:pPr>
        <w:pStyle w:val="ListBullet"/>
      </w:pPr>
      <w:r>
        <w:t>Consultar a configuração do banco antes de assumir que um filtro ou relatório é fixo.</w:t>
      </w:r>
    </w:p>
    <w:p>
      <w:pPr>
        <w:pStyle w:val="ListBullet"/>
      </w:pPr>
      <w:r>
        <w:t>Separar claramente regras genéricas de automação das exceções de cada relatório.</w:t>
      </w:r>
    </w:p>
    <w:p>
      <w:pPr>
        <w:pStyle w:val="ListBullet"/>
      </w:pPr>
      <w:r>
        <w:t>Explicar decisões de forma prática, orientada a manutenção e continuidade operacional.</w:t>
      </w:r>
    </w:p>
    <w:p>
      <w:pPr>
        <w:pStyle w:val="Heading1"/>
      </w:pPr>
      <w:r>
        <w:t>4. Regras obrigatórias para a IA</w:t>
      </w:r>
    </w:p>
    <w:p>
      <w:pPr>
        <w:pStyle w:val="ListNumber"/>
      </w:pPr>
      <w:r>
        <w:t>Não propor automação cega baseada apenas em coordenadas ou XPath frágil se já existir identificador estável, nome de campo ou regra cadastrada.</w:t>
      </w:r>
    </w:p>
    <w:p>
      <w:pPr>
        <w:pStyle w:val="ListNumber"/>
      </w:pPr>
      <w:r>
        <w:t>Não presumir que todos os relatórios compartilham o mesmo fluxo de tela.</w:t>
      </w:r>
    </w:p>
    <w:p>
      <w:pPr>
        <w:pStyle w:val="ListNumber"/>
      </w:pPr>
      <w:r>
        <w:t>Não tratar login bem-sucedido apenas como clique executado; validar se a sessão realmente entrou em uma URL do domínio Sienge e se a tela de login deixou de existir.</w:t>
      </w:r>
    </w:p>
    <w:p>
      <w:pPr>
        <w:pStyle w:val="ListNumber"/>
      </w:pPr>
      <w:r>
        <w:t>Não acoplar a solução a um único navegador se o comportamento atual já prevê Edge como padrão e Chrome como fallback ou anexo por depuração.</w:t>
      </w:r>
    </w:p>
    <w:p>
      <w:pPr>
        <w:pStyle w:val="ListNumber"/>
      </w:pPr>
      <w:r>
        <w:t>Não confundir filtro do usuário com metadado técnico. Nome do filtro, tipo do campo, iframe, ação e identificador são partes do contrato da automação.</w:t>
      </w:r>
    </w:p>
    <w:p>
      <w:pPr>
        <w:pStyle w:val="ListNumber"/>
      </w:pPr>
      <w:r>
        <w:t>Não assumir que o destino SharePoint é upload web direto; no estágio atual o comportamento confiável é cópia para pasta local sincronizada ou caminho UNC.</w:t>
      </w:r>
    </w:p>
    <w:p>
      <w:pPr>
        <w:pStyle w:val="ListNumber"/>
      </w:pPr>
      <w:r>
        <w:t>Sempre considerar que mudanças de layout do Sienge podem quebrar seletores e exigir ajuste localizado no executor dedicado.</w:t>
      </w:r>
    </w:p>
    <w:p>
      <w:pPr>
        <w:pStyle w:val="Heading1"/>
      </w:pPr>
      <w:r>
        <w:t>5. Fluxo macro que a IA deve seguir</w:t>
      </w:r>
    </w:p>
    <w:p>
      <w:pPr>
        <w:pStyle w:val="ListNumber"/>
      </w:pPr>
      <w:r>
        <w:t>Compreender o objetivo operacional do usuário: executar um relatório único ou uma operação composta.</w:t>
      </w:r>
    </w:p>
    <w:p>
      <w:pPr>
        <w:pStyle w:val="ListNumber"/>
      </w:pPr>
      <w:r>
        <w:t>Recuperar no banco a configuração do relatório e seus filtros ativos.</w:t>
      </w:r>
    </w:p>
    <w:p>
      <w:pPr>
        <w:pStyle w:val="ListNumber"/>
      </w:pPr>
      <w:r>
        <w:t>Montar o payload de execução com os valores informados.</w:t>
      </w:r>
    </w:p>
    <w:p>
      <w:pPr>
        <w:pStyle w:val="ListNumber"/>
      </w:pPr>
      <w:r>
        <w:t>Autenticar no Sienge e validar a sessão.</w:t>
      </w:r>
    </w:p>
    <w:p>
      <w:pPr>
        <w:pStyle w:val="ListNumber"/>
      </w:pPr>
      <w:r>
        <w:t>Abrir a URL do relatório.</w:t>
      </w:r>
    </w:p>
    <w:p>
      <w:pPr>
        <w:pStyle w:val="ListNumber"/>
      </w:pPr>
      <w:r>
        <w:t>Descobrir qual executor dedicado deve assumir a tela.</w:t>
      </w:r>
    </w:p>
    <w:p>
      <w:pPr>
        <w:pStyle w:val="ListNumber"/>
      </w:pPr>
      <w:r>
        <w:t>Preencher filtros e disparar a execução do relatório.</w:t>
      </w:r>
    </w:p>
    <w:p>
      <w:pPr>
        <w:pStyle w:val="ListNumber"/>
      </w:pPr>
      <w:r>
        <w:t>Aguardar conclusão do download ou da estabilização da pasta de downloads.</w:t>
      </w:r>
    </w:p>
    <w:p>
      <w:pPr>
        <w:pStyle w:val="ListNumber"/>
      </w:pPr>
      <w:r>
        <w:t>Renomear o arquivo resultante conforme padrão do processo.</w:t>
      </w:r>
    </w:p>
    <w:p>
      <w:pPr>
        <w:pStyle w:val="ListNumber"/>
      </w:pPr>
      <w:r>
        <w:t>Copiar o resultado para o destino configurado e registrar logs de execução.</w:t>
      </w:r>
    </w:p>
    <w:p>
      <w:pPr>
        <w:pStyle w:val="Heading1"/>
      </w:pPr>
      <w:r>
        <w:t>6. Regras específicas de login no Sienge</w:t>
      </w:r>
    </w:p>
    <w:p>
      <w:r>
        <w:rPr>
          <w:b/>
        </w:rPr>
        <w:t xml:space="preserve">Esta é a parte mais sensível do roteiro. </w:t>
      </w:r>
      <w:r>
        <w:t>A IA deve preservar a lógica atual de autenticação híbrida.</w:t>
      </w:r>
    </w:p>
    <w:p>
      <w:pPr>
        <w:pStyle w:val="ListBullet"/>
      </w:pPr>
      <w:r>
        <w:t>A URL base de login é a do ambiente Sienge da empresa, e o fluxo inicia nessa página antes de qualquer navegação para relatório.</w:t>
      </w:r>
    </w:p>
    <w:p>
      <w:pPr>
        <w:pStyle w:val="ListBullet"/>
      </w:pPr>
      <w:r>
        <w:t>Se existir o botão Entrar com Sienge ID, a IA deve considerá-lo parte do fluxo principal e acioná-lo antes de preencher credenciais.</w:t>
      </w:r>
    </w:p>
    <w:p>
      <w:pPr>
        <w:pStyle w:val="ListBullet"/>
      </w:pPr>
      <w:r>
        <w:t>O fluxo pode passar por campos diferentes para o e-mail, como email, username ou loginfmt. A IA deve tentar de forma adaptável, sem travar em um único seletor.</w:t>
      </w:r>
    </w:p>
    <w:p>
      <w:pPr>
        <w:pStyle w:val="ListBullet"/>
      </w:pPr>
      <w:r>
        <w:t>Após o envio do e-mail, o fluxo pode migrar para autenticação Microsoft.</w:t>
      </w:r>
    </w:p>
    <w:p>
      <w:pPr>
        <w:pStyle w:val="ListBullet"/>
      </w:pPr>
      <w:r>
        <w:t>Quando o campo de senha Microsoft aparecer, a IA deve preencher a senha e respeitar uma janela de espera para MFA ou token.</w:t>
      </w:r>
    </w:p>
    <w:p>
      <w:pPr>
        <w:pStyle w:val="ListBullet"/>
      </w:pPr>
      <w:r>
        <w:t>Se aparecer a pergunta sobre permanecer conectado, a IA deve rejeitar essa permanência quando o fluxo assim exigir.</w:t>
      </w:r>
    </w:p>
    <w:p>
      <w:pPr>
        <w:pStyle w:val="ListBullet"/>
      </w:pPr>
      <w:r>
        <w:t>A autenticação só pode ser considerada concluída quando a sessão estiver em domínio Sienge e a tela de login já não for a tela ativa.</w:t>
      </w:r>
    </w:p>
    <w:p>
      <w:pPr>
        <w:pStyle w:val="ListBullet"/>
      </w:pPr>
      <w:r>
        <w:t>A IA deve tolerar mais de uma etapa visual no login, porque o SSO pode variar de acordo com sessão, cache, perfil do navegador e políticas da Microsoft.</w:t>
      </w:r>
    </w:p>
    <w:p>
      <w:pPr>
        <w:pStyle w:val="Heading1"/>
      </w:pPr>
      <w:r>
        <w:t>7. Regras de sessão e navegador</w:t>
      </w:r>
    </w:p>
    <w:p>
      <w:pPr>
        <w:pStyle w:val="ListBullet"/>
      </w:pPr>
      <w:r>
        <w:t>O navegador padrão da automação Selenium está configurado para Edge, com fallback para Chrome.</w:t>
      </w:r>
    </w:p>
    <w:p>
      <w:pPr>
        <w:pStyle w:val="ListBullet"/>
      </w:pPr>
      <w:r>
        <w:t>Existe suporte para reaproveitar sessão autenticada e também para anexar a uma instância normal do Chrome via porta de depuração.</w:t>
      </w:r>
    </w:p>
    <w:p>
      <w:pPr>
        <w:pStyle w:val="ListBullet"/>
      </w:pPr>
      <w:r>
        <w:t>Há cenários em que o uso do perfil real do navegador é importante para contornar SSO e MFA.</w:t>
      </w:r>
    </w:p>
    <w:p>
      <w:pPr>
        <w:pStyle w:val="ListBullet"/>
      </w:pPr>
      <w:r>
        <w:t>A IA deve separar claramente dois mundos: autenticação Playwright para login isolado e automação Selenium para execução de relatórios.</w:t>
      </w:r>
    </w:p>
    <w:p>
      <w:pPr>
        <w:pStyle w:val="ListBullet"/>
      </w:pPr>
      <w:r>
        <w:t>Ao reutilizar sessão, a IA deve considerar cookies, localStorage e sessionStorage como parte da restauração.</w:t>
      </w:r>
    </w:p>
    <w:p>
      <w:pPr>
        <w:pStyle w:val="ListBullet"/>
      </w:pPr>
      <w:r>
        <w:t>Ao detectar sessão inválida, a IA deve voltar para login interativo em vez de insistir em uma sessão quebrada.</w:t>
      </w:r>
    </w:p>
    <w:p>
      <w:pPr>
        <w:pStyle w:val="Heading1"/>
      </w:pPr>
      <w:r>
        <w:t>8. Como a IA deve entender relatórios</w:t>
      </w:r>
    </w:p>
    <w:p>
      <w:pPr>
        <w:pStyle w:val="ListBullet"/>
      </w:pPr>
      <w:r>
        <w:t>Relatório não é somente uma URL. Relatório é uma entidade com nome, identificador, filtros, regras de ação e, em vários casos, executor dedicado.</w:t>
      </w:r>
    </w:p>
    <w:p>
      <w:pPr>
        <w:pStyle w:val="ListBullet"/>
      </w:pPr>
      <w:r>
        <w:t>A IA deve diferenciar relatório individual de operação. Operação é um agrupamento de relatórios que podem rodar em sequência na mesma sessão.</w:t>
      </w:r>
    </w:p>
    <w:p>
      <w:pPr>
        <w:pStyle w:val="ListBullet"/>
      </w:pPr>
      <w:r>
        <w:t>O executor do relatório pode ser resolvido por nome, nome compactado, ID do relatório, ID da operação ou trecho da URL.</w:t>
      </w:r>
    </w:p>
    <w:p>
      <w:pPr>
        <w:pStyle w:val="ListBullet"/>
      </w:pPr>
      <w:r>
        <w:t>Se não existir executor mapeado, o correto é tratar isso como lacuna de configuração e não improvisar cliques arbitrários.</w:t>
      </w:r>
    </w:p>
    <w:p>
      <w:pPr>
        <w:pStyle w:val="Heading1"/>
      </w:pPr>
      <w:r>
        <w:t>9. Relatórios com fluxo dedicado já reconhecidos</w:t>
      </w:r>
    </w:p>
    <w:p>
      <w:pPr>
        <w:pStyle w:val="ListBullet"/>
      </w:pPr>
      <w:r>
        <w:t>Extrato de cliente histórico</w:t>
      </w:r>
    </w:p>
    <w:p>
      <w:pPr>
        <w:pStyle w:val="ListBullet"/>
      </w:pPr>
      <w:r>
        <w:t>Extrato saldo devedor presente</w:t>
      </w:r>
    </w:p>
    <w:p>
      <w:pPr>
        <w:pStyle w:val="ListBullet"/>
      </w:pPr>
      <w:r>
        <w:t>Extrato conciliado</w:t>
      </w:r>
    </w:p>
    <w:p>
      <w:pPr>
        <w:pStyle w:val="ListBullet"/>
      </w:pPr>
      <w:r>
        <w:t>Contas recebidas</w:t>
      </w:r>
    </w:p>
    <w:p>
      <w:pPr>
        <w:pStyle w:val="ListBullet"/>
      </w:pPr>
      <w:r>
        <w:t>Contas a receber</w:t>
      </w:r>
    </w:p>
    <w:p>
      <w:pPr>
        <w:pStyle w:val="ListBullet"/>
      </w:pPr>
      <w:r>
        <w:t>Análise de resultado sintético</w:t>
      </w:r>
    </w:p>
    <w:p>
      <w:pPr>
        <w:pStyle w:val="ListBullet"/>
      </w:pPr>
      <w:r>
        <w:t>Analítico de propriedade</w:t>
      </w:r>
    </w:p>
    <w:p>
      <w:pPr>
        <w:pStyle w:val="ListBullet"/>
      </w:pPr>
      <w:r>
        <w:t>Posição de saldos</w:t>
      </w:r>
    </w:p>
    <w:p>
      <w:pPr>
        <w:pStyle w:val="ListBullet"/>
      </w:pPr>
      <w:r>
        <w:t>Títulos quitados</w:t>
      </w:r>
    </w:p>
    <w:p>
      <w:pPr>
        <w:pStyle w:val="ListBullet"/>
      </w:pPr>
      <w:r>
        <w:t>Títulos distratados</w:t>
      </w:r>
    </w:p>
    <w:p>
      <w:pPr>
        <w:pStyle w:val="ListBullet"/>
      </w:pPr>
      <w:r>
        <w:t>Preço total de vendas</w:t>
      </w:r>
    </w:p>
    <w:p>
      <w:pPr>
        <w:pStyle w:val="ListBullet"/>
      </w:pPr>
      <w:r>
        <w:t>Reparcelamento</w:t>
      </w:r>
    </w:p>
    <w:p>
      <w:pPr>
        <w:pStyle w:val="ListBullet"/>
      </w:pPr>
      <w:r>
        <w:t>Retenção</w:t>
      </w:r>
    </w:p>
    <w:p>
      <w:pPr>
        <w:pStyle w:val="ListBullet"/>
      </w:pPr>
      <w:r>
        <w:t>Unidades</w:t>
      </w:r>
    </w:p>
    <w:p>
      <w:pPr>
        <w:pStyle w:val="ListBullet"/>
      </w:pPr>
      <w:r>
        <w:t>Vendas</w:t>
      </w:r>
    </w:p>
    <w:p>
      <w:r>
        <w:rPr>
          <w:b/>
        </w:rPr>
        <w:t xml:space="preserve">Orientação: </w:t>
      </w:r>
      <w:r>
        <w:t>a IA deve assumir que cada um desses relatórios pode ter particularidades de data, paginação, empresa, empreendimento, centro de custo, exportação e renomeação de download.</w:t>
      </w:r>
    </w:p>
    <w:p>
      <w:pPr>
        <w:pStyle w:val="Heading1"/>
      </w:pPr>
      <w:r>
        <w:t>10. Regras de filtros</w:t>
      </w:r>
    </w:p>
    <w:p>
      <w:pPr>
        <w:pStyle w:val="ListBullet"/>
      </w:pPr>
      <w:r>
        <w:t>Os filtros vêm do banco e formam um contrato dinâmico entre a interface e a automação.</w:t>
      </w:r>
    </w:p>
    <w:p>
      <w:pPr>
        <w:pStyle w:val="ListBullet"/>
      </w:pPr>
      <w:r>
        <w:t>Cada filtro pode trazer nome amigável, tipo do campo, tipo do valor, índice do iframe, identificador técnico do campo e ação esperada.</w:t>
      </w:r>
    </w:p>
    <w:p>
      <w:pPr>
        <w:pStyle w:val="ListBullet"/>
      </w:pPr>
      <w:r>
        <w:t>A IA deve localizar o valor do filtro tanto pela chave padronizada quanto pelo nome do filtro, porque o payload pode chegar das duas formas.</w:t>
      </w:r>
    </w:p>
    <w:p>
      <w:pPr>
        <w:pStyle w:val="ListBullet"/>
      </w:pPr>
      <w:r>
        <w:t>Filtros do tipo DATE precisam ser normalizados para o formato aceito pela tela, preservando dia, mês e ano.</w:t>
      </w:r>
    </w:p>
    <w:p>
      <w:pPr>
        <w:pStyle w:val="ListBullet"/>
      </w:pPr>
      <w:r>
        <w:t>Nem todo filtro exige valor. Campos cujo objetivo é apenas clicar, submeter ou disparar ENTER devem ser tratados como ações e não como inputs convencionais.</w:t>
      </w:r>
    </w:p>
    <w:p>
      <w:pPr>
        <w:pStyle w:val="ListBullet"/>
      </w:pPr>
      <w:r>
        <w:t>Alguns filtros são opcionais conforme o executor do relatório. Essa flexibilidade faz parte da regra de negócio e não deve ser removida.</w:t>
      </w:r>
    </w:p>
    <w:p>
      <w:pPr>
        <w:pStyle w:val="ListBullet"/>
      </w:pPr>
      <w:r>
        <w:t>Empresa, empreendimento e centro de custo aparecem com variações de identificador. A IA deve usar fallbacks e equivalências em vez de depender de um único nome técnico.</w:t>
      </w:r>
    </w:p>
    <w:p>
      <w:pPr>
        <w:pStyle w:val="Heading1"/>
      </w:pPr>
      <w:r>
        <w:t>11. Regras de iframes e interação com tela</w:t>
      </w:r>
    </w:p>
    <w:p>
      <w:pPr>
        <w:pStyle w:val="ListBullet"/>
      </w:pPr>
      <w:r>
        <w:t>O índice do iframe é metadado operacional importante e deve ser respeitado durante localização de elementos.</w:t>
      </w:r>
    </w:p>
    <w:p>
      <w:pPr>
        <w:pStyle w:val="ListBullet"/>
      </w:pPr>
      <w:r>
        <w:t>Antes de cada nova interação relevante, a IA deve ser capaz de voltar ao conteúdo principal e alternar novamente para o iframe necessário.</w:t>
      </w:r>
    </w:p>
    <w:p>
      <w:pPr>
        <w:pStyle w:val="ListBullet"/>
      </w:pPr>
      <w:r>
        <w:t>Cliques e preenchimentos precisam prever tentativas adicionais, scroll até o elemento e fallback por JavaScript ou ActionChains quando a interação direta falhar.</w:t>
      </w:r>
    </w:p>
    <w:p>
      <w:pPr>
        <w:pStyle w:val="ListBullet"/>
      </w:pPr>
      <w:r>
        <w:t>A automação deve esperar visibilidade e clicabilidade reais dos elementos antes da ação.</w:t>
      </w:r>
    </w:p>
    <w:p>
      <w:pPr>
        <w:pStyle w:val="ListBullet"/>
      </w:pPr>
      <w:r>
        <w:t>Mudanças de componente visual no Sienge, principalmente em telas com MUI ou lookup, devem ser tratadas como risco estrutural.</w:t>
      </w:r>
    </w:p>
    <w:p>
      <w:pPr>
        <w:pStyle w:val="Heading1"/>
      </w:pPr>
      <w:r>
        <w:t>12. Regras de download, arquivos e destino final</w:t>
      </w:r>
    </w:p>
    <w:p>
      <w:pPr>
        <w:pStyle w:val="ListBullet"/>
      </w:pPr>
      <w:r>
        <w:t>A IA deve monitorar a pasta de downloads e distinguir arquivos temporários de arquivos concluídos.</w:t>
      </w:r>
    </w:p>
    <w:p>
      <w:pPr>
        <w:pStyle w:val="ListBullet"/>
      </w:pPr>
      <w:r>
        <w:t>O sucesso do relatório não termina no clique de exportar. É necessário confirmar estabilidade do arquivo baixado.</w:t>
      </w:r>
    </w:p>
    <w:p>
      <w:pPr>
        <w:pStyle w:val="ListBullet"/>
      </w:pPr>
      <w:r>
        <w:t>O nome final do arquivo deve ser padronizado com base no relatório, empresa e data de execução.</w:t>
      </w:r>
    </w:p>
    <w:p>
      <w:pPr>
        <w:pStyle w:val="ListBullet"/>
      </w:pPr>
      <w:r>
        <w:t>Quando o nome já existir, a IA deve preservar unicidade sem sobrescrever de forma silenciosa.</w:t>
      </w:r>
    </w:p>
    <w:p>
      <w:pPr>
        <w:pStyle w:val="ListBullet"/>
      </w:pPr>
      <w:r>
        <w:t>O destino SharePoint atual deve ser interpretado como pasta local sincronizada ou caminho de rede, não como API web já pronta.</w:t>
      </w:r>
    </w:p>
    <w:p>
      <w:pPr>
        <w:pStyle w:val="ListBullet"/>
      </w:pPr>
      <w:r>
        <w:t>Se houver caminho local válido, o arquivo final deve ser copiado para uma pasta Automação CAP dentro do destino configurado ou para o próprio destino quando esse nome já existir.</w:t>
      </w:r>
    </w:p>
    <w:p>
      <w:pPr>
        <w:pStyle w:val="Heading1"/>
      </w:pPr>
      <w:r>
        <w:t>13. Tabelas e entidades que a IA deve conhecer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7"/>
        <w:gridCol w:w="3347"/>
        <w:gridCol w:w="3347"/>
      </w:tblGrid>
      <w:tr>
        <w:tc>
          <w:tcPr>
            <w:tcW w:type="dxa" w:w="3347"/>
          </w:tcPr>
          <w:p>
            <w:r>
              <w:t>Tabela/Entidade</w:t>
            </w:r>
          </w:p>
        </w:tc>
        <w:tc>
          <w:tcPr>
            <w:tcW w:type="dxa" w:w="3347"/>
          </w:tcPr>
          <w:p>
            <w:r>
              <w:t>Papel no aplicativo</w:t>
            </w:r>
          </w:p>
        </w:tc>
        <w:tc>
          <w:tcPr>
            <w:tcW w:type="dxa" w:w="3347"/>
          </w:tcPr>
          <w:p>
            <w:r>
              <w:t>Como a IA deve interpretar</w:t>
            </w:r>
          </w:p>
        </w:tc>
      </w:tr>
      <w:tr>
        <w:tc>
          <w:tcPr>
            <w:tcW w:type="dxa" w:w="3347"/>
          </w:tcPr>
          <w:p>
            <w:r>
              <w:t>CapRecursoRelatorio</w:t>
            </w:r>
          </w:p>
        </w:tc>
        <w:tc>
          <w:tcPr>
            <w:tcW w:type="dxa" w:w="3347"/>
          </w:tcPr>
          <w:p>
            <w:r>
              <w:t>Catálogo principal de relatórios</w:t>
            </w:r>
          </w:p>
        </w:tc>
        <w:tc>
          <w:tcPr>
            <w:tcW w:type="dxa" w:w="3347"/>
          </w:tcPr>
          <w:p>
            <w:r>
              <w:t>Fonte de nome, URL, status ativo e identidade do relatório.</w:t>
            </w:r>
          </w:p>
        </w:tc>
      </w:tr>
      <w:tr>
        <w:tc>
          <w:tcPr>
            <w:tcW w:type="dxa" w:w="3347"/>
          </w:tcPr>
          <w:p>
            <w:r>
              <w:t>CapRecursoFiltro</w:t>
            </w:r>
          </w:p>
        </w:tc>
        <w:tc>
          <w:tcPr>
            <w:tcW w:type="dxa" w:w="3347"/>
          </w:tcPr>
          <w:p>
            <w:r>
              <w:t>Cadastro de filtros por relatório</w:t>
            </w:r>
          </w:p>
        </w:tc>
        <w:tc>
          <w:tcPr>
            <w:tcW w:type="dxa" w:w="3347"/>
          </w:tcPr>
          <w:p>
            <w:r>
              <w:t>Fonte de metadados que controlam tipo, ação, iframe e identificador do campo.</w:t>
            </w:r>
          </w:p>
        </w:tc>
      </w:tr>
      <w:tr>
        <w:tc>
          <w:tcPr>
            <w:tcW w:type="dxa" w:w="3347"/>
          </w:tcPr>
          <w:p>
            <w:r>
              <w:t>Relações de operação x relatório</w:t>
            </w:r>
          </w:p>
        </w:tc>
        <w:tc>
          <w:tcPr>
            <w:tcW w:type="dxa" w:w="3347"/>
          </w:tcPr>
          <w:p>
            <w:r>
              <w:t>Agrupamento para execução em sequência</w:t>
            </w:r>
          </w:p>
        </w:tc>
        <w:tc>
          <w:tcPr>
            <w:tcW w:type="dxa" w:w="3347"/>
          </w:tcPr>
          <w:p>
            <w:r>
              <w:t>Permite montar operações compostas com filtros já vinculados.</w:t>
            </w:r>
          </w:p>
        </w:tc>
      </w:tr>
      <w:tr>
        <w:tc>
          <w:tcPr>
            <w:tcW w:type="dxa" w:w="3347"/>
          </w:tcPr>
          <w:p>
            <w:r>
              <w:t>Logs de execução</w:t>
            </w:r>
          </w:p>
        </w:tc>
        <w:tc>
          <w:tcPr>
            <w:tcW w:type="dxa" w:w="3347"/>
          </w:tcPr>
          <w:p>
            <w:r>
              <w:t>Rastreabilidade operacional</w:t>
            </w:r>
          </w:p>
        </w:tc>
        <w:tc>
          <w:tcPr>
            <w:tcW w:type="dxa" w:w="3347"/>
          </w:tcPr>
          <w:p>
            <w:r>
              <w:t>Devem registrar relatório, operação, status, usuário e resumo dos filtros.</w:t>
            </w:r>
          </w:p>
        </w:tc>
      </w:tr>
      <w:tr>
        <w:tc>
          <w:tcPr>
            <w:tcW w:type="dxa" w:w="3347"/>
          </w:tcPr>
          <w:p>
            <w:r>
              <w:t>Configuração local</w:t>
            </w:r>
          </w:p>
        </w:tc>
        <w:tc>
          <w:tcPr>
            <w:tcW w:type="dxa" w:w="3347"/>
          </w:tcPr>
          <w:p>
            <w:r>
              <w:t>Credenciais e parâmetros sensíveis por máquina/usuário</w:t>
            </w:r>
          </w:p>
        </w:tc>
        <w:tc>
          <w:tcPr>
            <w:tcW w:type="dxa" w:w="3347"/>
          </w:tcPr>
          <w:p>
            <w:r>
              <w:t>Não deve ser tratada como arquivo compartilhável universal, principalmente quando houver proteção local.</w:t>
            </w:r>
          </w:p>
        </w:tc>
      </w:tr>
    </w:tbl>
    <w:p>
      <w:pPr>
        <w:pStyle w:val="Heading1"/>
      </w:pPr>
      <w:r>
        <w:t>14. Estrutura mental correta para a IA</w:t>
      </w:r>
    </w:p>
    <w:p>
      <w:pPr>
        <w:pStyle w:val="ListNumber"/>
      </w:pPr>
      <w:r>
        <w:t>Camada 1: interface do usuário para escolher operação, relatório, credenciais e destino.</w:t>
      </w:r>
    </w:p>
    <w:p>
      <w:pPr>
        <w:pStyle w:val="ListNumber"/>
      </w:pPr>
      <w:r>
        <w:t>Camada 2: backend que valida filtros, monta payloads e registra logs.</w:t>
      </w:r>
    </w:p>
    <w:p>
      <w:pPr>
        <w:pStyle w:val="ListNumber"/>
      </w:pPr>
      <w:r>
        <w:t>Camada 3: cadastro em banco que define comportamento dinâmico dos relatórios.</w:t>
      </w:r>
    </w:p>
    <w:p>
      <w:pPr>
        <w:pStyle w:val="ListNumber"/>
      </w:pPr>
      <w:r>
        <w:t>Camada 4: automação de navegador responsável por login, navegação, execução e download.</w:t>
      </w:r>
    </w:p>
    <w:p>
      <w:pPr>
        <w:pStyle w:val="ListNumber"/>
      </w:pPr>
      <w:r>
        <w:t>Camada 5: módulos dedicados que resolvem particularidades de cada tela do Sienge.</w:t>
      </w:r>
    </w:p>
    <w:p>
      <w:pPr>
        <w:pStyle w:val="Heading1"/>
      </w:pPr>
      <w:r>
        <w:t>15. O que a IA não deve perder de vista</w:t>
      </w:r>
    </w:p>
    <w:p>
      <w:pPr>
        <w:pStyle w:val="ListBullet"/>
      </w:pPr>
      <w:r>
        <w:t>O coração do sistema é a combinação entre cadastro em banco e executor dedicado.</w:t>
      </w:r>
    </w:p>
    <w:p>
      <w:pPr>
        <w:pStyle w:val="ListBullet"/>
      </w:pPr>
      <w:r>
        <w:t>O login é frágil por natureza e precisa de tolerância a variações do SSO Microsoft.</w:t>
      </w:r>
    </w:p>
    <w:p>
      <w:pPr>
        <w:pStyle w:val="ListBullet"/>
      </w:pPr>
      <w:r>
        <w:t>Tabela, filtro, iframe e ação não são detalhes; são parte do desenho do produto.</w:t>
      </w:r>
    </w:p>
    <w:p>
      <w:pPr>
        <w:pStyle w:val="ListBullet"/>
      </w:pPr>
      <w:r>
        <w:t>Relatórios diferentes pedem estratégias diferentes de automação, exportação e validação.</w:t>
      </w:r>
    </w:p>
    <w:p>
      <w:pPr>
        <w:pStyle w:val="ListBullet"/>
      </w:pPr>
      <w:r>
        <w:t>Downloads e cópia final fazem parte do escopo funcional e não são etapas secundárias.</w:t>
      </w:r>
    </w:p>
    <w:p>
      <w:pPr>
        <w:pStyle w:val="Heading1"/>
      </w:pPr>
      <w:r>
        <w:t>16. Modelo de super prompt para reutilização</w:t>
      </w:r>
    </w:p>
    <w:p>
      <w:r>
        <w:rPr>
          <w:b/>
        </w:rPr>
        <w:t>Use o texto abaixo como base editável para orientar outra IA:</w:t>
      </w:r>
    </w:p>
    <w:p>
      <w:pPr>
        <w:pStyle w:val="ListBullet"/>
        <w:ind w:left="360"/>
      </w:pPr>
      <w:r>
        <w:t>Você está continuando a evolução do AppCaptação, um aplicativo desktop em Python para automação de relatórios no Sienge.</w:t>
      </w:r>
    </w:p>
    <w:p>
      <w:pPr>
        <w:pStyle w:val="ListBullet"/>
        <w:ind w:left="360"/>
      </w:pPr>
      <w:r>
        <w:t>Seu objetivo é preservar o comportamento já existente antes de propor mudanças.</w:t>
      </w:r>
    </w:p>
    <w:p>
      <w:pPr>
        <w:pStyle w:val="ListBullet"/>
        <w:ind w:left="360"/>
      </w:pPr>
      <w:r>
        <w:t>Considere que a solução depende de cadastro em banco para relatórios e filtros, possui autenticação híbrida Sienge ID + Microsoft, usa navegador controlado para navegar no ERP e possui módulos dedicados por relatório.</w:t>
      </w:r>
    </w:p>
    <w:p>
      <w:pPr>
        <w:pStyle w:val="ListBullet"/>
        <w:ind w:left="360"/>
      </w:pPr>
      <w:r>
        <w:t>Ao analisar qualquer demanda, siga esta ordem: entender o relatório ou operação, recuperar filtros cadastrados, validar sessão de login, identificar executor dedicado, executar a navegação e somente então tratar download, renomeação e destino final.</w:t>
      </w:r>
    </w:p>
    <w:p>
      <w:pPr>
        <w:pStyle w:val="ListBullet"/>
        <w:ind w:left="360"/>
      </w:pPr>
      <w:r>
        <w:t>Nunca trate o fluxo como genérico. Respeite nome do relatório, URL, ID, filtro, ação, iframe e identificador técnico de campo.</w:t>
      </w:r>
    </w:p>
    <w:p>
      <w:pPr>
        <w:pStyle w:val="ListBullet"/>
        <w:ind w:left="360"/>
      </w:pPr>
      <w:r>
        <w:t>Na autenticação, tolere variações entre campos de e-mail, senha, MFA e confirmação de permanência conectado. Considere login concluído apenas quando a sessão estiver ativa no domínio do Sienge.</w:t>
      </w:r>
    </w:p>
    <w:p>
      <w:pPr>
        <w:pStyle w:val="ListBullet"/>
        <w:ind w:left="360"/>
      </w:pPr>
      <w:r>
        <w:t>Na execução dos relatórios, assuma que empresa, empreendimento, centro de custo, datas e botões automáticos podem variar por executor.</w:t>
      </w:r>
    </w:p>
    <w:p>
      <w:pPr>
        <w:pStyle w:val="ListBullet"/>
        <w:ind w:left="360"/>
      </w:pPr>
      <w:r>
        <w:t>Na saída, preserve rastreabilidade, estabilidade de download, padrão de nomenclatura de arquivo e cópia para o destino configurado.</w:t>
      </w:r>
    </w:p>
    <w:p>
      <w:pPr>
        <w:pStyle w:val="Heading1"/>
      </w:pPr>
      <w:r>
        <w:t>17. Critérios de aceitação do roteiro</w:t>
      </w:r>
    </w:p>
    <w:p>
      <w:pPr>
        <w:pStyle w:val="ListBullet"/>
      </w:pPr>
      <w:r>
        <w:t>Uma pessoa ou IA nova deve conseguir entender o que o aplicativo faz sem ler o código inteiro.</w:t>
      </w:r>
    </w:p>
    <w:p>
      <w:pPr>
        <w:pStyle w:val="ListBullet"/>
      </w:pPr>
      <w:r>
        <w:t>O documento deve deixar claro que login, relatórios, filtros, tabelas e downloads fazem parte de um mesmo fluxo de produto.</w:t>
      </w:r>
    </w:p>
    <w:p>
      <w:pPr>
        <w:pStyle w:val="ListBullet"/>
      </w:pPr>
      <w:r>
        <w:t>As regras críticas de autenticação no Sienge devem estar explícitas.</w:t>
      </w:r>
    </w:p>
    <w:p>
      <w:pPr>
        <w:pStyle w:val="ListBullet"/>
      </w:pPr>
      <w:r>
        <w:t>As entidades de banco e sua função no comportamento da automação devem estar visíveis.</w:t>
      </w:r>
    </w:p>
    <w:p>
      <w:pPr>
        <w:pStyle w:val="ListBullet"/>
      </w:pPr>
      <w:r>
        <w:t>O texto deve ser editável e servir como base para futuras versões do super prompt.</w:t>
      </w:r>
    </w:p>
    <w:p>
      <w:pPr>
        <w:pStyle w:val="Heading1"/>
      </w:pPr>
      <w:r>
        <w:t>18. Fechamento</w:t>
      </w:r>
    </w:p>
    <w:p>
      <w:r>
        <w:rPr>
          <w:b/>
        </w:rPr>
        <w:t xml:space="preserve">Resumo executivo: </w:t>
      </w:r>
      <w:r>
        <w:t>o AppCaptação já não é apenas uma automação de login e clique. Ele funciona hoje como uma plataforma parametrizada para execução de relatórios no Sienge, combinando autenticação adaptativa, catálogo de relatórios em banco, filtros dinâmicos, executores dedicados, controle de downloads e organização do resultado final.</w:t>
      </w:r>
    </w:p>
    <w:p>
      <w:r>
        <w:rPr>
          <w:b/>
        </w:rPr>
        <w:t xml:space="preserve">Uso recomendado deste documento: </w:t>
      </w:r>
      <w:r>
        <w:t>editar, complementar e reaproveitar como briefing técnico, prompt mestre, documentação funcional ou material de transição entre pessoas e IAs.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