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16FC" w14:textId="0D9D36E2" w:rsidR="009A727A" w:rsidRDefault="009A727A" w:rsidP="009A727A">
      <w:pPr>
        <w:rPr>
          <w:rtl/>
        </w:rPr>
      </w:pPr>
      <w:r>
        <w:rPr>
          <w:rFonts w:hint="cs"/>
          <w:rtl/>
        </w:rPr>
        <w:t>מתוך מייל ב-03.09.20:</w:t>
      </w:r>
    </w:p>
    <w:p w14:paraId="54010F6D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אני מעלה פה את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הגירסא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שתיקנתי, קודם כל אדגיש שאת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הגירסא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הזו קיבלתי מעמית, ואני לא לגמרי בטוח שהיא מקבילה למה שיש לכולם (ככה שייתכן שהבאגים שהיו לי לא נמצאים בגרסאות שיש לכם)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47B9A8BB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בגירסא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הזו ישנם שלושה שלבים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388AE97F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זריקה אוטומטית של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עם מעל 10%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אאוטיליירס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(המוגדרים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כפריימים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הנמצאים מעל 2.5 ס"ת)</w:t>
      </w:r>
    </w:p>
    <w:p w14:paraId="442C85A1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מעבר על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אחד אחד: בהתחלה מחושב סכום הסטיות של ההפרשים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למעשה שורש הסטיות הריבועיות של ההפרשים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- RMSD  root mean squares of differences ),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כאשר ה10%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מהטריאלים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 בעלי ערך ה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RMSD 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הגבוה נבחנים תחילה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B0F38D1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בשלב האחרון אפשר לעבור על שאר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1203A722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12F8AE9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תיקונים שעשיתי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7F0D208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הדבר המרכזי שהיה בעייתי הוא ערבוב בין החציון והממוצע: תחילה חושבה סטיית התקן בדרך הרגילה ולאחר מכן נבנה סביב החציון גבול של 2.5 ס"ת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CB63806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בעוד שבגרף עצמו מוצג הממוצע הכללי (ככה שהקווים המייצגים את סטיית התקן כלל אינם נבנים סביב הממוצע המוצג, אלא סביב החציון)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35902415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לכן הגדרתי גם את הגבולות של סטיות התקן על סמך הממוצע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5C514AA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בנוסף, הוספתי את מדד ה</w:t>
      </w:r>
      <w:proofErr w:type="gramStart"/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MAD 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שאמור</w:t>
      </w:r>
      <w:proofErr w:type="gram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להיות מתאים יותר לבחינה של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קיצוניים (שכן הוא איננו מושפע מהמקרים הקיצוניים עצמם)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MAD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הוא מעין סטיית תקן המחושבת על סמך החציון, הוא למעשה חציון המרחקים מהחציון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). </w:t>
      </w:r>
    </w:p>
    <w:p w14:paraId="24B6B233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במקום אחד הגבול שמגדיר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אאוטליירס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הוגדר כ2.5 ס"ת ובמקום אחר 2 סטיות תקן (כך שייצא שלעיתים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הטריאלים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שלא עברו את הסינון הראשוני הכילו יותר מ10 אחוז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אאוטליירס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)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.   </w:t>
      </w:r>
    </w:p>
    <w:p w14:paraId="0FDF0C7F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A727A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מעבר לכך הוספתי </w:t>
      </w:r>
      <w:proofErr w:type="spellStart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אופצייה</w:t>
      </w:r>
      <w:proofErr w:type="spellEnd"/>
      <w:r w:rsidRPr="009A727A">
        <w:rPr>
          <w:rFonts w:ascii="Arial" w:eastAsia="Times New Roman" w:hAnsi="Arial" w:cs="Arial"/>
          <w:color w:val="222222"/>
          <w:sz w:val="24"/>
          <w:szCs w:val="24"/>
          <w:rtl/>
        </w:rPr>
        <w:t> להזין כמה תנאים כ</w:t>
      </w:r>
      <w:r w:rsidRPr="009A727A">
        <w:rPr>
          <w:rFonts w:ascii="Arial" w:eastAsia="Times New Roman" w:hAnsi="Arial" w:cs="Arial"/>
          <w:color w:val="222222"/>
          <w:sz w:val="24"/>
          <w:szCs w:val="24"/>
        </w:rPr>
        <w:t>- blank. </w:t>
      </w:r>
    </w:p>
    <w:p w14:paraId="7AEF1FED" w14:textId="77777777" w:rsidR="009A727A" w:rsidRPr="009A727A" w:rsidRDefault="009A727A" w:rsidP="009A727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34F33EC" w14:textId="77777777" w:rsidR="009A727A" w:rsidRPr="009A727A" w:rsidRDefault="009A727A" w:rsidP="009A727A">
      <w:pPr>
        <w:rPr>
          <w:rFonts w:hint="cs"/>
        </w:rPr>
      </w:pPr>
    </w:p>
    <w:sectPr w:rsidR="009A727A" w:rsidRPr="009A727A" w:rsidSect="00E039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F"/>
    <w:rsid w:val="00444536"/>
    <w:rsid w:val="005E6D2F"/>
    <w:rsid w:val="009A727A"/>
    <w:rsid w:val="00E0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E185"/>
  <w15:chartTrackingRefBased/>
  <w15:docId w15:val="{95C1EC0F-3D3F-4180-9FE4-148F73F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yaluden@gmail.com</dc:creator>
  <cp:keywords/>
  <dc:description/>
  <cp:lastModifiedBy>yaluden@gmail.com</cp:lastModifiedBy>
  <cp:revision>2</cp:revision>
  <dcterms:created xsi:type="dcterms:W3CDTF">2020-09-06T08:24:00Z</dcterms:created>
  <dcterms:modified xsi:type="dcterms:W3CDTF">2020-09-06T08:24:00Z</dcterms:modified>
</cp:coreProperties>
</file>