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color w:val="C00000"/>
          <w:sz w:val="19"/>
          <w:szCs w:val="19"/>
          <w:rtl/>
        </w:rPr>
        <w:t xml:space="preserve">מסמך פנימי – לא להגשה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b/>
          <w:bCs/>
          <w:sz w:val="28"/>
          <w:szCs w:val="28"/>
          <w:rtl/>
        </w:rPr>
        <w:t xml:space="preserve">מכרז כפר ברא 17/2026 – שאלות למחלקת טלפוניה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המכרז: מכרז מסגרת 17/2026 של המועצה המקומית כפר ברא – שירותי IT מנוהלים, שרתים מאוחסנים, Microsoft 365, אבטחת מידע, קווי מטרו IPVPN ומרכזיית IP בענן, ל-3 שנים + 2 שנות אופציה. הגשה: 28.10.2026 בשעה 13:00.</w:t>
      </w:r>
    </w:p>
    <w:p>
      <w:pPr>
        <w:bidi/>
        <w:spacing w:after="8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מועד תשובה: 23.10.2026.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b w:val="false"/>
          <w:bCs w:val="false"/>
          <w:sz w:val="19"/>
          <w:szCs w:val="19"/>
          <w:rtl/>
        </w:rPr>
        <w:t xml:space="preserve">עמודת "לאן נכנסת התשובה" מפנה לגיליונות ולתאים במודל הכלכלי (מודל_כלכלי_מכרז_17-2026_כפר_ברא.xlsx) או לשאלות ההבהרה למועצה. נא למלא תשובה ליד כל שאלה ולהחזיר לצוות המכרז.</w:t>
      </w:r>
    </w:p>
    <w:tbl>
      <w:tblPr>
        <w:bidiVisual/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200"/>
        <w:gridCol w:w="1700"/>
        <w:gridCol w:w="2500"/>
        <w:gridCol w:w="2338"/>
        <w:gridCol w:w="1300"/>
        <w:gridCol w:w="1200"/>
      </w:tblGrid>
      <w:tr>
        <w:trPr>
          <w:tblHeader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מס'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שאלה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עמוד / סעיף במכרז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למה זה חשוב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לאן נכנסת התשובה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אחראי</w:t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1F4E79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תשובה עד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האם IP Centrex של HOT עונה על רכיב 8 (35 שלוחות, IVR, הקלטה, אפליקציה, 10,000 דקות) – ומה העלות החודשית?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מחיר מרבי 2,000 ₪. הטופס מציין 3cx.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(F11); שאלת הבהרה 37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מה תמהיל הדקות הצפוי (נייח/סלולר) ועלות הדקה?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41, רכיב 8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10,000 דקות כלולות.</w:t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(F11)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ניוד מספרים מהספק הקיים – כמה מספרים, זמן ועלות?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11, סעיף 6.ו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ההקמה ("הנחות" B7)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5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עלות טלפון IP מתקדם לשכירות (מחיר מרבי 30 ₪ לחודש)?</w:t>
            </w:r>
          </w:p>
        </w:tc>
        <w:tc>
          <w:tcPr>
            <w:tcW w:type="dxa" w:w="1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עמ' 42, רכיב 12</w:t>
            </w:r>
          </w:p>
        </w:tc>
        <w:tc>
          <w:tcPr>
            <w:tcW w:type="dxa" w:w="2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גיליון "רכיבי בסיס" (F15)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12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bidi/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23.10.2026</w:t>
            </w:r>
          </w:p>
        </w:tc>
      </w:tr>
    </w:tbl>
    <w:sectPr>
      <w:footerReference w:type="default" r:id="rId7"/>
      <w:pgSz w:w="16838" w:h="11906" w:orient="landscape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sz w:val="16"/>
        <w:szCs w:val="16"/>
        <w:rtl/>
      </w:rPr>
      <w:t xml:space="preserve">פנימי – לא להגשה | עמוד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  <w:rtl/>
      </w:rPr>
      <w:t xml:space="preserve"> מתוך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2026-10-14T19:32:09.753Z</dcterms:created>
  <dcterms:modified xsi:type="dcterms:W3CDTF">2026-10-14T19:32:09.753Z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