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bidi/>
        <w:spacing w:after="40"/>
        <w:jc w:val="center"/>
      </w:pPr>
      <w:r>
        <w:rPr>
          <w:rFonts w:ascii="Arial" w:cs="Arial" w:eastAsia="Arial" w:hAnsi="Arial"/>
          <w:b/>
          <w:bCs/>
          <w:color w:val="C00000"/>
          <w:sz w:val="19"/>
          <w:szCs w:val="19"/>
          <w:rtl/>
        </w:rPr>
        <w:t xml:space="preserve">מסמך פנימי – לא להגשה</w:t>
      </w:r>
    </w:p>
    <w:p>
      <w:pPr>
        <w:bidi/>
        <w:spacing w:after="80"/>
        <w:jc w:val="center"/>
      </w:pPr>
      <w:r>
        <w:rPr>
          <w:rFonts w:ascii="Arial" w:cs="Arial" w:eastAsia="Arial" w:hAnsi="Arial"/>
          <w:b/>
          <w:bCs/>
          <w:sz w:val="28"/>
          <w:szCs w:val="28"/>
          <w:rtl/>
        </w:rPr>
        <w:t xml:space="preserve">מכרז כפר ברא 17/2026 – שאלות למחלקת ניהול מכרזים ומנהלה</w:t>
      </w:r>
    </w:p>
    <w:p>
      <w:pPr>
        <w:bidi/>
        <w:spacing w:after="80"/>
        <w:jc w:val="right"/>
      </w:pPr>
      <w:r>
        <w:rPr>
          <w:rFonts w:ascii="Arial" w:cs="Arial" w:eastAsia="Arial" w:hAnsi="Arial"/>
          <w:b w:val="false"/>
          <w:bCs w:val="false"/>
          <w:sz w:val="19"/>
          <w:szCs w:val="19"/>
          <w:rtl/>
        </w:rPr>
        <w:t xml:space="preserve">המכרז: מכרז מסגרת 17/2026 של המועצה המקומית כפר ברא – שירותי IT מנוהלים, שרתים מאוחסנים, Microsoft 365, אבטחת מידע, קווי מטרו IPVPN ומרכזיית IP בענן, ל-3 שנים + 2 שנות אופציה. הגשה: 28.10.2026 בשעה 13:00.</w:t>
      </w:r>
    </w:p>
    <w:p>
      <w:pPr>
        <w:bidi/>
        <w:spacing w:after="80"/>
        <w:jc w:val="right"/>
      </w:pPr>
      <w:r>
        <w:rPr>
          <w:rFonts w:ascii="Arial" w:cs="Arial" w:eastAsia="Arial" w:hAnsi="Arial"/>
          <w:b w:val="false"/>
          <w:bCs w:val="false"/>
          <w:sz w:val="19"/>
          <w:szCs w:val="19"/>
          <w:rtl/>
        </w:rPr>
        <w:t xml:space="preserve">מועד תשובה: 16.10.2026.</w:t>
      </w:r>
    </w:p>
    <w:p>
      <w:pPr>
        <w:bidi/>
        <w:spacing w:after="160"/>
        <w:jc w:val="right"/>
      </w:pPr>
      <w:r>
        <w:rPr>
          <w:rFonts w:ascii="Arial" w:cs="Arial" w:eastAsia="Arial" w:hAnsi="Arial"/>
          <w:b w:val="false"/>
          <w:bCs w:val="false"/>
          <w:sz w:val="19"/>
          <w:szCs w:val="19"/>
          <w:rtl/>
        </w:rPr>
        <w:t xml:space="preserve">עמודת "לאן נכנסת התשובה" מפנה לגיליונות ולתאים במודל הכלכלי (מודל_כלכלי_מכרז_17-2026_כפר_ברא.xlsx) או לשאלות ההבהרה למועצה. נא למלא תשובה ליד כל שאלה ולהחזיר לצוות המכרז.</w:t>
      </w:r>
    </w:p>
    <w:tbl>
      <w:tblPr>
        <w:bidiVisual/>
        <w:tblW w:type="dxa" w:w="148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5200"/>
        <w:gridCol w:w="1700"/>
        <w:gridCol w:w="2500"/>
        <w:gridCol w:w="2338"/>
        <w:gridCol w:w="1300"/>
        <w:gridCol w:w="1200"/>
      </w:tblGrid>
      <w:tr>
        <w:trPr>
          <w:tblHeader/>
        </w:trPr>
        <w:tc>
          <w:tcPr>
            <w:tcW w:type="dxa" w:w="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1F4E79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מס'</w:t>
            </w:r>
          </w:p>
        </w:tc>
        <w:tc>
          <w:tcPr>
            <w:tcW w:type="dxa" w:w="5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1F4E79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שאלה</w:t>
            </w:r>
          </w:p>
        </w:tc>
        <w:tc>
          <w:tcPr>
            <w:tcW w:type="dxa" w:w="1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1F4E79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עמוד / סעיף במכרז</w:t>
            </w:r>
          </w:p>
        </w:tc>
        <w:tc>
          <w:tcPr>
            <w:tcW w:type="dxa" w:w="2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1F4E79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למה זה חשוב</w:t>
            </w:r>
          </w:p>
        </w:tc>
        <w:tc>
          <w:tcPr>
            <w:tcW w:type="dxa" w:w="23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1F4E79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לאן נכנסת התשובה</w:t>
            </w:r>
          </w:p>
        </w:tc>
        <w:tc>
          <w:tcPr>
            <w:tcW w:type="dxa" w:w="1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1F4E79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אחראי</w:t>
            </w:r>
          </w:p>
        </w:tc>
        <w:tc>
          <w:tcPr>
            <w:tcW w:type="dxa" w:w="1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1F4E79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תשובה עד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1</w:t>
            </w:r>
          </w:p>
        </w:tc>
        <w:tc>
          <w:tcPr>
            <w:tcW w:type="dxa" w:w="5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מי שולח את שאלות ההבהרה עד 19.10 לשתי כתובות הדוא"ל, ומי עוקב אחרי התשובות (21.10)?</w:t>
            </w:r>
          </w:p>
        </w:tc>
        <w:tc>
          <w:tcPr>
            <w:tcW w:type="dxa" w:w="1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עמ' 2, 10</w:t>
            </w:r>
          </w:p>
        </w:tc>
        <w:tc>
          <w:tcPr>
            <w:tcW w:type="dxa" w:w="2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התשובות נחתמות ומצורפות להצעה.</w:t>
            </w:r>
          </w:p>
        </w:tc>
        <w:tc>
          <w:tcPr>
            <w:tcW w:type="dxa" w:w="23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לוח זמנים</w:t>
            </w:r>
          </w:p>
        </w:tc>
        <w:tc>
          <w:tcPr>
            <w:tcW w:type="dxa" w:w="1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/>
            </w:r>
          </w:p>
        </w:tc>
        <w:tc>
          <w:tcPr>
            <w:tcW w:type="dxa" w:w="1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16.10.2026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2</w:t>
            </w:r>
          </w:p>
        </w:tc>
        <w:tc>
          <w:tcPr>
            <w:tcW w:type="dxa" w:w="5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הכנת עותק נייר בכריכה קשה + CD/DOK, חתימה על כל עמוד, ומסירה ידנית ב-28.10 עד 13:00.</w:t>
            </w:r>
          </w:p>
        </w:tc>
        <w:tc>
          <w:tcPr>
            <w:tcW w:type="dxa" w:w="1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עמ' 6, סעיף 2.3</w:t>
            </w:r>
          </w:p>
        </w:tc>
        <w:tc>
          <w:tcPr>
            <w:tcW w:type="dxa" w:w="2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פגם בהגשה = פסילה.</w:t>
            </w:r>
          </w:p>
        </w:tc>
        <w:tc>
          <w:tcPr>
            <w:tcW w:type="dxa" w:w="23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לוח זמנים</w:t>
            </w:r>
          </w:p>
        </w:tc>
        <w:tc>
          <w:tcPr>
            <w:tcW w:type="dxa" w:w="1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/>
            </w:r>
          </w:p>
        </w:tc>
        <w:tc>
          <w:tcPr>
            <w:tcW w:type="dxa" w:w="1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16.10.2026</w:t>
            </w:r>
          </w:p>
        </w:tc>
      </w:tr>
    </w:tbl>
    <w:sectPr>
      <w:footerReference w:type="default" r:id="rId7"/>
      <w:pgSz w:w="16838" w:h="11906" w:orient="landscape"/>
      <w:pgMar w:top="800" w:right="1000" w:bottom="8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bidi/>
      <w:jc w:val="center"/>
    </w:pPr>
    <w:r>
      <w:rPr>
        <w:rFonts w:ascii="Arial" w:cs="Arial" w:eastAsia="Arial" w:hAnsi="Arial"/>
        <w:sz w:val="16"/>
        <w:szCs w:val="16"/>
        <w:rtl/>
      </w:rPr>
      <w:t xml:space="preserve">פנימי – לא להגשה | עמוד </w:t>
    </w:r>
    <w:r>
      <w:rPr>
        <w:rFonts w:ascii="Arial" w:cs="Arial" w:eastAsia="Arial" w:hAnsi="Arial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sz w:val="16"/>
        <w:szCs w:val="16"/>
        <w:rtl/>
      </w:rPr>
      <w:t xml:space="preserve"> מתוך </w:t>
    </w:r>
    <w:r>
      <w:rPr>
        <w:rFonts w:ascii="Arial" w:cs="Arial" w:eastAsia="Arial" w:hAnsi="Arial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19"/>
        <w:szCs w:val="19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2026-10-14T19:58:46.004Z</dcterms:created>
  <dcterms:modified xsi:type="dcterms:W3CDTF">2026-10-14T19:58:46.004Z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