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right"/>
      </w:pPr>
      <w:r>
        <w:rPr>
          <w:rFonts w:ascii="Arial" w:cs="Arial" w:eastAsia="Arial" w:hAnsi="Arial"/>
          <w:b w:val="false"/>
          <w:bCs w:val="false"/>
          <w:sz w:val="22"/>
          <w:szCs w:val="22"/>
          <w:rtl/>
        </w:rPr>
        <w:t xml:space="preserve">לכבוד: עיריית אופקים</w:t>
      </w:r>
    </w:p>
    <w:p>
      <w:pPr>
        <w:bidi/>
        <w:spacing w:after="80"/>
        <w:jc w:val="center"/>
      </w:pPr>
      <w:r>
        <w:rPr>
          <w:rFonts w:ascii="Arial" w:cs="Arial" w:eastAsia="Arial" w:hAnsi="Arial"/>
          <w:b/>
          <w:bCs/>
          <w:sz w:val="26"/>
          <w:szCs w:val="26"/>
          <w:rtl/>
        </w:rPr>
        <w:t xml:space="preserve">מכרז פומבי מס' 11/2026 – לאספקה, הקמה ותחזוקה של מרכזיית טלפוניה עבור עיריית אופקים</w:t>
      </w:r>
    </w:p>
    <w:p>
      <w:pPr>
        <w:bidi/>
        <w:spacing w:after="160"/>
        <w:jc w:val="center"/>
      </w:pPr>
      <w:r>
        <w:rPr>
          <w:rFonts w:ascii="Arial" w:cs="Arial" w:eastAsia="Arial" w:hAnsi="Arial"/>
          <w:b/>
          <w:bCs/>
          <w:sz w:val="26"/>
          <w:szCs w:val="26"/>
          <w:rtl/>
        </w:rPr>
        <w:t xml:space="preserve">שאלות הבהרה</w:t>
      </w:r>
    </w:p>
    <w:p>
      <w:pPr>
        <w:bidi/>
        <w:spacing w:after="200"/>
        <w:jc w:val="right"/>
      </w:pPr>
      <w:r>
        <w:rPr>
          <w:rFonts w:ascii="Arial" w:cs="Arial" w:eastAsia="Arial" w:hAnsi="Arial"/>
          <w:b w:val="false"/>
          <w:bCs w:val="false"/>
          <w:sz w:val="20"/>
          <w:szCs w:val="20"/>
          <w:rtl/>
        </w:rPr>
        <w:t xml:space="preserve">שם המשתתף: ______________________    איש קשר: ______________________    טלפון: ______________    דוא"ל: ______________________</w:t>
      </w:r>
    </w:p>
    <w:tbl>
      <w:tblPr>
        <w:bidiVisual/>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2400"/>
        <w:gridCol w:w="1900"/>
        <w:gridCol w:w="9038"/>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bidi/>
              <w:spacing w:after="60"/>
              <w:jc w:val="center"/>
            </w:pPr>
            <w:r>
              <w:rPr>
                <w:rFonts w:ascii="Arial" w:cs="Arial" w:eastAsia="Arial" w:hAnsi="Arial"/>
                <w:b/>
                <w:bCs/>
                <w:sz w:val="20"/>
                <w:szCs w:val="20"/>
                <w:rtl/>
              </w:rPr>
              <w:t xml:space="preserve">מס"ד</w:t>
            </w:r>
          </w:p>
        </w:tc>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bidi/>
              <w:spacing w:after="60"/>
              <w:jc w:val="center"/>
            </w:pPr>
            <w:r>
              <w:rPr>
                <w:rFonts w:ascii="Arial" w:cs="Arial" w:eastAsia="Arial" w:hAnsi="Arial"/>
                <w:b/>
                <w:bCs/>
                <w:sz w:val="20"/>
                <w:szCs w:val="20"/>
                <w:rtl/>
              </w:rPr>
              <w:t xml:space="preserve">עמוד</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bidi/>
              <w:spacing w:after="60"/>
              <w:jc w:val="center"/>
            </w:pPr>
            <w:r>
              <w:rPr>
                <w:rFonts w:ascii="Arial" w:cs="Arial" w:eastAsia="Arial" w:hAnsi="Arial"/>
                <w:b/>
                <w:bCs/>
                <w:sz w:val="20"/>
                <w:szCs w:val="20"/>
                <w:rtl/>
              </w:rPr>
              <w:t xml:space="preserve">המסמך או הנספח אליו מתייחסת ההבהרה</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bidi/>
              <w:spacing w:after="60"/>
              <w:jc w:val="center"/>
            </w:pPr>
            <w:r>
              <w:rPr>
                <w:rFonts w:ascii="Arial" w:cs="Arial" w:eastAsia="Arial" w:hAnsi="Arial"/>
                <w:b/>
                <w:bCs/>
                <w:sz w:val="20"/>
                <w:szCs w:val="20"/>
                <w:rtl/>
              </w:rPr>
              <w:t xml:space="preserve">סעיף רלבנטי</w:t>
            </w:r>
          </w:p>
        </w:tc>
        <w:tc>
          <w:tcPr>
            <w:tcW w:type="dxa" w:w="90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bidi/>
              <w:spacing w:after="60"/>
              <w:jc w:val="center"/>
            </w:pPr>
            <w:r>
              <w:rPr>
                <w:rFonts w:ascii="Arial" w:cs="Arial" w:eastAsia="Arial" w:hAnsi="Arial"/>
                <w:b/>
                <w:bCs/>
                <w:sz w:val="20"/>
                <w:szCs w:val="20"/>
                <w:rtl/>
              </w:rPr>
              <w:t xml:space="preserve">נוסח השאלה</w:t>
            </w:r>
          </w:p>
        </w:tc>
      </w:tr>
      <w:tr>
        <w:trPr>
          <w:cantSplit/>
        </w:trPr>
        <w:tc>
          <w:tcPr>
            <w:tcW w:type="dxa" w:w="700"/>
            <w:vMerge w:val="restart"/>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5</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מסמך א' – הזמנה להציע הצעות</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2.4</w:t>
            </w:r>
          </w:p>
        </w:tc>
        <w:tc>
          <w:tcPr>
            <w:tcW w:type="dxa" w:w="9038"/>
            <w:vMerge w:val="restart"/>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לוח הזמנים להקמה נקבע ל-30 ימים מיום הודעת העירייה על חתימת ההסכם. השלמת ההקמה תלויה בגורמים שאינם בשליטת הספק, כגון ניוד טווח המספרים מהספק הקיים, ספק המחשוב של העירייה (Active Directory, דוא"ל), ספק ה-CRM ומוכנות תשתית הרשת.</w:t>
            </w:r>
          </w:p>
          <w:p>
            <w:pPr>
              <w:bidi/>
              <w:spacing w:after="60"/>
              <w:jc w:val="right"/>
            </w:pPr>
            <w:r>
              <w:rPr>
                <w:rFonts w:ascii="Arial" w:cs="Arial" w:eastAsia="Arial" w:hAnsi="Arial"/>
                <w:b w:val="false"/>
                <w:bCs w:val="false"/>
                <w:sz w:val="20"/>
                <w:szCs w:val="20"/>
                <w:rtl/>
              </w:rPr>
              <w:t xml:space="preserve">מבוקש: (א) להאריך את לוח הזמנים ל-60 ימים; (ב) לקבוע כי המניין יחל ממועד מתן צו התחלת עבודה ומסירת אתר מוכן להתקנה; (ג) להבהיר כי עיכוב הנובע מהעירייה או מצד שלישי מטעמה יאריך את לוח הזמנים בהתאם ולא ייחשב פיגור של הספק.</w:t>
            </w:r>
          </w:p>
        </w:tc>
      </w:tr>
      <w:tr>
        <w:trPr>
          <w:cantSplit/>
        </w:trPr>
        <w:tc>
          <w:tcPr>
            <w:vMerge w:val="continue"/>
            <w:tcBorders>
              <w:top w:val="single" w:color="808080" w:sz="4"/>
              <w:left w:val="single" w:color="808080" w:sz="4"/>
              <w:bottom w:val="single" w:color="808080" w:sz="4"/>
              <w:right w:val="single" w:color="808080" w:sz="4"/>
            </w:tcBorders>
          </w:tcP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30</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מסמך ג' – הסכם</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7.1</w:t>
            </w:r>
          </w:p>
        </w:tc>
        <w:tc>
          <w:tcPr>
            <w:vMerge w:val="continue"/>
            <w:tcBorders>
              <w:top w:val="single" w:color="808080" w:sz="4"/>
              <w:left w:val="single" w:color="808080" w:sz="4"/>
              <w:bottom w:val="single" w:color="808080" w:sz="4"/>
              <w:right w:val="single" w:color="808080" w:sz="4"/>
            </w:tcBorders>
          </w:tcP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11</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מסמך א' – הזמנה להציע הצעות</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10.3.3</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להבהיר: (א) כי ההדגמה ב"מערכת חיה" יכולה להתבצע על סביבת הדגמה או סביבת ייצור קיימת של המציע; (ב) כמה ימים לפני הראיון יישלחו התרחישים; (ג) האם הדגמת ממשק CRM יכולה להתבצע מול מערכת CRM גנרית.</w:t>
            </w:r>
          </w:p>
        </w:tc>
      </w:tr>
      <w:tr>
        <w:trPr>
          <w:cantSplit/>
        </w:trPr>
        <w:tc>
          <w:tcPr>
            <w:tcW w:type="dxa" w:w="700"/>
            <w:vMerge w:val="restart"/>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3</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30</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מסמך ג' – הסכם</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7.1 בהסכם</w:t>
            </w:r>
          </w:p>
        </w:tc>
        <w:tc>
          <w:tcPr>
            <w:tcW w:type="dxa" w:w="9038"/>
            <w:vMerge w:val="restart"/>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קיימת סתירה בין משטרי הפיצוי בגין איחור בהקמה: סעיף 7.1 להסכם קובע 500 ₪ לכל יום איחור, ואילו טבלה 3 במפרט קובעת 500 ₪ לכל שעה ומהשעה השישית 1,000 ₪ לשעה. בנוסף נקבע במפרט כי פיגור של יום אחד מהווה הפרה יסודית.</w:t>
            </w:r>
          </w:p>
          <w:p>
            <w:pPr>
              <w:bidi/>
              <w:spacing w:after="60"/>
              <w:jc w:val="right"/>
            </w:pPr>
            <w:r>
              <w:rPr>
                <w:rFonts w:ascii="Arial" w:cs="Arial" w:eastAsia="Arial" w:hAnsi="Arial"/>
                <w:b w:val="false"/>
                <w:bCs w:val="false"/>
                <w:sz w:val="20"/>
                <w:szCs w:val="20"/>
                <w:rtl/>
              </w:rPr>
              <w:t xml:space="preserve">מבוקש להבהיר כי יחול משטר פיצוי אחד בלבד – 500 ₪ ליום כקבוע בהסכם (שגובר לפי סעיף 11.7 למסמך א'), וכי פיגור ייחשב הפרה יסודית רק לאחר 14 ימי פיגור ולאחר התראה בכתב.</w:t>
            </w:r>
          </w:p>
        </w:tc>
      </w:tr>
      <w:tr>
        <w:trPr>
          <w:cantSplit/>
        </w:trPr>
        <w:tc>
          <w:tcPr>
            <w:vMerge w:val="continue"/>
            <w:tcBorders>
              <w:top w:val="single" w:color="808080" w:sz="4"/>
              <w:left w:val="single" w:color="808080" w:sz="4"/>
              <w:bottom w:val="single" w:color="808080" w:sz="4"/>
              <w:right w:val="single" w:color="808080" w:sz="4"/>
            </w:tcBorders>
          </w:tcP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19–20</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א' – מפרט השירותים (קובץ נפרד)</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פרק 4 ב-SLA וטבלה 3</w:t>
            </w:r>
          </w:p>
        </w:tc>
        <w:tc>
          <w:tcPr>
            <w:vMerge w:val="continue"/>
            <w:tcBorders>
              <w:top w:val="single" w:color="808080" w:sz="4"/>
              <w:left w:val="single" w:color="808080" w:sz="4"/>
              <w:bottom w:val="single" w:color="808080" w:sz="4"/>
              <w:right w:val="single" w:color="808080" w:sz="4"/>
            </w:tcBorders>
          </w:tcP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4</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31</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מסמך ג' – הסכם</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8.2.2, 7.3</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לפי סעיף 8.2.2 רשאית העירייה לשלם 80% מהתמורה החד-פעמית ב-36 תשלומים חודשיים, ולפי סעיף 7.3 רשאית היא לסיים את ההתקשרות בהודעה של 30 יום ללא פיצוי.</w:t>
            </w:r>
          </w:p>
          <w:p>
            <w:pPr>
              <w:bidi/>
              <w:spacing w:after="60"/>
              <w:jc w:val="right"/>
            </w:pPr>
            <w:r>
              <w:rPr>
                <w:rFonts w:ascii="Arial" w:cs="Arial" w:eastAsia="Arial" w:hAnsi="Arial"/>
                <w:b w:val="false"/>
                <w:bCs w:val="false"/>
                <w:sz w:val="20"/>
                <w:szCs w:val="20"/>
                <w:rtl/>
              </w:rPr>
              <w:t xml:space="preserve">מבוקש להבהיר כי בכל מקרה של סיום ההתקשרות לפני תום 36 החודשים, מכל סיבה שאינה הפרה יסודית של הספק, תשולם יתרת התמורה החד-פעמית שטרם שולמה במועד סיום ההתקשרות.</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5</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31</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מסמך ג' – הסכם</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8.4</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להבהיר האם הצמדת המחירים למדד חלה גם על סעיף 4 (שירות משנה רביעית) ועל סעיף 5 (בנק דקות) בטופס הצעת המחיר, ולקבוע כי עדכון ההצמדה בשנות האופציה ייעשה אחת לשנה.</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6</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32</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מסמך ג' – הסכם</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11</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כידוע סעיפי האחריות מטופלים על ידי יועצים משפטיים של חברתכם, בשים לב להמלצתנו לצמצם את אחריותכם לאחריות על פי דין (שכן פוליסות האחריות מכסות חבות חוקית בלבד).</w:t>
            </w:r>
          </w:p>
          <w:p>
            <w:pPr>
              <w:bidi/>
              <w:spacing w:after="60"/>
              <w:jc w:val="right"/>
            </w:pPr>
            <w:r>
              <w:rPr>
                <w:rFonts w:ascii="Arial" w:cs="Arial" w:eastAsia="Arial" w:hAnsi="Arial"/>
                <w:b w:val="false"/>
                <w:bCs w:val="false"/>
                <w:sz w:val="20"/>
                <w:szCs w:val="20"/>
                <w:rtl/>
              </w:rPr>
              <w:t xml:space="preserve">סעיף 11.1 – יש למחוק את המלל "אחריות מלאה ומוחלטת" ולכתוב "על פי דין".</w:t>
            </w:r>
          </w:p>
          <w:p>
            <w:pPr>
              <w:bidi/>
              <w:spacing w:after="60"/>
              <w:jc w:val="right"/>
            </w:pPr>
            <w:r>
              <w:rPr>
                <w:rFonts w:ascii="Arial" w:cs="Arial" w:eastAsia="Arial" w:hAnsi="Arial"/>
                <w:b w:val="false"/>
                <w:bCs w:val="false"/>
                <w:sz w:val="20"/>
                <w:szCs w:val="20"/>
                <w:rtl/>
              </w:rPr>
              <w:t xml:space="preserve">כמו כן מומלץ להוסיף סעיף מגבלת אחריות בנוסח הקבוע שלהלן.</w:t>
            </w:r>
          </w:p>
          <w:p>
            <w:pPr>
              <w:bidi/>
              <w:spacing w:after="60"/>
              <w:jc w:val="right"/>
            </w:pPr>
            <w:r>
              <w:rPr>
                <w:rFonts w:ascii="Arial" w:cs="Arial" w:eastAsia="Arial" w:hAnsi="Arial"/>
                <w:b w:val="false"/>
                <w:bCs w:val="false"/>
                <w:sz w:val="20"/>
                <w:szCs w:val="20"/>
                <w:rtl/>
              </w:rPr>
              <w:t xml:space="preserve">"הגבלת אחריות </w:t>
            </w:r>
          </w:p>
          <w:p>
            <w:pPr>
              <w:bidi/>
              <w:spacing w:after="60"/>
              <w:jc w:val="right"/>
            </w:pPr>
            <w:r>
              <w:rPr>
                <w:rFonts w:ascii="Arial" w:cs="Arial" w:eastAsia="Arial" w:hAnsi="Arial"/>
                <w:b w:val="false"/>
                <w:bCs w:val="false"/>
                <w:sz w:val="20"/>
                <w:szCs w:val="20"/>
                <w:rtl/>
              </w:rPr>
              <w:t xml:space="preserve">מובהר ומוסכם כי חבות הספק ואחריותו בכל מקום בו נושא הספק  באחריות ו/או בפיצוי ו/או בשיפוי על פי הסכם זה לרבות נספחיו כפופה לתנאים המצטברים דלהלן: (1) התקבל פס"ד חלוט (2) העירייה הודיעה לספק על כל תביעה או דרישה כאמור מיד עם היוודע לה על כך ואפשרה לספק לנהל את ההגנה ולא התפשרה בשמו ובמקומו ו/או ללא אישורו של הספק מראש ובכתב (3) בשום מקרה הספק לא יישא בנזקים עקיפים ו/או תוצאתיים לרבות כלכליים טהורים. </w:t>
            </w:r>
          </w:p>
          <w:p>
            <w:pPr>
              <w:bidi/>
              <w:spacing w:after="60"/>
              <w:jc w:val="right"/>
            </w:pPr>
            <w:r>
              <w:rPr>
                <w:rFonts w:ascii="Arial" w:cs="Arial" w:eastAsia="Arial" w:hAnsi="Arial"/>
                <w:b w:val="false"/>
                <w:bCs w:val="false"/>
                <w:sz w:val="20"/>
                <w:szCs w:val="20"/>
                <w:rtl/>
              </w:rPr>
              <w:t xml:space="preserve">על אף האמור בסעיף זה, ועל אף כל הוראה אחרת בהסכם זה, מוסכם בזאת מפורשות כי אחריות הספק והשיעור המרבי של הפיצויים ו/או השיפוי ו/או ההוצאות ו/או דמי הנזק בהם יישא הספק על פי הסכם זה או על פי דין, לא יעלו בכל מקרה על סכום _______ (מסחרי, להשלמה על ידי הוט), והעירייה פוטרת את הספק ומוותרת בזאת על כל תשלום העולה על סכום הפיצוי המרבי המצוין לעיל. הוראות סעיף זה יחולו אף לאחר סיום ההסכם ו/או ביטולו".</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7</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33</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מסמך ג' – הסכם</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12.1</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שורה 3 – יש למחוק את המלל: "ובעלת מוניטין".</w:t>
            </w:r>
          </w:p>
          <w:p>
            <w:pPr>
              <w:bidi/>
              <w:spacing w:after="60"/>
              <w:jc w:val="right"/>
            </w:pPr>
            <w:r>
              <w:rPr>
                <w:rFonts w:ascii="Arial" w:cs="Arial" w:eastAsia="Arial" w:hAnsi="Arial"/>
                <w:b w:val="false"/>
                <w:bCs w:val="false"/>
                <w:sz w:val="20"/>
                <w:szCs w:val="20"/>
                <w:rtl/>
              </w:rPr>
              <w:t xml:space="preserve">שורה 4 – יש למחוק את המלל: "בביטוחים אלו" ולכתוב "בביטוחי החבויות בגין אחריותה למעדי ומחדלי הספק".</w:t>
            </w:r>
          </w:p>
          <w:p>
            <w:pPr>
              <w:bidi/>
              <w:spacing w:after="60"/>
              <w:jc w:val="right"/>
            </w:pPr>
            <w:r>
              <w:rPr>
                <w:rFonts w:ascii="Arial" w:cs="Arial" w:eastAsia="Arial" w:hAnsi="Arial"/>
                <w:b w:val="false"/>
                <w:bCs w:val="false"/>
                <w:sz w:val="20"/>
                <w:szCs w:val="20"/>
                <w:rtl/>
              </w:rPr>
              <w:t xml:space="preserve">שורה 5 – יש למחוק את המלל: "כל תקופת חבותו החוקית" ולכתוב "למשך 3 שנים נוספות ממועד סיום ההתקשרות".</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8</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33</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מסמך ג' – הסכם</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12.4</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שורה 2 – יש למחוק את המילה "מתחייב" ולכתוב "רשאי".</w:t>
            </w:r>
          </w:p>
          <w:p>
            <w:pPr>
              <w:bidi/>
              <w:spacing w:after="60"/>
              <w:jc w:val="right"/>
            </w:pPr>
            <w:r>
              <w:rPr>
                <w:rFonts w:ascii="Arial" w:cs="Arial" w:eastAsia="Arial" w:hAnsi="Arial"/>
                <w:b w:val="false"/>
                <w:bCs w:val="false"/>
                <w:sz w:val="20"/>
                <w:szCs w:val="20"/>
                <w:rtl/>
              </w:rPr>
              <w:t xml:space="preserve">שורה 3 – יש למחוק את המלל: "והפועלים מטעמה".</w:t>
            </w:r>
          </w:p>
          <w:p>
            <w:pPr>
              <w:bidi/>
              <w:spacing w:after="60"/>
              <w:jc w:val="right"/>
            </w:pPr>
            <w:r>
              <w:rPr>
                <w:rFonts w:ascii="Arial" w:cs="Arial" w:eastAsia="Arial" w:hAnsi="Arial"/>
                <w:b w:val="false"/>
                <w:bCs w:val="false"/>
                <w:sz w:val="20"/>
                <w:szCs w:val="20"/>
                <w:rtl/>
              </w:rPr>
              <w:t xml:space="preserve">שורה 3 – יש למחוק את המלל: "ו/או יורחב שם המבוטח לכלול את העיריה ו/או הפועלים מטעמה לעניין ביטוחי  חבויות, בכפוף לסעיף אחריות צולבת כאילו נערך הביטוח בנפרד עבור כל אחד מיחידי המבוטח" ולכתוב "למעט כלפי מי שגרם לנזק בזדון".</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9</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34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מסמך ג' – הסכם</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12.5</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שורה 3 – יש למחוק את המילה "תמסר" ולכתוב "תשלח".</w:t>
            </w:r>
          </w:p>
          <w:p>
            <w:pPr>
              <w:bidi/>
              <w:spacing w:after="60"/>
              <w:jc w:val="right"/>
            </w:pPr>
            <w:r>
              <w:rPr>
                <w:rFonts w:ascii="Arial" w:cs="Arial" w:eastAsia="Arial" w:hAnsi="Arial"/>
                <w:b w:val="false"/>
                <w:bCs w:val="false"/>
                <w:sz w:val="20"/>
                <w:szCs w:val="20"/>
                <w:rtl/>
              </w:rPr>
              <w:t xml:space="preserve">שורה 4 – יש למחוק את המלל: "בדואר רשום".</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10</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34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מסמך ג' – הסכם</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12.6</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שורה 1 – יש למחוק את המלל: "ו/או מי מטעמה".</w:t>
            </w:r>
          </w:p>
          <w:p>
            <w:pPr>
              <w:bidi/>
              <w:spacing w:after="60"/>
              <w:jc w:val="right"/>
            </w:pPr>
            <w:r>
              <w:rPr>
                <w:rFonts w:ascii="Arial" w:cs="Arial" w:eastAsia="Arial" w:hAnsi="Arial"/>
                <w:b w:val="false"/>
                <w:bCs w:val="false"/>
                <w:sz w:val="20"/>
                <w:szCs w:val="20"/>
                <w:rtl/>
              </w:rPr>
              <w:t xml:space="preserve">שורה 2 – לאחר המילה "נזק" יש לכתוב "לרכוש הספק".</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11</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34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מסמך ג' – הסכם</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12.8</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יש למחוק את הסעיף.</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12</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34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מסמך ג' – הסכם</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12.9</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יש למחוק את המלל: "ו/או בהמצאת העתקי הפוליסות"</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13</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34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מסמך ג' – הסכם</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12.10</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יש למחוק את הסעיף.</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14</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34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מסמך ג' – הסכם</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12.11</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בסוף הסעיף יש לכתוב: "על האף האמור מוסכם ומובהר כי אי המצאת אישורי הביטוח במועדים המצוינים לעיל לא תהווה הפרה  של תנאי מהותי אלא אם הספק לא פעל להעברת אישורי הביטוח תוך 10 ימי עבודה מיום בקשת העירייה בכתב".</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15</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34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מסמך ג' – הסכם</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12.12</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יש למחוק את המלל: "במידה ויידרש, הספק מתחייב</w:t>
            </w:r>
          </w:p>
          <w:p>
            <w:pPr>
              <w:bidi/>
              <w:spacing w:after="60"/>
              <w:jc w:val="right"/>
            </w:pPr>
            <w:r>
              <w:rPr>
                <w:rFonts w:ascii="Arial" w:cs="Arial" w:eastAsia="Arial" w:hAnsi="Arial"/>
                <w:b w:val="false"/>
                <w:bCs w:val="false"/>
                <w:sz w:val="20"/>
                <w:szCs w:val="20"/>
                <w:rtl/>
              </w:rPr>
              <w:t xml:space="preserve">להמציא לעירייה את אישורי הביטוח של קבלני המשנה הפועלים מטעמו בביצוע הסכם זה.".</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16</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34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מסמך ג' – הסכם</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12.13</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יש להוסיף את סעיף 12.13 להלן:</w:t>
            </w:r>
          </w:p>
          <w:p>
            <w:pPr>
              <w:bidi/>
              <w:spacing w:after="60"/>
              <w:jc w:val="right"/>
            </w:pPr>
            <w:r>
              <w:rPr>
                <w:rFonts w:ascii="Arial" w:cs="Arial" w:eastAsia="Arial" w:hAnsi="Arial"/>
                <w:b w:val="false"/>
                <w:bCs w:val="false"/>
                <w:sz w:val="20"/>
                <w:szCs w:val="20"/>
                <w:rtl/>
              </w:rPr>
              <w:t xml:space="preserve">"12.13 ביטוחי העירייה</w:t>
            </w:r>
          </w:p>
          <w:p>
            <w:pPr>
              <w:bidi/>
              <w:spacing w:after="60"/>
              <w:jc w:val="right"/>
            </w:pPr>
            <w:r>
              <w:rPr>
                <w:rFonts w:ascii="Arial" w:cs="Arial" w:eastAsia="Arial" w:hAnsi="Arial"/>
                <w:b w:val="false"/>
                <w:bCs w:val="false"/>
                <w:sz w:val="20"/>
                <w:szCs w:val="20"/>
                <w:rtl/>
              </w:rPr>
              <w:t xml:space="preserve">לא יאוחר ממועד תחילת העבודות וכתנאי להתחלתן ולמשך כל תקופת ההסכם מתחייבת העירייה לערוך ולקיים, באמצעות חברת ביטוח מורשית כדין בישראל, את הביטוחים המפורטים להלן:</w:t>
            </w:r>
          </w:p>
          <w:p>
            <w:pPr>
              <w:bidi/>
              <w:spacing w:after="60"/>
              <w:jc w:val="right"/>
            </w:pPr>
            <w:r>
              <w:rPr>
                <w:rFonts w:ascii="Arial" w:cs="Arial" w:eastAsia="Arial" w:hAnsi="Arial"/>
                <w:b w:val="false"/>
                <w:bCs w:val="false"/>
                <w:sz w:val="20"/>
                <w:szCs w:val="20"/>
                <w:rtl/>
              </w:rPr>
              <w:t xml:space="preserve">1. פוליסת ביטוח "אש מורחב" ו/או "כל הסיכונים" לרכוש העירייה לרבות מבנים, תשתיות, מלאים ותכולה מכל סוג ותיאור הנמצא בשטח מתן השירותים ובסביבתו במלוא ערכי כינונו, מפני אבדן או נזק עקב הסיכונים המבוטחים בביטוח אשר מורחב, לרבות אש, עשן, ברק, התפוצצות, רעידת אדמה, סערה וסופה, שיטפון, נזקי נוזלים והתבקעות צינורות, פגיעה ע"י כלי רכב/טיס, פרעות, שביתות, נזק בזדון ופריצה, גניבה ושוד. </w:t>
            </w:r>
          </w:p>
          <w:p>
            <w:pPr>
              <w:bidi/>
              <w:spacing w:after="60"/>
              <w:jc w:val="right"/>
            </w:pPr>
            <w:r>
              <w:rPr>
                <w:rFonts w:ascii="Arial" w:cs="Arial" w:eastAsia="Arial" w:hAnsi="Arial"/>
                <w:b w:val="false"/>
                <w:bCs w:val="false"/>
                <w:sz w:val="20"/>
                <w:szCs w:val="20"/>
                <w:rtl/>
              </w:rPr>
              <w:t xml:space="preserve">2. פוליסה לביטוח אבדן תוצאתי המבטח אבדן הכנסות לעירייה עקב נזק לרכוש המבוטח על פי סעיף 12.13א' לעיל למשך תקופת שיפוי שלא תפחת מ-24 חודשים. העיריה רשאית שלא לערוך ביטוח אבדן תוצאתי המפורט בהסכם זה, בחלקו או במלואו, אולם במקרה כזה יחול הפטור האמור בסעיף 12.13ד' להלן כאילו נערכו ביטוחים אלו במלואם.</w:t>
            </w:r>
          </w:p>
          <w:p>
            <w:pPr>
              <w:bidi/>
              <w:spacing w:after="60"/>
              <w:jc w:val="right"/>
            </w:pPr>
            <w:r>
              <w:rPr>
                <w:rFonts w:ascii="Arial" w:cs="Arial" w:eastAsia="Arial" w:hAnsi="Arial"/>
                <w:b w:val="false"/>
                <w:bCs w:val="false"/>
                <w:sz w:val="20"/>
                <w:szCs w:val="20"/>
                <w:rtl/>
              </w:rPr>
              <w:t xml:space="preserve">3. הביטוחים כאמור בסעיפים 12.13א' – 12.13ב' לעיל יכללו סעיף ויתור על זכות תחלוף לטובת הספק ומי מטעמו, ובלבד שהוויתור לא יחול לטובת מי שגרם לנזק בזדון</w:t>
            </w:r>
          </w:p>
          <w:p>
            <w:pPr>
              <w:bidi/>
              <w:spacing w:after="60"/>
              <w:jc w:val="right"/>
            </w:pPr>
            <w:r>
              <w:rPr>
                <w:rFonts w:ascii="Arial" w:cs="Arial" w:eastAsia="Arial" w:hAnsi="Arial"/>
                <w:b w:val="false"/>
                <w:bCs w:val="false"/>
                <w:sz w:val="20"/>
                <w:szCs w:val="20"/>
                <w:rtl/>
              </w:rPr>
              <w:t xml:space="preserve">4. העיריה מצהירה כי היא פוטרת את הספק ומי מטעמו, מכל אחריות לנזק ו/א אבדן שהוא זכאית לשיפוי בגינו (או הייתה זכאית אלמלא ההשתתפות העצמית הנקובה בפוליסה ו/או החלתו של סעיף ביטוח חסר בפוליסות ו/או אי מילוי הוראות הפוליסות) על פי הביטוחים שהתחייבה לערוך כמפורט לעיל. הפטור כאמור לא יחול לטובת מי שגרם לנזק בזדון.</w:t>
            </w:r>
          </w:p>
          <w:p>
            <w:pPr>
              <w:bidi/>
              <w:spacing w:after="60"/>
              <w:jc w:val="right"/>
            </w:pPr>
            <w:r>
              <w:rPr>
                <w:rFonts w:ascii="Arial" w:cs="Arial" w:eastAsia="Arial" w:hAnsi="Arial"/>
                <w:b w:val="false"/>
                <w:bCs w:val="false"/>
                <w:sz w:val="20"/>
                <w:szCs w:val="20"/>
                <w:rtl/>
              </w:rPr>
              <w:t xml:space="preserve">5. מוסכם כי ככל והאתר ו/או המבנים כאמור בהסכם זה אשר עליהם מתבצעות העבודות ו/או ניתנים השירותים נועדו לשימוש ו/או לשכירות ו/או לרשות של משתמשים ו/או ברי רשות מטעם העירייה ו/או בעלות של צדדים שלישיים, לרבות בעלי תשתיות ו/או רשויות מוניציפאליות שונות העיריה תקבל הסכמת האמורים לעיל להחלת סעיף זה לטובת הספק ו/או מי מטעמו, גם לגבי נזק לרכוש ו/או אובדן רווחים של האמורים לעיל".</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17</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37</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מסמך ג' – הסכם</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17.1.12</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17.1.12 להסכם מתייחס לשימוש "בכלי רכב ו/או ציוד שאינם באיכות ראויה". השירותים נשוא המכרז אינם כוללים שימוש בכלי רכב. מבוקש למחוק את ההתייחסות לכלי רכב בסעיף, או להבהיר כי אינה חלה על מכרז זה.</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18</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3</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א' – מפרט השירותים (קובץ נפרד)</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2.1–2.2</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להבהיר: (א) מהו גודל טווח המספרים הקיים (DID), מיהו הספק המחזיק בו כיום, והאם הזוכה נדרש לנייד אליו את הטווח ולספק את שירותי הקווים; (ב) מי נושא בעלויות הניוד ובעיכובים הנובעים מהספק הקיים.</w:t>
            </w:r>
          </w:p>
          <w:p>
            <w:pPr>
              <w:bidi/>
              <w:spacing w:after="60"/>
              <w:jc w:val="right"/>
            </w:pPr>
            <w:r>
              <w:rPr>
                <w:rFonts w:ascii="Arial" w:cs="Arial" w:eastAsia="Arial" w:hAnsi="Arial"/>
                <w:b w:val="false"/>
                <w:bCs w:val="false"/>
                <w:sz w:val="20"/>
                <w:szCs w:val="20"/>
                <w:rtl/>
              </w:rPr>
              <w:t xml:space="preserve">כמו כן, בסעיף 2.1 מתוארת המערכת הקיימת כ"מרכזייה מקומית מסוג PBX015 (מרכזיית ענן של SAR טכנולוגיות)". מבוקש להבהיר האם המערכת הקיימת מקומית או בענן, מהו מועד סיום ההתקשרות הנוכחית, והאם העירייה תבטיח את שיתוף הפעולה של הספק הקיים בייצוא נתונים (הקלטות, תסריטי IVR, הגדרות שלוחות).</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19</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3, 12</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א' – מפרט השירותים (קובץ נפרד)</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2.10, 7.15</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7.15 מחייב ממשק "למערכת ה-CRM שהעירייה תבחר" על חשבון הספק, עד לחיבור מלא.</w:t>
            </w:r>
          </w:p>
          <w:p>
            <w:pPr>
              <w:bidi/>
              <w:spacing w:after="60"/>
              <w:jc w:val="right"/>
            </w:pPr>
            <w:r>
              <w:rPr>
                <w:rFonts w:ascii="Arial" w:cs="Arial" w:eastAsia="Arial" w:hAnsi="Arial"/>
                <w:b w:val="false"/>
                <w:bCs w:val="false"/>
                <w:sz w:val="20"/>
                <w:szCs w:val="20"/>
                <w:rtl/>
              </w:rPr>
              <w:t xml:space="preserve">מבוקש להבהיר כי החובה מתייחסת למערכת ה-CRM הקיימת של א.ש. בינה, באמצעות ממשק ה-API הקיים שלה, כי עלויות ספק ה-CRM ושיתוף הפעולה שלו יחולו על העירייה, וכי ממשק למערכת CRM אחרת שתיבחר בעתיד יתומחר לפי שעת טכנאי.</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20</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3</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א' – מפרט השירותים (קובץ נפרד)</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מהות השרות המבוקש טלפוניה סעיף 3.1</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כיצד תרצו לחבר את הvoip? אתם רוצים שהמערכות יהיו ביחד? מקבילות?</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21</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3</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א' – מפרט השירותים (קובץ נפרד)</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מהות השרות המבוקש טלפוניה סעיף 3.1</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מה היחס בין המערכת on prem למערכת voip?</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22</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3</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א' – מפרט השירותים (קובץ נפרד)</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מהות השרות המבוקש טלפוניה סעיף 3.1</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האם המערכת voip (בענן) היא גיבוי למערכת on prem או שזו מערכת שנמצאת באינטגרציה מלאה?</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23</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3</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א' – מפרט השירותים (קובץ נפרד)</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מהות השרות המבוקש טלפוניה סעיף 3.1</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האם ניתן לספק פתרון הוט סנטריקס המוגבה ב 5 חוות בתצורת HOT SWAOP המאשר מעבר אוטומטי בין החוות בזיהוי נפילה בפחות 10 שניות. במקרה של נפילה באתר מקומי , עם זיהוי הנפילה השיחה עוברת לטלפונים ניידים.</w:t>
            </w:r>
          </w:p>
        </w:tc>
      </w:tr>
      <w:tr>
        <w:trPr>
          <w:cantSplit/>
        </w:trPr>
        <w:tc>
          <w:tcPr>
            <w:tcW w:type="dxa" w:w="700"/>
            <w:vMerge w:val="restart"/>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24</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א' – מפרט השירותים (קובץ נפרד)</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3.1.1</w:t>
            </w:r>
          </w:p>
        </w:tc>
        <w:tc>
          <w:tcPr>
            <w:tcW w:type="dxa" w:w="9038"/>
            <w:vMerge w:val="restart"/>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3.1.1 למפרט קובע כי המרכזייה הראשית "תחובר למרכזייה אצל המציע", וסעיף 2.3 לנספח ד' קובע כי המידע יאוחסן בשרתים הממוקמים בישראל (אזור ענן / Region בישראל).</w:t>
            </w:r>
          </w:p>
          <w:p>
            <w:pPr>
              <w:bidi/>
              <w:spacing w:after="60"/>
              <w:jc w:val="right"/>
            </w:pPr>
            <w:r>
              <w:rPr>
                <w:rFonts w:ascii="Arial" w:cs="Arial" w:eastAsia="Arial" w:hAnsi="Arial"/>
                <w:b w:val="false"/>
                <w:bCs w:val="false"/>
                <w:sz w:val="20"/>
                <w:szCs w:val="20"/>
                <w:rtl/>
              </w:rPr>
              <w:t xml:space="preserve">מבוקש לאשר כי אירוח מרכזיית הענן ומוקד הענן בענן ציבורי (כגון AWS, Azure או Google Cloud) באזור ענן בישראל עומד בדרישות המכרז.</w:t>
            </w:r>
          </w:p>
        </w:tc>
      </w:tr>
      <w:tr>
        <w:trPr>
          <w:cantSplit/>
        </w:trPr>
        <w:tc>
          <w:tcPr>
            <w:vMerge w:val="continue"/>
            <w:tcBorders>
              <w:top w:val="single" w:color="808080" w:sz="4"/>
              <w:left w:val="single" w:color="808080" w:sz="4"/>
              <w:bottom w:val="single" w:color="808080" w:sz="4"/>
              <w:right w:val="single" w:color="808080" w:sz="4"/>
            </w:tcBorders>
          </w:tcP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44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ד' – נספח מיקור חוץ לעיבוד מידע אישי</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2.3</w:t>
            </w:r>
          </w:p>
        </w:tc>
        <w:tc>
          <w:tcPr>
            <w:vMerge w:val="continue"/>
            <w:tcBorders>
              <w:top w:val="single" w:color="808080" w:sz="4"/>
              <w:left w:val="single" w:color="808080" w:sz="4"/>
              <w:bottom w:val="single" w:color="808080" w:sz="4"/>
              <w:right w:val="single" w:color="808080" w:sz="4"/>
            </w:tcBorders>
          </w:tcP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25</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א' – מפרט השירותים (קובץ נפרד)</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3.1.4, 3.3 (שרטוט)</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להבהיר על אילו תרחישי כשל חלה דרישת המעבר האוטומטי: (א) כשל במרכזייה המקומית; (ב) כשל בקו התקשורת בין בניין העירייה לבין הענן; (ג) כשל בציר.</w:t>
            </w:r>
          </w:p>
          <w:p>
            <w:pPr>
              <w:bidi/>
              <w:spacing w:after="60"/>
              <w:jc w:val="right"/>
            </w:pPr>
            <w:r>
              <w:rPr>
                <w:rFonts w:ascii="Arial" w:cs="Arial" w:eastAsia="Arial" w:hAnsi="Arial"/>
                <w:b w:val="false"/>
                <w:bCs w:val="false"/>
                <w:sz w:val="20"/>
                <w:szCs w:val="20"/>
                <w:rtl/>
              </w:rPr>
              <w:t xml:space="preserve">בתרחיש (ב) גם הטלפונים שבבניין העירייה לא יוכלו להתחבר למרכזיית הענן. מבוקש להבהיר האם נדרש קו גיבוי נוסף (סלולרי או ספק אינטרנט שני), ומי יספק אותו ויישא בעלותו.</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26</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א' – מפרט השירותים (קובץ נפרד)</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3.1.5</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להבהיר האם החזרה למרכזייה המקומית לאחר תיקון הכשל יכולה להתבצע באופן ידני ובתיאום עם העירייה ולא באופן אוטומטי, ומהו פרק הזמן המרבי לביצועה.</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27</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א' – מפרט השירותים (קובץ נפרד)</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3.1.9</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העירייה רשאית לבחור לפי שיקול דעתה מתי להפעיל את מרכזיית הענן וכמה שלוחות יחוברו אליה.</w:t>
            </w:r>
          </w:p>
          <w:p>
            <w:pPr>
              <w:bidi/>
              <w:spacing w:after="60"/>
              <w:jc w:val="right"/>
            </w:pPr>
            <w:r>
              <w:rPr>
                <w:rFonts w:ascii="Arial" w:cs="Arial" w:eastAsia="Arial" w:hAnsi="Arial"/>
                <w:b w:val="false"/>
                <w:bCs w:val="false"/>
                <w:sz w:val="20"/>
                <w:szCs w:val="20"/>
                <w:rtl/>
              </w:rPr>
              <w:t xml:space="preserve">מבוקש להבהיר האם מחיר סעיף 1 בטופס הצעת המחיר משולם במלואו גם אם העירייה תדחה את הפעלת מרכזיית הענן, וממתי נמנית תקופת השירות של 36 החודשים לגבי רכיב הענן.</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28</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א' – מפרט השירותים (קובץ נפרד)</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3.2–3.3</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3.2 מגדיר את השרטוט כ"מבנה חיבור עקרוני". מבוקש להבהיר האם מציע רשאי להציע ארכיטקטורה חלופית העומדת בכלל הדרישות התפקודיות של המכרז, כגון מרכזיית ענן ראשית עם רכיב שרידות מקומי (SBC / gateway) הממשיך לפעול בעת כשל, והאם הצעה כזו תיחשב כעומדת בדרישות המכרז וכיצד תנוקד.</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29</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א' – מפרט השירותים (קובץ נפרד)</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3.3 (שרטוט), 3.12</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בשרטוט שבסעיף 3.3 מופיעים "בתי ספר, גנים" כמחוברים למרכזיית הענן, אך הם אינם מוזכרים בטקסט המפרט ובטופס הצעת המחיר.</w:t>
            </w:r>
          </w:p>
          <w:p>
            <w:pPr>
              <w:bidi/>
              <w:spacing w:after="60"/>
              <w:jc w:val="right"/>
            </w:pPr>
            <w:r>
              <w:rPr>
                <w:rFonts w:ascii="Arial" w:cs="Arial" w:eastAsia="Arial" w:hAnsi="Arial"/>
                <w:b w:val="false"/>
                <w:bCs w:val="false"/>
                <w:sz w:val="20"/>
                <w:szCs w:val="20"/>
                <w:rtl/>
              </w:rPr>
              <w:t xml:space="preserve">מבוקש לפרט את מספר האתרים, מספר השלוחות והמכשירים בכל אתר, ולהבהיר האם הם כלולים ב-300 השלוחות שבסעיף 3.12 ובמחיר סעיף 1 בטופס הצעת המחיר. כמו כן מבוקש להבהיר כי קווי האינטרנט ותשתית הרשת באתרים אלה יסופקו על ידי העירייה.</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30</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א' – מפרט השירותים (קובץ נפרד)</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3.3 (שרטוט), 3.1.3</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בשרטוט מופיעות "שלוחות חירום" כקבוצה נפרדת המחוברת גם למרכזיית הענן, ואילו סעיף 3.1.3 קובע כי כלל הטלפונים יוגדרו עם חיבור שני למרכזיית הענן.</w:t>
            </w:r>
          </w:p>
          <w:p>
            <w:pPr>
              <w:bidi/>
              <w:spacing w:after="60"/>
              <w:jc w:val="right"/>
            </w:pPr>
            <w:r>
              <w:rPr>
                <w:rFonts w:ascii="Arial" w:cs="Arial" w:eastAsia="Arial" w:hAnsi="Arial"/>
                <w:b w:val="false"/>
                <w:bCs w:val="false"/>
                <w:sz w:val="20"/>
                <w:szCs w:val="20"/>
                <w:rtl/>
              </w:rPr>
              <w:t xml:space="preserve">מבוקש להבהיר האם רישום כפול נדרש לכלל השלוחות או לשלוחות החירום בלבד, ומהו מספר שלוחות החירום ומיקומן.</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31</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א' – מפרט השירותים (קובץ נפרד)</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3.3 (שרטוט), 3.1.2, 3.1.4</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להבהיר האם הציר הקיים הוא SIP trunk או PRI, מיהו הספק המחזיק בו וכמה ערוצים יש בו, והאם הזוכה נדרש לספק את הציר.</w:t>
            </w:r>
          </w:p>
          <w:p>
            <w:pPr>
              <w:bidi/>
              <w:spacing w:after="60"/>
              <w:jc w:val="right"/>
            </w:pPr>
            <w:r>
              <w:rPr>
                <w:rFonts w:ascii="Arial" w:cs="Arial" w:eastAsia="Arial" w:hAnsi="Arial"/>
                <w:b w:val="false"/>
                <w:bCs w:val="false"/>
                <w:sz w:val="20"/>
                <w:szCs w:val="20"/>
                <w:rtl/>
              </w:rPr>
              <w:t xml:space="preserve">ככל שהציר נשאר אצל ספק אחר, מבוקש להבהיר כי ניתוב השיחות למרכזיית הענן בעת תקלה (סעיף 3.1.4) יבוצע בשיתוף אותו ספק ובאחריות העירייה, שכן מיתוג אוטומטי של קו PRI פיזי לענן אפשרי רק ברמת ספק הקווים.</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32</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א' – מפרט השירותים (קובץ נפרד)</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3.3 (שרטוט), 3.1.4</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בשרטוט, בעת "תקלה" מנותב הציר ל-"call group + IVR" בענן, ואילו סעיף 3.1.4 קובע כי הטלפונים ינדדו לחיבור ישיר למרכזיית הענן תוך שמירה על המספור וכלל התכונות.</w:t>
            </w:r>
          </w:p>
          <w:p>
            <w:pPr>
              <w:bidi/>
              <w:spacing w:after="60"/>
              <w:jc w:val="right"/>
            </w:pPr>
            <w:r>
              <w:rPr>
                <w:rFonts w:ascii="Arial" w:cs="Arial" w:eastAsia="Arial" w:hAnsi="Arial"/>
                <w:b w:val="false"/>
                <w:bCs w:val="false"/>
                <w:sz w:val="20"/>
                <w:szCs w:val="20"/>
                <w:rtl/>
              </w:rPr>
              <w:t xml:space="preserve">מבוקש להבהיר מהו התרחיש הנדרש בעת תקלה: ניתוב השיחות הנכנסות ל-IVR ולקבוצת צלצול בלבד, או המשך עבודה מלא של כלל השלוחות.</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33</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4, 13</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א' – מפרט השירותים (קובץ נפרד)</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3.3 (שרטוט), 7.25</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בשרטוט, מוקד ה-call center בענן אינו מחובר לרכיב כלשהו, והמוקד המקומי מחובר בקו מקווקו לשתי המרכזיות.</w:t>
            </w:r>
          </w:p>
          <w:p>
            <w:pPr>
              <w:bidi/>
              <w:spacing w:after="60"/>
              <w:jc w:val="right"/>
            </w:pPr>
            <w:r>
              <w:rPr>
                <w:rFonts w:ascii="Arial" w:cs="Arial" w:eastAsia="Arial" w:hAnsi="Arial"/>
                <w:b w:val="false"/>
                <w:bCs w:val="false"/>
                <w:sz w:val="20"/>
                <w:szCs w:val="20"/>
                <w:rtl/>
              </w:rPr>
              <w:t xml:space="preserve">מבוקש להבהיר האם בעת כשל במרכזייה המקומית נדרש מעבר אוטומטי של המוקד (תורים, נציגים והקלטות) למוקד בענן, ומה משמעות הקו המקווקו בשרטוט.</w:t>
            </w:r>
          </w:p>
        </w:tc>
      </w:tr>
      <w:tr>
        <w:trPr>
          <w:cantSplit/>
        </w:trPr>
        <w:tc>
          <w:tcPr>
            <w:tcW w:type="dxa" w:w="700"/>
            <w:vMerge w:val="restart"/>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34</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4, 9</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א' – מפרט השירותים (קובץ נפרד)</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3.3 (שרטוט), 4.2.64</w:t>
            </w:r>
          </w:p>
        </w:tc>
        <w:tc>
          <w:tcPr>
            <w:tcW w:type="dxa" w:w="9038"/>
            <w:vMerge w:val="restart"/>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להבהיר כי אספקת חשמל רציפה (UPS) למתגי ה-PoE בבנייני העירייה ולשלוחות החירום היא באחריות העירייה, בהתאם לסעיף 1.8 לנספח ד' לפיו הלקוח אחראי לרשת התקשורת שלו.</w:t>
            </w:r>
          </w:p>
        </w:tc>
      </w:tr>
      <w:tr>
        <w:trPr>
          <w:cantSplit/>
        </w:trPr>
        <w:tc>
          <w:tcPr>
            <w:vMerge w:val="continue"/>
            <w:tcBorders>
              <w:top w:val="single" w:color="808080" w:sz="4"/>
              <w:left w:val="single" w:color="808080" w:sz="4"/>
              <w:bottom w:val="single" w:color="808080" w:sz="4"/>
              <w:right w:val="single" w:color="808080" w:sz="4"/>
            </w:tcBorders>
          </w:tcP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44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ד' – נספח מיקור חוץ לעיבוד מידע אישי</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1.8</w:t>
            </w:r>
          </w:p>
        </w:tc>
        <w:tc>
          <w:tcPr>
            <w:vMerge w:val="continue"/>
            <w:tcBorders>
              <w:top w:val="single" w:color="808080" w:sz="4"/>
              <w:left w:val="single" w:color="808080" w:sz="4"/>
              <w:bottom w:val="single" w:color="808080" w:sz="4"/>
              <w:right w:val="single" w:color="808080" w:sz="4"/>
            </w:tcBorders>
          </w:tcP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35</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5, 9</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א' – מפרט השירותים (קובץ נפרד)</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3.4, 4.2.55–4.2.56</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להבהיר: (א) האם התמיכה בשיחות דרך Teams ו-Google Meet מתייחסת לחיבור trunk (כגון Direct Routing) או לאפליקציה משולבת; (ב) כי "הלקוח" בסעיף 3.4 הוא העירייה, ורישוי Microsoft ו-Google יחול עליה; (ג) כי עלויות ספק המחשוב בביצוע האינטגרציה ל-Active Directory ולשרת הדוא"ל יחולו על העירייה.</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36</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5</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א' – מפרט השירותים (קובץ נפרד)</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מהות השרות המבוקש טלפוניה סעיף 3.5</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יש להוסיף באחריות הלקוח ניתוק המכשירים מניהול ענן ספק ננטש.</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37</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5, 6, 13</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א' – מפרט השירותים (קובץ נפרד)</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3.8.7, 4.1.7, 7.23.10</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להבהיר: (א) האם הזיהוי הקולי נדרש בעברית בלבד (סעיף 4.1.7) או גם באנגלית וברוסית (סעיף 3.8.7); (ב) האם ניתן לספק את הזיהוי הקולי ואת "זיהוי מצבי רוח" (סעיף 7.23.10) באמצעות שירות ענן משולב של צד ג'; (ג) האם "זיהוי מצבי רוח" הוא דרישת חובה; (ד) האם יש היקף שימוש צפוי (דקות בחודש) לשירותים אלה.</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38</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5</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א' – מפרט השירותים (קובץ נפרד)</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מובנה לניתוב שיחות סעיף 3.8.7</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מבקשים הבהרה למהות הזהות הקולי.</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39</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6, 7</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א' – מפרט השירותים (קובץ נפרד)</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3.11.1, 4.2.11</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בסעיף 4.2.11 נקבע כי ההקלטות יישמרו בענן 3 חודשים ולאחר מכן יועברו לשרת העירייה, לחשבון גוגל, לחשבון מייקרוסופט "או Paybox". מבוקש להבהיר: (א) האם הכוונה ל-Dropbox; (ב) כי שטח האחסון לאחר 3 החודשים יסופק על ידי העירייה; (ג) כי "ללא הגבלה" בסעיף 3.11.1 מתייחס להיקף השלוחות המוקלטות ולא לתקופת שמירה בענן מעבר ל-3 חודשים.</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40</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6, 8</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א' – מפרט השירותים (קובץ נפרד)</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3.12, 4.2.32</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להבהיר: (א) כי הרחבה של עד 200 שלוחות נוספות ללא עלות (סעיף 3.12) מתייחסת לרישוי בלבד, ללא מכשירי טלפון; (ב) מה הכוונה ב"500 סוכנים" (סעיף 4.2.32) – האם רישיונות לשלוחות וירטואליות ואפליקציה (softphone), או רישיונות נציג במוקד (Call Center).</w:t>
            </w:r>
          </w:p>
        </w:tc>
      </w:tr>
      <w:tr>
        <w:trPr>
          <w:cantSplit/>
        </w:trPr>
        <w:tc>
          <w:tcPr>
            <w:tcW w:type="dxa" w:w="700"/>
            <w:vMerge w:val="restart"/>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41</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6, 9</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א' – מפרט השירותים (קובץ נפרד)</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4.1.5, 4.2.54</w:t>
            </w:r>
          </w:p>
        </w:tc>
        <w:tc>
          <w:tcPr>
            <w:tcW w:type="dxa" w:w="9038"/>
            <w:vMerge w:val="restart"/>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להבהיר כי תשתית הרשת המקומית (מתגים, PoE, נקודות תקשורת), קישורי הגמ"מ בין בנייני העירייה וקו האינטרנט או התמסורת בין המרכזייה המקומית לבין מרכזיית הענן יסופקו על ידי העירייה ועל חשבונה. ככל שהזוכה נדרש לספק קווי תמסורת או קישוריות לספקי צד ג' (לרבות IPVPN) – כיצד יתומחרו, שכן אין להם סעיף בטופס הצעת המחיר.</w:t>
            </w:r>
          </w:p>
          <w:p>
            <w:pPr>
              <w:bidi/>
              <w:spacing w:after="60"/>
              <w:jc w:val="right"/>
            </w:pPr>
            <w:r>
              <w:rPr>
                <w:rFonts w:ascii="Arial" w:cs="Arial" w:eastAsia="Arial" w:hAnsi="Arial"/>
                <w:b w:val="false"/>
                <w:bCs w:val="false"/>
                <w:sz w:val="20"/>
                <w:szCs w:val="20"/>
                <w:rtl/>
              </w:rPr>
              <w:t xml:space="preserve">כמו כן, מבוקש להבהיר כי מקום בארון תקשורת, חשמל ו-UPS עבור המרכזייה המקומית יסופקו על ידי העירייה, בהתאם לסעיף 1.8 לנספח ד', הקובע כי הלקוח אחראי לאבטחה הפיזית של חדר התקשורת ולרשת התקשורת שלו.</w:t>
            </w:r>
          </w:p>
        </w:tc>
      </w:tr>
      <w:tr>
        <w:trPr>
          <w:cantSplit/>
        </w:trPr>
        <w:tc>
          <w:tcPr>
            <w:vMerge w:val="continue"/>
            <w:tcBorders>
              <w:top w:val="single" w:color="808080" w:sz="4"/>
              <w:left w:val="single" w:color="808080" w:sz="4"/>
              <w:bottom w:val="single" w:color="808080" w:sz="4"/>
              <w:right w:val="single" w:color="808080" w:sz="4"/>
            </w:tcBorders>
          </w:tcP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44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ד' – נספח מיקור חוץ לעיבוד מידע אישי</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1.8</w:t>
            </w:r>
          </w:p>
        </w:tc>
        <w:tc>
          <w:tcPr>
            <w:vMerge w:val="continue"/>
            <w:tcBorders>
              <w:top w:val="single" w:color="808080" w:sz="4"/>
              <w:left w:val="single" w:color="808080" w:sz="4"/>
              <w:bottom w:val="single" w:color="808080" w:sz="4"/>
              <w:right w:val="single" w:color="808080" w:sz="4"/>
            </w:tcBorders>
          </w:tcP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42</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7</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א' – מפרט השירותים (קובץ נפרד)</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מפרט מינימאלי למרכזיות סעיף 4.2.14</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מבקשים להוסיף ו\או אפליקציה לנייד או העברת שיחה.</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43</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8</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א' – מפרט השירותים (קובץ נפרד)</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מפרט מינימאלי למרכזיות סעיף 4.2.44</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כמות המשתמשים בשיחת ועידה , תלויה בסוג מכשיר הטלפון.</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44</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9</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א' – מפרט השירותים (קובץ נפרד)</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מפרט מינימאלי למרכזיות סעיף 4.2.57</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האם הכוונה ששלוחות אנלוגיות יחוברו באמצעות מתאמים אנלוגיים.</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45</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12</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א' – מפרט השירותים (קובץ נפרד)</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מערכת Call Center סעיף 7.22.3</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האם מדובר ב CRM של חברת א.ש בינה ? </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46</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13</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א' – מפרט השירותים (קובץ נפרד)</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הערה לפרק 7 (מערכת Aspire)</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נקבע כי ככל שהעירייה תבחר להשאיר את מערכת Aspire הקיימת, על הזוכה "לשתף פעולה ולבצע כל פעולה".</w:t>
            </w:r>
          </w:p>
          <w:p>
            <w:pPr>
              <w:bidi/>
              <w:spacing w:after="60"/>
              <w:jc w:val="right"/>
            </w:pPr>
            <w:r>
              <w:rPr>
                <w:rFonts w:ascii="Arial" w:cs="Arial" w:eastAsia="Arial" w:hAnsi="Arial"/>
                <w:b w:val="false"/>
                <w:bCs w:val="false"/>
                <w:sz w:val="20"/>
                <w:szCs w:val="20"/>
                <w:rtl/>
              </w:rPr>
              <w:t xml:space="preserve">מבוקש להגדיר את היקף הפעולות הנדרשות (למשל ניתוב שיחות בין המערכות בלבד), ולהבהיר כי עלויות ספק מערכת Aspire יחולו על העירייה.</w:t>
            </w:r>
          </w:p>
        </w:tc>
      </w:tr>
      <w:tr>
        <w:trPr>
          <w:cantSplit/>
        </w:trPr>
        <w:tc>
          <w:tcPr>
            <w:tcW w:type="dxa" w:w="700"/>
            <w:vMerge w:val="restart"/>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47</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13</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א' – מפרט השירותים (קובץ נפרד)</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7.23.10</w:t>
            </w:r>
          </w:p>
        </w:tc>
        <w:tc>
          <w:tcPr>
            <w:tcW w:type="dxa" w:w="9038"/>
            <w:vMerge w:val="restart"/>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7.23.10 למפרט דורש "זיהוי מצבי רוח והתראות", ואילו סעיף 3.5 לנספח ד' קובע כי הפעלת יכולות מבוססות בינה מלאכותית, לרבות ניתוח רגשות, מותנית באישור מראש ובכתב של העירייה, לאחר בחינת הממונה על הגנת הפרטיות ותסקיר השפעה על הפרטיות.</w:t>
            </w:r>
          </w:p>
          <w:p>
            <w:pPr>
              <w:bidi/>
              <w:spacing w:after="60"/>
              <w:jc w:val="right"/>
            </w:pPr>
            <w:r>
              <w:rPr>
                <w:rFonts w:ascii="Arial" w:cs="Arial" w:eastAsia="Arial" w:hAnsi="Arial"/>
                <w:b w:val="false"/>
                <w:bCs w:val="false"/>
                <w:sz w:val="20"/>
                <w:szCs w:val="20"/>
                <w:rtl/>
              </w:rPr>
              <w:t xml:space="preserve">מבוקש להבהיר כי די בכך שהמערכת המוצעת תומכת ביכולת זו, וכי הפעלתה בפועל תיעשה רק לאחר האישור והתסקיר האמורים, כך שאי-הפעלתה לא תיחשב אי-עמידה בדרישות המפרט או ב-SLA.</w:t>
            </w:r>
          </w:p>
        </w:tc>
      </w:tr>
      <w:tr>
        <w:trPr>
          <w:cantSplit/>
        </w:trPr>
        <w:tc>
          <w:tcPr>
            <w:vMerge w:val="continue"/>
            <w:tcBorders>
              <w:top w:val="single" w:color="808080" w:sz="4"/>
              <w:left w:val="single" w:color="808080" w:sz="4"/>
              <w:bottom w:val="single" w:color="808080" w:sz="4"/>
              <w:right w:val="single" w:color="808080" w:sz="4"/>
            </w:tcBorders>
          </w:tcP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45</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ד' – נספח מיקור חוץ לעיבוד מידע אישי</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3.5</w:t>
            </w:r>
          </w:p>
        </w:tc>
        <w:tc>
          <w:tcPr>
            <w:vMerge w:val="continue"/>
            <w:tcBorders>
              <w:top w:val="single" w:color="808080" w:sz="4"/>
              <w:left w:val="single" w:color="808080" w:sz="4"/>
              <w:bottom w:val="single" w:color="808080" w:sz="4"/>
              <w:right w:val="single" w:color="808080" w:sz="4"/>
            </w:tcBorders>
          </w:tcP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48</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15, 16</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א' – מפרט השירותים (קובץ נפרד)</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9.4, 9.7.3</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להבהיר: (א) האם האישורים ו-3 ההמלצות על אנשי הצוות (סעיף 9.4) נדרשים כבר בשלב הגשת ההצעה, ובאיזה פורמט, שכן הם אינם מופיעים בטבלת המסמכים להגשה (מסמך א'(8)); (ב) כמה אנשי צוות יש להציג; (ג) סעיף 9.7.3 מפנה ל"סעיף 3 נספח ב'", ונספח ב' הוא נוסח ערבות הביצוע – לאיזה סעיף הכוונה.</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49</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17–18</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א' – מפרט השירותים (קובץ נפרד)</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רמת שירות שוטפת, סעיפים 1–2</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להבהיר כי זמני הטיפול והקנסות בטבלה שבסעיף 2 לא יחולו על תקלות שמקורן בתשתיות שבאחריות העירייה או צד שלישי (רשת מקומית, חשמל, קישורי הגמ"מ, ספקי תקשורת שאינם הספק), וכי הקנס בגין "השבתת שרות" (5,000 ₪ ליום) חל רק כשההשבתה באחריות הספק.</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50</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19</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א' – מפרט השירותים (קובץ נפרד)</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פרק 4 – זמני ביצוע הסבה</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נקבע כי ההסבה תבוצע בין יום חמישי בשעה 20:00 ליום ראשון בשעה 02:00, ובהמשך נקבע כי המערכות יחזרו לפעולה מלאה ביום ראשון בשעה 05:30. מבוקש להבהיר מהי השעה הקובעת לסיום ההסבה.</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51</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20</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א' – מפרט השירותים (קובץ נפרד)</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טבלה 3 – פיצוי מוסכם בהקמה</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הטבלה מטילה על הספק, בנוסף לפיצוי המוסכם, תשלום לספק המערכת הקודמת של כל עלויות הפעלתה מחדש, הפרשי מחירים בין המערכות והוצאות פרסום לתושבים, ללא תקרה.</w:t>
            </w:r>
          </w:p>
          <w:p>
            <w:pPr>
              <w:bidi/>
              <w:spacing w:after="60"/>
              <w:jc w:val="right"/>
            </w:pPr>
            <w:r>
              <w:rPr>
                <w:rFonts w:ascii="Arial" w:cs="Arial" w:eastAsia="Arial" w:hAnsi="Arial"/>
                <w:b w:val="false"/>
                <w:bCs w:val="false"/>
                <w:sz w:val="20"/>
                <w:szCs w:val="20"/>
                <w:rtl/>
              </w:rPr>
              <w:t xml:space="preserve">מבוקש למחוק רכיבים אלה, או לחלופין לקבוע תקרה כוללת לכלל הפיצויים בשלב ההקמה בשיעור של 10% מהמחיר המוצע בסעיף 1 לטופס הצעת המחיר, וכן תקרת אחריות כוללת להסכם.</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52</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21</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א' – מפרט השירותים (קובץ נפרד)</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5.8</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נקבע קנס של 5,000 ₪ לכל יום איחור בהעברת המידע בתקופת החפיפה. מבוקש להגדיר את המועד להעברת המידע ואת הפורמט שלו, ולקבוע תקרה לקנס.</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53</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42</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ג' – נוסח אישור קיום ביטוחים</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אחריות מקצועית</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לאשר כי ניתן להציג את הכיסוי לנזקי סייבר בפוליסת סייבר נפרדת, במקום כהרחבה לפוליסת האחריות המקצועית.</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54</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42</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ג' – נוסח אישור קיום ביטוחים</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אישור קיום ביטוחים</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גורמים נוספים הקשורים למבקש האישור – יש למחוק את המלל: "תאגידים עירוניים ו/או חברות קשורות".</w:t>
            </w:r>
          </w:p>
          <w:p>
            <w:pPr>
              <w:bidi/>
              <w:spacing w:after="60"/>
              <w:jc w:val="right"/>
            </w:pPr>
            <w:r>
              <w:rPr>
                <w:rFonts w:ascii="Arial" w:cs="Arial" w:eastAsia="Arial" w:hAnsi="Arial"/>
                <w:b w:val="false"/>
                <w:bCs w:val="false"/>
                <w:sz w:val="20"/>
                <w:szCs w:val="20"/>
                <w:rtl/>
              </w:rPr>
              <w:t xml:space="preserve">ביטוח צד שלישי – יש למחוק קוד 329.</w:t>
            </w:r>
          </w:p>
          <w:p>
            <w:pPr>
              <w:bidi/>
              <w:spacing w:after="60"/>
              <w:jc w:val="right"/>
            </w:pPr>
            <w:r>
              <w:rPr>
                <w:rFonts w:ascii="Arial" w:cs="Arial" w:eastAsia="Arial" w:hAnsi="Arial"/>
                <w:b w:val="false"/>
                <w:bCs w:val="false"/>
                <w:sz w:val="20"/>
                <w:szCs w:val="20"/>
                <w:rtl/>
              </w:rPr>
              <w:t xml:space="preserve">ביטוח חבות מעבידים – יש למחוק קוד 350.</w:t>
            </w:r>
          </w:p>
          <w:p>
            <w:pPr>
              <w:bidi/>
              <w:spacing w:after="60"/>
              <w:jc w:val="right"/>
            </w:pPr>
            <w:r>
              <w:rPr>
                <w:rFonts w:ascii="Arial" w:cs="Arial" w:eastAsia="Arial" w:hAnsi="Arial"/>
                <w:b w:val="false"/>
                <w:bCs w:val="false"/>
                <w:sz w:val="20"/>
                <w:szCs w:val="20"/>
                <w:rtl/>
              </w:rPr>
              <w:t xml:space="preserve">ביטוח אחריות מקצועית – יש למחוק קוד 339 ולהוסיף במקום ביטוח סייבר לאישור קיום הביטוח.</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55</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51</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ד' – נספח מיקור חוץ לעיבוד מידע אישי</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תוספת ב - אבטחת מידע</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האם הספק צריך לספק פתרון XDR או קיים פתרון כזה אצלכם והספק צריך לתמוך?</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56</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51</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ד' – נספח מיקור חוץ לעיבוד מידע אישי</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תוספת ב - אבטחת מידע</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בהצעת מחיר התייחסתם רק לשירותי מרכזיות, לא לשירותי אבטחת מידע או ציוד אינטגרציה. אם יש צורך בשירות כזה, נוכל לתת הצעת מחיר בהתאם.</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57</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51</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ד' – נספח מיקור חוץ לעיבוד מידע אישי</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תוספת ב - אבטחת מידע - הגנה מאיומי אינטרנט</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האינטרנט הוא שלכם לא דרך הספק. יש דרישה להפעיל סינון גלישה בכל תחנות הקצה, NGFW, IPS  - אשמח להתייחסות</w:t>
            </w:r>
          </w:p>
        </w:tc>
      </w:tr>
      <w:tr>
        <w:trPr>
          <w:cantSplit/>
        </w:trPr>
        <w:tc>
          <w:tcPr>
            <w:tcW w:type="dxa" w:w="700"/>
            <w:vMerge w:val="restart"/>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58</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56</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ה' – טופס הצעת מחיר</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1 בטופס</w:t>
            </w:r>
          </w:p>
        </w:tc>
        <w:tc>
          <w:tcPr>
            <w:tcW w:type="dxa" w:w="9038"/>
            <w:vMerge w:val="restart"/>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1 מוגדר כ"קומפלט – חד פעמי / תשלום אחד ל-36 חודשים", והוא כולל גם שירות, תחזוקה ומרכזיית ענן לתקופה של 36 חודשים. מבוקש להבהיר:</w:t>
            </w:r>
          </w:p>
          <w:p>
            <w:pPr>
              <w:bidi/>
              <w:spacing w:after="60"/>
              <w:jc w:val="right"/>
            </w:pPr>
            <w:r>
              <w:rPr>
                <w:rFonts w:ascii="Arial" w:cs="Arial" w:eastAsia="Arial" w:hAnsi="Arial"/>
                <w:b w:val="false"/>
                <w:bCs w:val="false"/>
                <w:sz w:val="20"/>
                <w:szCs w:val="20"/>
                <w:rtl/>
              </w:rPr>
              <w:t xml:space="preserve">(א) האם מחיר סעיף 1 משולם כולו לפי אבני הדרך שבסעיף 8.2 להסכם (20% / 80%), או שרכיב השירות והענן משולם כתשלום חודשי שווה לפי סעיף 8.3;</w:t>
            </w:r>
          </w:p>
          <w:p>
            <w:pPr>
              <w:bidi/>
              <w:spacing w:after="60"/>
              <w:jc w:val="right"/>
            </w:pPr>
            <w:r>
              <w:rPr>
                <w:rFonts w:ascii="Arial" w:cs="Arial" w:eastAsia="Arial" w:hAnsi="Arial"/>
                <w:b w:val="false"/>
                <w:bCs w:val="false"/>
                <w:sz w:val="20"/>
                <w:szCs w:val="20"/>
                <w:rtl/>
              </w:rPr>
              <w:t xml:space="preserve">(ב) כי מלבד הסעיפים בטופס הצעת המחיר לא יידרשו או ייגבו תשלומים נוספים במהלך 36 החודשים (אירוח ענן, רישוי שנתי של יצרן, עדכוני גרסה);</w:t>
            </w:r>
          </w:p>
          <w:p>
            <w:pPr>
              <w:bidi/>
              <w:spacing w:after="60"/>
              <w:jc w:val="right"/>
            </w:pPr>
            <w:r>
              <w:rPr>
                <w:rFonts w:ascii="Arial" w:cs="Arial" w:eastAsia="Arial" w:hAnsi="Arial"/>
                <w:b w:val="false"/>
                <w:bCs w:val="false"/>
                <w:sz w:val="20"/>
                <w:szCs w:val="20"/>
                <w:rtl/>
              </w:rPr>
              <w:t xml:space="preserve">(ג) האם סעיף 4 ("שירות ותמיכה ואחריות משנה רביעית") כולל גם את אירוח מרכזיית הענן ומוקד הענן ואת רישוי היצרן בשנות האופציה.</w:t>
            </w:r>
          </w:p>
        </w:tc>
      </w:tr>
      <w:tr>
        <w:trPr>
          <w:cantSplit/>
        </w:trPr>
        <w:tc>
          <w:tcPr>
            <w:vMerge w:val="continue"/>
            <w:tcBorders>
              <w:top w:val="single" w:color="808080" w:sz="4"/>
              <w:left w:val="single" w:color="808080" w:sz="4"/>
              <w:bottom w:val="single" w:color="808080" w:sz="4"/>
              <w:right w:val="single" w:color="808080" w:sz="4"/>
            </w:tcBorders>
          </w:tcP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31</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מסמך ג' – הסכם</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8.2–8.3 בהסכם</w:t>
            </w:r>
          </w:p>
        </w:tc>
        <w:tc>
          <w:tcPr>
            <w:vMerge w:val="continue"/>
            <w:tcBorders>
              <w:top w:val="single" w:color="808080" w:sz="4"/>
              <w:left w:val="single" w:color="808080" w:sz="4"/>
              <w:bottom w:val="single" w:color="808080" w:sz="4"/>
              <w:right w:val="single" w:color="808080" w:sz="4"/>
            </w:tcBorders>
          </w:tcPr>
          <w:p/>
        </w:tc>
      </w:tr>
      <w:tr>
        <w:trPr>
          <w:cantSplit/>
        </w:trPr>
        <w:tc>
          <w:tcPr>
            <w:tcW w:type="dxa" w:w="700"/>
            <w:vMerge w:val="restart"/>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59</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56–57</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ה' – טופס הצעת מחיר</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1 ותוספת 1 בטופס</w:t>
            </w:r>
          </w:p>
        </w:tc>
        <w:tc>
          <w:tcPr>
            <w:tcW w:type="dxa" w:w="9038"/>
            <w:vMerge w:val="restart"/>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1 בטופס כולל call center מקומי וגם call center בענן; סעיף 7.25 במפרט קובע כי על הספק להציע "גם" מחיר ל-call center בענן; ותוספת 1 מתמחרת "מחיר לשלוחה בודדת call center בענן".</w:t>
            </w:r>
          </w:p>
          <w:p>
            <w:pPr>
              <w:bidi/>
              <w:spacing w:after="60"/>
              <w:jc w:val="right"/>
            </w:pPr>
            <w:r>
              <w:rPr>
                <w:rFonts w:ascii="Arial" w:cs="Arial" w:eastAsia="Arial" w:hAnsi="Arial"/>
                <w:b w:val="false"/>
                <w:bCs w:val="false"/>
                <w:sz w:val="20"/>
                <w:szCs w:val="20"/>
                <w:rtl/>
              </w:rPr>
              <w:t xml:space="preserve">מבוקש להבהיר: (א) האם סעיף 1 כולל את שני המוקדים במלואם; (ב) האם 30 הרישיונות שבסעיף 7.24 נדרשים בכל אחד מהמוקדים או 30 בסך הכול; (ג) לאיזה צורך משמשת תוספת 1, והאם המחיר בה חודשי או חד-פעמי.</w:t>
            </w:r>
          </w:p>
        </w:tc>
      </w:tr>
      <w:tr>
        <w:trPr>
          <w:cantSplit/>
        </w:trPr>
        <w:tc>
          <w:tcPr>
            <w:vMerge w:val="continue"/>
            <w:tcBorders>
              <w:top w:val="single" w:color="808080" w:sz="4"/>
              <w:left w:val="single" w:color="808080" w:sz="4"/>
              <w:bottom w:val="single" w:color="808080" w:sz="4"/>
              <w:right w:val="single" w:color="808080" w:sz="4"/>
            </w:tcBorders>
          </w:tcP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13</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א' – מפרט השירותים (קובץ נפרד)</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7.24–7.25 במפרט</w:t>
            </w:r>
          </w:p>
        </w:tc>
        <w:tc>
          <w:tcPr>
            <w:vMerge w:val="continue"/>
            <w:tcBorders>
              <w:top w:val="single" w:color="808080" w:sz="4"/>
              <w:left w:val="single" w:color="808080" w:sz="4"/>
              <w:bottom w:val="single" w:color="808080" w:sz="4"/>
              <w:right w:val="single" w:color="808080" w:sz="4"/>
            </w:tcBorders>
          </w:tcPr>
          <w:p/>
        </w:tc>
      </w:tr>
      <w:tr>
        <w:trPr>
          <w:cantSplit/>
        </w:trPr>
        <w:tc>
          <w:tcPr>
            <w:tcW w:type="dxa" w:w="700"/>
            <w:vMerge w:val="restart"/>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60</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56</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ה' – טופס הצעת מחיר</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סעיפים 2–3 בטופס</w:t>
            </w:r>
          </w:p>
        </w:tc>
        <w:tc>
          <w:tcPr>
            <w:tcW w:type="dxa" w:w="9038"/>
            <w:vMerge w:val="restart"/>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לפרט את הכמות המשוערת של כל אחד מדגמי הטלפונים (8.1, 8.2, 8.3) שהעירייה צפויה להזמין, ולהבהיר כי מכשירי הטלפון הקיימים הם בבעלות העירייה, יחוברו למרכזייה החדשה ככל שניתן, ופתיחת מכשירים נעולים תתומחר לפי שעת טכנאי (תוספת 6) לאחר אישור העירייה בכתב.</w:t>
            </w:r>
          </w:p>
        </w:tc>
      </w:tr>
      <w:tr>
        <w:trPr>
          <w:cantSplit/>
        </w:trPr>
        <w:tc>
          <w:tcPr>
            <w:vMerge w:val="continue"/>
            <w:tcBorders>
              <w:top w:val="single" w:color="808080" w:sz="4"/>
              <w:left w:val="single" w:color="808080" w:sz="4"/>
              <w:bottom w:val="single" w:color="808080" w:sz="4"/>
              <w:right w:val="single" w:color="808080" w:sz="4"/>
            </w:tcBorders>
          </w:tcP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5</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א' – מפרט השירותים (קובץ נפרד)</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3.5 במפרט</w:t>
            </w:r>
          </w:p>
        </w:tc>
        <w:tc>
          <w:tcPr>
            <w:vMerge w:val="continue"/>
            <w:tcBorders>
              <w:top w:val="single" w:color="808080" w:sz="4"/>
              <w:left w:val="single" w:color="808080" w:sz="4"/>
              <w:bottom w:val="single" w:color="808080" w:sz="4"/>
              <w:right w:val="single" w:color="808080" w:sz="4"/>
            </w:tcBorders>
          </w:tcPr>
          <w:p/>
        </w:tc>
      </w:tr>
      <w:tr>
        <w:trPr>
          <w:cantSplit/>
        </w:trPr>
        <w:tc>
          <w:tcPr>
            <w:tcW w:type="dxa" w:w="700"/>
            <w:vMerge w:val="restart"/>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61</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56</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ה' – טופס הצעת מחיר</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5 בטופס</w:t>
            </w:r>
          </w:p>
        </w:tc>
        <w:tc>
          <w:tcPr>
            <w:tcW w:type="dxa" w:w="9038"/>
            <w:vMerge w:val="restart"/>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לגבי בנק השיחות של 40,000 דקות בחודש, מבוקש להבהיר:</w:t>
            </w:r>
          </w:p>
          <w:p>
            <w:pPr>
              <w:bidi/>
              <w:spacing w:after="60"/>
              <w:jc w:val="right"/>
            </w:pPr>
            <w:r>
              <w:rPr>
                <w:rFonts w:ascii="Arial" w:cs="Arial" w:eastAsia="Arial" w:hAnsi="Arial"/>
                <w:b w:val="false"/>
                <w:bCs w:val="false"/>
                <w:sz w:val="20"/>
                <w:szCs w:val="20"/>
                <w:rtl/>
              </w:rPr>
              <w:t xml:space="preserve">(א) אילו יעדים כלולים בבנק: נייח, סלולר, חו"ל, מספרי 1-700/1-800/1-900 ושירותי ערך מוסף;</w:t>
            </w:r>
          </w:p>
          <w:p>
            <w:pPr>
              <w:bidi/>
              <w:spacing w:after="60"/>
              <w:jc w:val="right"/>
            </w:pPr>
            <w:r>
              <w:rPr>
                <w:rFonts w:ascii="Arial" w:cs="Arial" w:eastAsia="Arial" w:hAnsi="Arial"/>
                <w:b w:val="false"/>
                <w:bCs w:val="false"/>
                <w:sz w:val="20"/>
                <w:szCs w:val="20"/>
                <w:rtl/>
              </w:rPr>
              <w:t xml:space="preserve">(ב) האם שיחות נכנסות ושיחות פנים-ארגוניות נספרות בבנק;</w:t>
            </w:r>
          </w:p>
          <w:p>
            <w:pPr>
              <w:bidi/>
              <w:spacing w:after="60"/>
              <w:jc w:val="right"/>
            </w:pPr>
            <w:r>
              <w:rPr>
                <w:rFonts w:ascii="Arial" w:cs="Arial" w:eastAsia="Arial" w:hAnsi="Arial"/>
                <w:b w:val="false"/>
                <w:bCs w:val="false"/>
                <w:sz w:val="20"/>
                <w:szCs w:val="20"/>
                <w:rtl/>
              </w:rPr>
              <w:t xml:space="preserve">(ג) האם דקות שלא נוצלו בחודש נצברות לחודש הבא;</w:t>
            </w:r>
          </w:p>
          <w:p>
            <w:pPr>
              <w:bidi/>
              <w:spacing w:after="60"/>
              <w:jc w:val="right"/>
            </w:pPr>
            <w:r>
              <w:rPr>
                <w:rFonts w:ascii="Arial" w:cs="Arial" w:eastAsia="Arial" w:hAnsi="Arial"/>
                <w:b w:val="false"/>
                <w:bCs w:val="false"/>
                <w:sz w:val="20"/>
                <w:szCs w:val="20"/>
                <w:rtl/>
              </w:rPr>
              <w:t xml:space="preserve">(ד) מהו המחיר לדקה מעבר לבנק – האם לפי תוספת 9 בלבד;</w:t>
            </w:r>
          </w:p>
          <w:p>
            <w:pPr>
              <w:bidi/>
              <w:spacing w:after="60"/>
              <w:jc w:val="right"/>
            </w:pPr>
            <w:r>
              <w:rPr>
                <w:rFonts w:ascii="Arial" w:cs="Arial" w:eastAsia="Arial" w:hAnsi="Arial"/>
                <w:b w:val="false"/>
                <w:bCs w:val="false"/>
                <w:sz w:val="20"/>
                <w:szCs w:val="20"/>
                <w:rtl/>
              </w:rPr>
              <w:t xml:space="preserve">(ה) כמה ערוצי שיחה בו-זמניים (SIP trunk) נדרשים.</w:t>
            </w:r>
          </w:p>
        </w:tc>
      </w:tr>
      <w:tr>
        <w:trPr>
          <w:cantSplit/>
        </w:trPr>
        <w:tc>
          <w:tcPr>
            <w:vMerge w:val="continue"/>
            <w:tcBorders>
              <w:top w:val="single" w:color="808080" w:sz="4"/>
              <w:left w:val="single" w:color="808080" w:sz="4"/>
              <w:bottom w:val="single" w:color="808080" w:sz="4"/>
              <w:right w:val="single" w:color="808080" w:sz="4"/>
            </w:tcBorders>
          </w:tcP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3</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א' – מפרט השירותים (קובץ נפרד)</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2.6 במפרט</w:t>
            </w:r>
          </w:p>
        </w:tc>
        <w:tc>
          <w:tcPr>
            <w:vMerge w:val="continue"/>
            <w:tcBorders>
              <w:top w:val="single" w:color="808080" w:sz="4"/>
              <w:left w:val="single" w:color="808080" w:sz="4"/>
              <w:bottom w:val="single" w:color="808080" w:sz="4"/>
              <w:right w:val="single" w:color="808080" w:sz="4"/>
            </w:tcBorders>
          </w:tcP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62</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57</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ה' – טופס הצעת מחיר</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תוספת 2</w:t>
            </w:r>
          </w:p>
        </w:tc>
        <w:tc>
          <w:tcPr>
            <w:tcW w:type="dxa" w:w="9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בתוספת 2 נכתב "טלפון מתקדם שני מסכים: סעיף 9.3". מבוקש לאשר כי הכוונה לסעיף 8.3 במפרט.</w:t>
            </w:r>
          </w:p>
        </w:tc>
      </w:tr>
    </w:tbl>
    <w:p>
      <w:pPr>
        <w:bidi/>
        <w:spacing w:after="200"/>
        <w:jc w:val="right"/>
      </w:pPr>
      <w:r>
        <w:rPr>
          <w:rFonts w:ascii="Arial" w:cs="Arial" w:eastAsia="Arial" w:hAnsi="Arial"/>
          <w:b w:val="false"/>
          <w:bCs w:val="false"/>
          <w:sz w:val="20"/>
          <w:szCs w:val="20"/>
          <w:rtl/>
        </w:rPr>
        <w:t xml:space="preserve"/>
      </w:r>
    </w:p>
    <w:p>
      <w:pPr>
        <w:bidi/>
        <w:spacing w:after="60"/>
        <w:jc w:val="right"/>
      </w:pPr>
      <w:r>
        <w:rPr>
          <w:rFonts w:ascii="Arial" w:cs="Arial" w:eastAsia="Arial" w:hAnsi="Arial"/>
          <w:b w:val="false"/>
          <w:bCs w:val="false"/>
          <w:sz w:val="20"/>
          <w:szCs w:val="20"/>
          <w:rtl/>
        </w:rPr>
        <w:t xml:space="preserve">חתימה וחותמת המשתתף: ______________________          תאריך: ______________</w:t>
      </w:r>
    </w:p>
    <w:sectPr>
      <w:footerReference w:type="default" r:id="rId7"/>
      <w:pgSz w:w="16838" w:h="11906" w:orient="landscape"/>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sz w:val="16"/>
        <w:szCs w:val="16"/>
        <w:rtl/>
      </w:rPr>
      <w:t xml:space="preserve">עמוד </w:t>
    </w:r>
    <w:r>
      <w:rPr>
        <w:rFonts w:ascii="Arial" w:cs="Arial" w:eastAsia="Arial" w:hAnsi="Arial"/>
        <w:sz w:val="16"/>
        <w:szCs w:val="16"/>
        <w:rtl/>
      </w:rPr>
      <w:fldChar w:fldCharType="begin"/>
      <w:instrText xml:space="preserve">PAGE</w:instrText>
      <w:fldChar w:fldCharType="separate"/>
      <w:fldChar w:fldCharType="end"/>
    </w:r>
    <w:r>
      <w:rPr>
        <w:rFonts w:ascii="Arial" w:cs="Arial" w:eastAsia="Arial" w:hAnsi="Arial"/>
        <w:sz w:val="16"/>
        <w:szCs w:val="16"/>
        <w:rtl/>
      </w:rPr>
      <w:t xml:space="preserve"> מתוך </w:t>
    </w:r>
    <w:r>
      <w:rPr>
        <w:rFonts w:ascii="Arial" w:cs="Arial" w:eastAsia="Arial" w:hAnsi="Arial"/>
        <w:sz w:val="16"/>
        <w:szCs w:val="16"/>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2026-10-13T18:19:14.344Z</dcterms:created>
  <dcterms:modified xsi:type="dcterms:W3CDTF">2026-10-13T18:19:14.344Z</dcterms:modified>
</cp:coreProperties>
</file>

<file path=docProps/custom.xml><?xml version="1.0" encoding="utf-8"?>
<Properties xmlns="http://schemas.openxmlformats.org/officeDocument/2006/custom-properties" xmlns:vt="http://schemas.openxmlformats.org/officeDocument/2006/docPropsVTypes"/>
</file>