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2D53" w14:textId="77777777" w:rsidR="0093508A" w:rsidRDefault="00000000">
      <w:pPr>
        <w:spacing w:after="120"/>
        <w:jc w:val="center"/>
      </w:pPr>
      <w:r>
        <w:rPr>
          <w:b/>
          <w:bCs/>
          <w:sz w:val="32"/>
          <w:szCs w:val="32"/>
        </w:rPr>
        <w:t>Predicting S&amp;P 500 Price Movements:</w:t>
      </w:r>
    </w:p>
    <w:p w14:paraId="7324B57F" w14:textId="77777777" w:rsidR="0093508A" w:rsidRDefault="00000000">
      <w:pPr>
        <w:spacing w:after="240"/>
        <w:jc w:val="center"/>
      </w:pPr>
      <w:r>
        <w:rPr>
          <w:b/>
          <w:bCs/>
          <w:sz w:val="28"/>
          <w:szCs w:val="28"/>
        </w:rPr>
        <w:t>A Comparative Analysis of Random Forest and Logistic Regression Models with Walk-Forward Backtesting</w:t>
      </w:r>
    </w:p>
    <w:p w14:paraId="6253BC00" w14:textId="46F74147" w:rsidR="0093508A" w:rsidRDefault="00000000">
      <w:pPr>
        <w:spacing w:after="480"/>
        <w:jc w:val="center"/>
      </w:pPr>
      <w:r>
        <w:t>Itamar Amsalem</w:t>
      </w:r>
    </w:p>
    <w:p w14:paraId="4160375F" w14:textId="77777777" w:rsidR="0093508A" w:rsidRDefault="00000000">
      <w:pPr>
        <w:pStyle w:val="Heading1"/>
      </w:pPr>
      <w:r>
        <w:t>Abstract</w:t>
      </w:r>
    </w:p>
    <w:p w14:paraId="23391C84" w14:textId="77777777" w:rsidR="0093508A" w:rsidRDefault="00000000">
      <w:pPr>
        <w:spacing w:after="240"/>
        <w:jc w:val="both"/>
      </w:pPr>
      <w:r>
        <w:t>This paper presents a comparative analysis of two machine learning approaches for predicting daily S&amp;P 500 price movements: Random Forest and Logistic Regression. Using over 30 years of historical data (1990-present), we engineer features based on multi-timeframe rolling price ratios and trend momentum indicators. We implement a rigorous walk-forward backtesting framework to evaluate model performance across diverse market regimes. Our findings demonstrate that thoughtful feature engineering significantly outweighs model complexity in this domain, and that even well-designed models exhibit modest predictive edge due to inherent market efficiency. The methodology emphasizes the critical importance of proper backtesting to avoid look-ahead bias and overfitting.</w:t>
      </w:r>
    </w:p>
    <w:p w14:paraId="6107C819" w14:textId="77777777" w:rsidR="0093508A" w:rsidRDefault="00000000">
      <w:pPr>
        <w:pStyle w:val="Heading1"/>
      </w:pPr>
      <w:r>
        <w:t>1. Introduction</w:t>
      </w:r>
    </w:p>
    <w:p w14:paraId="02944040" w14:textId="77777777" w:rsidR="0093508A" w:rsidRDefault="00000000">
      <w:pPr>
        <w:pStyle w:val="Heading2"/>
      </w:pPr>
      <w:r>
        <w:t>1.1 Motivation</w:t>
      </w:r>
    </w:p>
    <w:p w14:paraId="0C719093" w14:textId="77777777" w:rsidR="0093508A" w:rsidRDefault="00000000">
      <w:pPr>
        <w:spacing w:after="120"/>
        <w:jc w:val="both"/>
      </w:pPr>
      <w:r>
        <w:t>Predicting financial market movements has long been a central challenge in quantitative finance. The S&amp;P 500 index, as a broad representation of the U.S. equity market, provides an ideal testing ground for machine learning approaches due to its liquidity, long historical record, and economic significance. While the Efficient Market Hypothesis [3] suggests that consistent prediction of market movements should be impossible, numerous studies have identified small, exploitable inefficiencies through systematic approaches.</w:t>
      </w:r>
    </w:p>
    <w:p w14:paraId="7BC40927" w14:textId="77777777" w:rsidR="0093508A" w:rsidRDefault="00000000">
      <w:pPr>
        <w:pStyle w:val="Heading2"/>
      </w:pPr>
      <w:r>
        <w:t>1.2 Research Objectives</w:t>
      </w:r>
    </w:p>
    <w:p w14:paraId="2AA02561" w14:textId="77777777" w:rsidR="0093508A" w:rsidRDefault="00000000">
      <w:pPr>
        <w:spacing w:after="120"/>
        <w:jc w:val="both"/>
      </w:pPr>
      <w:r>
        <w:t>This research investigates whether machine learning models can extract predictive signals from historical price and volume data. Specifically, we:</w:t>
      </w:r>
    </w:p>
    <w:p w14:paraId="5CC6CD55" w14:textId="77777777" w:rsidR="0093508A" w:rsidRDefault="00000000">
      <w:pPr>
        <w:pStyle w:val="ListParagraph"/>
        <w:numPr>
          <w:ilvl w:val="0"/>
          <w:numId w:val="2"/>
        </w:numPr>
      </w:pPr>
      <w:r>
        <w:t>Compare two fundamentally different algorithmic approaches: ensemble methods (Random Forest) versus linear models (Logistic Regression)</w:t>
      </w:r>
    </w:p>
    <w:p w14:paraId="51C02093" w14:textId="77777777" w:rsidR="0093508A" w:rsidRDefault="00000000">
      <w:pPr>
        <w:pStyle w:val="ListParagraph"/>
        <w:numPr>
          <w:ilvl w:val="0"/>
          <w:numId w:val="2"/>
        </w:numPr>
      </w:pPr>
      <w:r>
        <w:t>Engineer features that capture multi-timeframe market dynamics while maintaining scale invariance</w:t>
      </w:r>
    </w:p>
    <w:p w14:paraId="52AE9A6B" w14:textId="77777777" w:rsidR="0093508A" w:rsidRDefault="00000000">
      <w:pPr>
        <w:pStyle w:val="ListParagraph"/>
        <w:numPr>
          <w:ilvl w:val="0"/>
          <w:numId w:val="2"/>
        </w:numPr>
      </w:pPr>
      <w:r>
        <w:t>Implement rigorous walk-forward backtesting to provide realistic performance estimates</w:t>
      </w:r>
    </w:p>
    <w:p w14:paraId="0F66CDBF" w14:textId="77777777" w:rsidR="0093508A" w:rsidRDefault="00000000">
      <w:pPr>
        <w:pStyle w:val="ListParagraph"/>
        <w:numPr>
          <w:ilvl w:val="0"/>
          <w:numId w:val="2"/>
        </w:numPr>
        <w:spacing w:after="120"/>
      </w:pPr>
      <w:r>
        <w:t>Evaluate models using metrics appropriate for trading applications (precision and ROC-AUC)</w:t>
      </w:r>
    </w:p>
    <w:p w14:paraId="75EFC7D0" w14:textId="77777777" w:rsidR="0093508A" w:rsidRDefault="00000000">
      <w:pPr>
        <w:pStyle w:val="Heading2"/>
      </w:pPr>
      <w:r>
        <w:t>1.3 Contributions</w:t>
      </w:r>
    </w:p>
    <w:p w14:paraId="0AD175F2" w14:textId="77777777" w:rsidR="0093508A" w:rsidRDefault="00000000">
      <w:pPr>
        <w:spacing w:after="240"/>
        <w:jc w:val="both"/>
      </w:pPr>
      <w:r>
        <w:t xml:space="preserve">Our work makes several contributions to the application of machine learning in financial prediction. We demonstrate a systematic methodology for feature engineering that addresses the non-stationarity of financial time series. We provide a comprehensive comparison of model complexity versus performance in this domain. Most importantly, we emphasize the critical role </w:t>
        <w:lastRenderedPageBreak/>
        <w:t>of proper backtesting methodology in producing trustworthy results, highlighting common pitfalls such as look-ahead bias and regime-specific overfitting.</w:t>
      </w:r>
    </w:p>
    <w:p w14:paraId="20A6704D" w14:textId="77777777" w:rsidR="0093508A" w:rsidRDefault="00000000">
      <w:pPr>
        <w:pStyle w:val="Heading1"/>
      </w:pPr>
      <w:r>
        <w:t>2. Data and Problem Formulation</w:t>
      </w:r>
    </w:p>
    <w:p w14:paraId="2C2EF3F8" w14:textId="77777777" w:rsidR="0093508A" w:rsidRDefault="00000000">
      <w:pPr>
        <w:pStyle w:val="Heading2"/>
      </w:pPr>
      <w:r>
        <w:t>2.1 Dataset Description</w:t>
      </w:r>
    </w:p>
    <w:p w14:paraId="20523B33" w14:textId="77777777" w:rsidR="0093508A" w:rsidRDefault="00000000">
      <w:pPr>
        <w:spacing w:after="120"/>
        <w:jc w:val="both"/>
      </w:pPr>
      <w:r>
        <w:t>We utilize daily OHLCV (Open, High, Low, Close, Volume) data for the S&amp;P 500 index from January 1, 1990 to present, obtained via the yfinance API. This timeframe provides approximately 8,500 trading days and encompasses diverse market conditions:</w:t>
      </w:r>
    </w:p>
    <w:p w14:paraId="0DB5DFA8" w14:textId="77777777" w:rsidR="0093508A" w:rsidRDefault="00000000">
      <w:pPr>
        <w:pStyle w:val="ListParagraph"/>
        <w:numPr>
          <w:ilvl w:val="0"/>
          <w:numId w:val="2"/>
        </w:numPr>
      </w:pPr>
      <w:r>
        <w:t>The dot-com bubble and subsequent crash (1997-2002)</w:t>
      </w:r>
    </w:p>
    <w:p w14:paraId="1551F87D" w14:textId="77777777" w:rsidR="0093508A" w:rsidRDefault="00000000">
      <w:pPr>
        <w:pStyle w:val="ListParagraph"/>
        <w:numPr>
          <w:ilvl w:val="0"/>
          <w:numId w:val="2"/>
        </w:numPr>
      </w:pPr>
      <w:r>
        <w:t>The 2008 financial crisis and Great Recession</w:t>
      </w:r>
    </w:p>
    <w:p w14:paraId="04B69FB1" w14:textId="77777777" w:rsidR="0093508A" w:rsidRDefault="00000000">
      <w:pPr>
        <w:pStyle w:val="ListParagraph"/>
        <w:numPr>
          <w:ilvl w:val="0"/>
          <w:numId w:val="2"/>
        </w:numPr>
      </w:pPr>
      <w:r>
        <w:t>The COVID-19 market crash and recovery (2020)</w:t>
      </w:r>
    </w:p>
    <w:p w14:paraId="6D18F954" w14:textId="77777777" w:rsidR="0093508A" w:rsidRDefault="00000000">
      <w:pPr>
        <w:pStyle w:val="ListParagraph"/>
        <w:numPr>
          <w:ilvl w:val="0"/>
          <w:numId w:val="2"/>
        </w:numPr>
      </w:pPr>
      <w:r>
        <w:t>Multiple Federal Reserve policy cycles</w:t>
      </w:r>
    </w:p>
    <w:p w14:paraId="7221F5E9" w14:textId="77777777" w:rsidR="0093508A" w:rsidRDefault="00000000">
      <w:pPr>
        <w:pStyle w:val="ListParagraph"/>
        <w:numPr>
          <w:ilvl w:val="0"/>
          <w:numId w:val="2"/>
        </w:numPr>
        <w:spacing w:after="120"/>
      </w:pPr>
      <w:r>
        <w:t>Extended bull and bear market periods</w:t>
      </w:r>
    </w:p>
    <w:p w14:paraId="1BE3E927" w14:textId="77777777" w:rsidR="0093508A" w:rsidRDefault="00000000">
      <w:pPr>
        <w:spacing w:after="120"/>
        <w:jc w:val="both"/>
      </w:pPr>
      <w:r>
        <w:t>The dataset is preprocessed by removing dividend and stock split information, which are not relevant for index-level price prediction and could introduce unnecessary noise.</w:t>
      </w:r>
    </w:p>
    <w:p w14:paraId="11743A3D" w14:textId="77777777" w:rsidR="0093508A" w:rsidRDefault="00000000">
      <w:pPr>
        <w:pStyle w:val="Heading2"/>
      </w:pPr>
      <w:r>
        <w:t>2.2 Problem Statement</w:t>
      </w:r>
    </w:p>
    <w:p w14:paraId="32EAEB10" w14:textId="77777777" w:rsidR="0093508A" w:rsidRDefault="00000000">
      <w:pPr>
        <w:spacing w:after="120"/>
        <w:jc w:val="both"/>
      </w:pPr>
      <w:r>
        <w:t xml:space="preserve">We frame the prediction task as a binary classification problem: given the market state at time </w:t>
      </w:r>
      <w:r>
        <w:rPr>
          <w:i/>
          <w:iCs/>
        </w:rPr>
        <w:t>t</w:t>
      </w:r>
      <w:r>
        <w:t xml:space="preserve">, predict whether the closing price at time </w:t>
      </w:r>
      <w:r>
        <w:rPr>
          <w:i/>
          <w:iCs/>
        </w:rPr>
        <w:t>t+1</w:t>
      </w:r>
      <w:r>
        <w:t xml:space="preserve"> will be higher than the closing price at time </w:t>
      </w:r>
      <w:r>
        <w:rPr>
          <w:i/>
          <w:iCs/>
        </w:rPr>
        <w:t>t</w:t>
      </w:r>
      <w:r>
        <w:t>. Formally, we define the target variable as:</w:t>
      </w:r>
    </w:p>
    <w:p w14:paraId="7948816D" w14:textId="77777777" w:rsidR="0093508A" w:rsidRDefault="00000000">
      <w:pPr>
        <w:spacing w:after="120"/>
        <w:jc w:val="center"/>
      </w:pPr>
      <m:oMathPara>
        <m:oMath>
          <m:r>
            <m:t>Target(t) = 1 if Close(t+1) &gt; Close(t), else 0</m:t>
          </m:r>
        </m:oMath>
      </m:oMathPara>
    </w:p>
    <w:p w14:paraId="6D9A30C6" w14:textId="77777777" w:rsidR="0093508A" w:rsidRDefault="00000000">
      <w:pPr>
        <w:spacing w:after="240"/>
        <w:jc w:val="both"/>
      </w:pPr>
      <w:r>
        <w:t>This formulation directly mirrors trading decisions: a positive prediction (Target = 1) suggests taking a long position, while a negative prediction suggests remaining out of the market or taking a short position. The binary nature simplifies the learning task compared to regression-based price forecasting while remaining practically relevant.</w:t>
      </w:r>
    </w:p>
    <w:p w14:paraId="4F4E17A3" w14:textId="77777777" w:rsidR="0093508A" w:rsidRDefault="00000000">
      <w:pPr>
        <w:pStyle w:val="Heading1"/>
      </w:pPr>
      <w:r>
        <w:t>3. Feature Engineering</w:t>
      </w:r>
    </w:p>
    <w:p w14:paraId="01ED9DDD" w14:textId="77777777" w:rsidR="0093508A" w:rsidRDefault="00000000">
      <w:pPr>
        <w:pStyle w:val="Heading2"/>
      </w:pPr>
      <w:r>
        <w:t>3.1 Rationale</w:t>
      </w:r>
    </w:p>
    <w:p w14:paraId="13CDCC01" w14:textId="77777777" w:rsidR="0093508A" w:rsidRDefault="00000000">
      <w:pPr>
        <w:spacing w:after="120"/>
        <w:jc w:val="both"/>
      </w:pPr>
      <w:r>
        <w:t>Raw price levels are poor features for financial prediction due to non-stationarity and scale dependence. A $10 price move carries different informational content when the index is at 2,000 versus 5,000. To address this, we engineer features that capture relative price movements and multi-timeframe momentum while maintaining scale invariance.</w:t>
      </w:r>
    </w:p>
    <w:p w14:paraId="5917F5FD" w14:textId="77777777" w:rsidR="0093508A" w:rsidRDefault="00000000">
      <w:pPr>
        <w:pStyle w:val="Heading2"/>
      </w:pPr>
      <w:r>
        <w:t>3.2 Rolling Price Ratios</w:t>
      </w:r>
    </w:p>
    <w:p w14:paraId="0744E187" w14:textId="77777777" w:rsidR="0093508A" w:rsidRPr="00C6484C" w:rsidRDefault="00000000">
      <w:pPr>
        <w:spacing w:after="120"/>
        <w:jc w:val="both"/>
      </w:pPr>
      <w:r>
        <w:t xml:space="preserve">For each of five time horizons </w:t>
      </w:r>
      <w:r>
        <w:rPr>
          <w:i/>
          <w:iCs/>
        </w:rPr>
        <w:t>h</w:t>
      </w:r>
      <w:r>
        <w:t xml:space="preserve"> ∈ {2, 5, 60, 250, 1000} days, we compute:</w:t>
      </w:r>
    </w:p>
    <w:p w14:paraId="788C99C2" w14:textId="77777777" w:rsidR="0093508A" w:rsidRPr="00C6484C" w:rsidRDefault="00000000">
      <w:pPr>
        <w:spacing w:after="120"/>
        <w:jc w:val="center"/>
      </w:pPr>
      <m:oMathPara>
        <m:oMath>
          <m:sSub>
            <m:e>
              <m:r>
                <m:t>Close_Ratio</m:t>
              </m:r>
            </m:e>
            <m:sub>
              <m:r>
                <m:t>h</m:t>
              </m:r>
            </m:sub>
          </m:sSub>
          <m:r>
            <m:t xml:space="preserve">(t) = </m:t>
          </m:r>
          <m:f>
            <m:num>
              <m:r>
                <m:t>Close(t)</m:t>
              </m:r>
            </m:num>
            <m:den>
              <m:sSub>
                <m:e>
                  <m:r>
                    <m:t>MA</m:t>
                  </m:r>
                </m:e>
                <m:sub>
                  <m:r>
                    <m:t>h</m:t>
                  </m:r>
                </m:sub>
              </m:sSub>
              <m:r>
                <m:t>(t)</m:t>
              </m:r>
            </m:den>
          </m:f>
        </m:oMath>
      </m:oMathPara>
    </w:p>
    <w:p w14:paraId="44F39DA3" w14:textId="77777777" w:rsidR="0093508A" w:rsidRPr="00C6484C" w:rsidRDefault="00000000">
      <w:pPr>
        <w:spacing w:after="120"/>
        <w:jc w:val="both"/>
      </w:pPr>
      <w:r>
        <w:t>where MA</w:t>
      </w:r>
      <w:r>
        <w:rPr>
          <w:i/>
          <w:iCs/>
        </w:rPr>
        <w:t>_h(t)</w:t>
      </w:r>
      <w:r>
        <w:t xml:space="preserve"> is the </w:t>
      </w:r>
      <w:r>
        <w:rPr>
          <w:i/>
          <w:iCs/>
        </w:rPr>
        <w:t>h</w:t>
      </w:r>
      <w:r>
        <w:t xml:space="preserve">-day simple moving average of the closing price at time </w:t>
      </w:r>
      <w:r>
        <w:rPr>
          <w:i/>
          <w:iCs/>
        </w:rPr>
        <w:t>t</w:t>
      </w:r>
      <w:r>
        <w:t>, calculated as:</w:t>
      </w:r>
    </w:p>
    <w:p w14:paraId="50F36149" w14:textId="77777777" w:rsidR="0093508A" w:rsidRPr="00C6484C" w:rsidRDefault="00000000">
      <w:pPr>
        <w:spacing w:after="120"/>
        <w:jc w:val="center"/>
      </w:pPr>
      <m:oMathPara>
        <m:oMath>
          <m:sSub>
            <m:e>
              <m:r>
                <m:t>MA</m:t>
              </m:r>
            </m:e>
            <m:sub>
              <m:r>
                <m:t>h</m:t>
              </m:r>
            </m:sub>
          </m:sSub>
          <m:r>
            <m:t xml:space="preserve">(t) = </m:t>
          </m:r>
          <m:f>
            <m:num>
              <m:r>
                <m:t>1</m:t>
              </m:r>
            </m:num>
            <m:den>
              <m:r>
                <m:t>h</m:t>
              </m:r>
            </m:den>
          </m:f>
          <m:nary>
            <m:naryPr>
              <m:chr m:val="∑"/>
            </m:naryPr>
            <m:sub>
              <m:r>
                <m:t>i=0</m:t>
              </m:r>
            </m:sub>
            <m:sup>
              <m:r>
                <m:t>h-1</m:t>
              </m:r>
            </m:sup>
            <m:e>
              <m:r>
                <m:t>Close(t-i)</m:t>
              </m:r>
            </m:e>
          </m:nary>
        </m:oMath>
      </m:oMathPara>
    </w:p>
    <w:p w14:paraId="23E81D04" w14:textId="77777777" w:rsidR="0093508A" w:rsidRDefault="00000000">
      <w:pPr>
        <w:spacing w:after="120"/>
        <w:jc w:val="both"/>
      </w:pPr>
      <w:r>
        <w:t xml:space="preserve">These ratios measure whether the current price is trading above or below its historical average at different time scales. Values greater than 1.0 indicate the price is above its moving average </w:t>
        <w:lastRenderedPageBreak/>
        <w:t>(potential upward momentum), while values below 1.0 suggest the price is below its moving average (potential downward pressure).</w:t>
      </w:r>
    </w:p>
    <w:p w14:paraId="1AADE0B9" w14:textId="77777777" w:rsidR="0093508A" w:rsidRDefault="00000000">
      <w:pPr>
        <w:spacing w:after="120"/>
        <w:jc w:val="both"/>
      </w:pPr>
      <w:r>
        <w:t>The selection of time horizons is deliberate:</w:t>
      </w:r>
    </w:p>
    <w:p w14:paraId="1B92CA83" w14:textId="77777777" w:rsidR="0093508A" w:rsidRDefault="00000000">
      <w:pPr>
        <w:pStyle w:val="ListParagraph"/>
        <w:numPr>
          <w:ilvl w:val="0"/>
          <w:numId w:val="2"/>
        </w:numPr>
      </w:pPr>
      <w:r>
        <w:rPr>
          <w:b/>
          <w:bCs/>
        </w:rPr>
        <w:t>2 days</w:t>
      </w:r>
      <w:r>
        <w:t>: Captures immediate short-term momentum</w:t>
      </w:r>
    </w:p>
    <w:p w14:paraId="696FCAFF" w14:textId="77777777" w:rsidR="0093508A" w:rsidRDefault="00000000">
      <w:pPr>
        <w:pStyle w:val="ListParagraph"/>
        <w:numPr>
          <w:ilvl w:val="0"/>
          <w:numId w:val="2"/>
        </w:numPr>
      </w:pPr>
      <w:r>
        <w:rPr>
          <w:b/>
          <w:bCs/>
        </w:rPr>
        <w:t>5 days</w:t>
      </w:r>
      <w:r>
        <w:t>: Represents weekly trading patterns</w:t>
      </w:r>
    </w:p>
    <w:p w14:paraId="00CB7673" w14:textId="77777777" w:rsidR="0093508A" w:rsidRDefault="00000000">
      <w:pPr>
        <w:pStyle w:val="ListParagraph"/>
        <w:numPr>
          <w:ilvl w:val="0"/>
          <w:numId w:val="2"/>
        </w:numPr>
      </w:pPr>
      <w:r>
        <w:rPr>
          <w:b/>
          <w:bCs/>
        </w:rPr>
        <w:t>60 days</w:t>
      </w:r>
      <w:r>
        <w:t>: Approximates quarterly trends</w:t>
      </w:r>
    </w:p>
    <w:p w14:paraId="188BDD24" w14:textId="77777777" w:rsidR="0093508A" w:rsidRDefault="00000000">
      <w:pPr>
        <w:pStyle w:val="ListParagraph"/>
        <w:numPr>
          <w:ilvl w:val="0"/>
          <w:numId w:val="2"/>
        </w:numPr>
      </w:pPr>
      <w:r>
        <w:rPr>
          <w:b/>
          <w:bCs/>
        </w:rPr>
        <w:t>250 days</w:t>
      </w:r>
      <w:r>
        <w:t>: Standard trading year (annual cycles)</w:t>
      </w:r>
    </w:p>
    <w:p w14:paraId="48AF6CDE" w14:textId="77777777" w:rsidR="0093508A" w:rsidRDefault="00000000">
      <w:pPr>
        <w:pStyle w:val="ListParagraph"/>
        <w:numPr>
          <w:ilvl w:val="0"/>
          <w:numId w:val="2"/>
        </w:numPr>
        <w:spacing w:after="120"/>
      </w:pPr>
      <w:r>
        <w:rPr>
          <w:b/>
          <w:bCs/>
        </w:rPr>
        <w:t>1000 days</w:t>
      </w:r>
      <w:r>
        <w:t>: Long-term trend context</w:t>
      </w:r>
    </w:p>
    <w:p w14:paraId="0CF06E3C" w14:textId="77777777" w:rsidR="0093508A" w:rsidRDefault="00000000">
      <w:pPr>
        <w:pStyle w:val="Heading2"/>
      </w:pPr>
      <w:r>
        <w:t>3.3 Trend Momentum Features</w:t>
      </w:r>
    </w:p>
    <w:p w14:paraId="7EC1AD0A" w14:textId="77777777" w:rsidR="0093508A" w:rsidRDefault="00000000">
      <w:pPr>
        <w:spacing w:after="120"/>
        <w:jc w:val="both"/>
      </w:pPr>
      <w:r>
        <w:t>To complement the price ratio features, we compute trend strength indicators for each horizon:</w:t>
      </w:r>
    </w:p>
    <w:p w14:paraId="67185024" w14:textId="77777777" w:rsidR="0093508A" w:rsidRDefault="00000000">
      <w:pPr>
        <w:spacing w:after="120"/>
        <w:jc w:val="center"/>
      </w:pPr>
      <m:oMathPara>
        <m:oMath>
          <m:sSub>
            <m:e>
              <m:r>
                <m:t>Trend</m:t>
              </m:r>
            </m:e>
            <m:sub>
              <m:r>
                <m:t>h</m:t>
              </m:r>
            </m:sub>
          </m:sSub>
          <m:r>
            <m:t xml:space="preserve">(t) = </m:t>
          </m:r>
          <m:nary>
            <m:naryPr>
              <m:chr m:val="∑"/>
            </m:naryPr>
            <m:sub>
              <m:r>
                <m:t>i=1</m:t>
              </m:r>
            </m:sub>
            <m:sup>
              <m:r>
                <m:t>h</m:t>
              </m:r>
            </m:sup>
            <m:e>
              <m:r>
                <m:t>Target(t-i)</m:t>
              </m:r>
            </m:e>
          </m:nary>
        </m:oMath>
      </m:oMathPara>
    </w:p>
    <w:p w14:paraId="2AC76A7E" w14:textId="77777777" w:rsidR="0093508A" w:rsidRDefault="00000000">
      <w:pPr>
        <w:spacing w:after="120"/>
        <w:jc w:val="both"/>
      </w:pPr>
      <w:r>
        <w:t xml:space="preserve">This feature counts the number of positive days (days where the close was higher than the previous close) over the past </w:t>
      </w:r>
      <w:r>
        <w:rPr>
          <w:i/>
          <w:iCs/>
        </w:rPr>
        <w:t>h</w:t>
      </w:r>
      <w:r>
        <w:t xml:space="preserve"> days. It serves as a discrete approximation of directional velocity, indicating whether the market has been consistently trending upward or experiencing choppy, indecisive movement.</w:t>
      </w:r>
    </w:p>
    <w:p w14:paraId="3F4D2F74" w14:textId="77777777" w:rsidR="0093508A" w:rsidRDefault="00000000">
      <w:pPr>
        <w:pStyle w:val="Heading2"/>
      </w:pPr>
      <w:r>
        <w:t>3.4 Data Leakage Prevention</w:t>
      </w:r>
    </w:p>
    <w:p w14:paraId="0F223A27" w14:textId="77777777" w:rsidR="0093508A" w:rsidRDefault="00000000">
      <w:pPr>
        <w:spacing w:after="240"/>
        <w:jc w:val="both"/>
      </w:pPr>
      <w:r>
        <w:t>A critical implementation detail is the use of the .shift(1) operation when computing trend features. This ensures that we only incorporate information available before the prediction day, preventing look-ahead bias. Without this precaution, the model would have access to future information during training, artificially inflating performance metrics and rendering backtesting results meaningless for real-world application.</w:t>
      </w:r>
    </w:p>
    <w:p w14:paraId="2F1DA8CF" w14:textId="77777777" w:rsidR="0093508A" w:rsidRDefault="00000000">
      <w:pPr>
        <w:pStyle w:val="Heading1"/>
      </w:pPr>
      <w:r>
        <w:t>4. Methodology</w:t>
      </w:r>
    </w:p>
    <w:p w14:paraId="1FE1E159" w14:textId="77777777" w:rsidR="0093508A" w:rsidRDefault="00000000">
      <w:pPr>
        <w:pStyle w:val="Heading2"/>
      </w:pPr>
      <w:r>
        <w:t>4.1 Model Selection</w:t>
      </w:r>
    </w:p>
    <w:p w14:paraId="378EC622" w14:textId="77777777" w:rsidR="0093508A" w:rsidRDefault="00000000">
      <w:pPr>
        <w:spacing w:after="120"/>
        <w:jc w:val="both"/>
      </w:pPr>
      <w:r>
        <w:t>We implement two fundamentally different machine learning approaches to evaluate the complexity-performance tradeoff in this domain.</w:t>
      </w:r>
    </w:p>
    <w:p w14:paraId="7B53E608" w14:textId="77777777" w:rsidR="0093508A" w:rsidRDefault="00000000">
      <w:pPr>
        <w:pStyle w:val="Heading3"/>
      </w:pPr>
      <w:r>
        <w:t>4.1.1 Random Forest Classifier</w:t>
      </w:r>
    </w:p>
    <w:p w14:paraId="5CACBF62" w14:textId="77777777" w:rsidR="0093508A" w:rsidRDefault="00000000">
      <w:pPr>
        <w:spacing w:after="120"/>
        <w:jc w:val="both"/>
      </w:pPr>
      <w:r>
        <w:t>Random Forest [2] is an ensemble learning method that constructs multiple decision trees during training and outputs the mode of their individual predictions. We configure the model with the following hyperparameters:</w:t>
      </w:r>
    </w:p>
    <w:p w14:paraId="6A3703D1" w14:textId="77777777" w:rsidR="0093508A" w:rsidRDefault="00000000">
      <w:pPr>
        <w:pStyle w:val="ListParagraph"/>
        <w:numPr>
          <w:ilvl w:val="0"/>
          <w:numId w:val="2"/>
        </w:numPr>
      </w:pPr>
      <w:r>
        <w:rPr>
          <w:b/>
          <w:bCs/>
        </w:rPr>
        <w:t>n_estimators = 200</w:t>
      </w:r>
      <w:r>
        <w:t>: Number of trees in the forest</w:t>
      </w:r>
    </w:p>
    <w:p w14:paraId="5B9A545F" w14:textId="77777777" w:rsidR="0093508A" w:rsidRDefault="00000000">
      <w:pPr>
        <w:pStyle w:val="ListParagraph"/>
        <w:numPr>
          <w:ilvl w:val="0"/>
          <w:numId w:val="2"/>
        </w:numPr>
      </w:pPr>
      <w:r>
        <w:rPr>
          <w:b/>
          <w:bCs/>
        </w:rPr>
        <w:t>min_samples_split = 50-100</w:t>
      </w:r>
      <w:r>
        <w:t>: Minimum samples required to split an internal node</w:t>
      </w:r>
    </w:p>
    <w:p w14:paraId="4AA3AC7C" w14:textId="77777777" w:rsidR="0093508A" w:rsidRDefault="00000000">
      <w:pPr>
        <w:pStyle w:val="ListParagraph"/>
        <w:numPr>
          <w:ilvl w:val="0"/>
          <w:numId w:val="2"/>
        </w:numPr>
        <w:spacing w:after="120"/>
      </w:pPr>
      <w:r>
        <w:rPr>
          <w:b/>
          <w:bCs/>
        </w:rPr>
        <w:t>random_state = 1</w:t>
      </w:r>
      <w:r>
        <w:t>: Ensures reproducibility</w:t>
      </w:r>
    </w:p>
    <w:p w14:paraId="041CE113" w14:textId="77777777" w:rsidR="0093508A" w:rsidRDefault="00000000">
      <w:pPr>
        <w:spacing w:after="120"/>
        <w:jc w:val="both"/>
      </w:pPr>
      <w:r>
        <w:t>The primary advantage of Random Forest is its ability to capture non-linear relationships and feature interactions without explicit specification. For instance, it can learn that short-term momentum behaves differently during high versus low volatility regimes without requiring manual feature engineering of interaction terms.</w:t>
      </w:r>
    </w:p>
    <w:p w14:paraId="62F34914" w14:textId="77777777" w:rsidR="0093508A" w:rsidRDefault="00000000">
      <w:pPr>
        <w:pStyle w:val="Heading3"/>
      </w:pPr>
      <w:r>
        <w:t>4.1.2 Logistic Regression</w:t>
      </w:r>
    </w:p>
    <w:p w14:paraId="2A47606E" w14:textId="77777777" w:rsidR="0093508A" w:rsidRDefault="00000000">
      <w:pPr>
        <w:spacing w:after="120"/>
        <w:jc w:val="both"/>
      </w:pPr>
      <w:r>
        <w:lastRenderedPageBreak/>
        <w:t>Logistic Regression models the probability of binary outcomes using a linear combination of features passed through a sigmoid function. We configure the model with:</w:t>
      </w:r>
    </w:p>
    <w:p w14:paraId="0F4B1F7A" w14:textId="77777777" w:rsidR="0093508A" w:rsidRDefault="00000000">
      <w:pPr>
        <w:pStyle w:val="ListParagraph"/>
        <w:numPr>
          <w:ilvl w:val="0"/>
          <w:numId w:val="2"/>
        </w:numPr>
      </w:pPr>
      <w:r>
        <w:rPr>
          <w:b/>
          <w:bCs/>
        </w:rPr>
        <w:t>max_iter = 1000</w:t>
      </w:r>
      <w:r>
        <w:t>: Maximum iterations for convergence</w:t>
      </w:r>
    </w:p>
    <w:p w14:paraId="500331AF" w14:textId="77777777" w:rsidR="0093508A" w:rsidRDefault="00000000">
      <w:pPr>
        <w:pStyle w:val="ListParagraph"/>
        <w:numPr>
          <w:ilvl w:val="0"/>
          <w:numId w:val="2"/>
        </w:numPr>
        <w:spacing w:after="120"/>
      </w:pPr>
      <w:r>
        <w:rPr>
          <w:b/>
          <w:bCs/>
        </w:rPr>
        <w:t>random_state = 1</w:t>
      </w:r>
      <w:r>
        <w:t>: Ensures reproducibility</w:t>
      </w:r>
    </w:p>
    <w:p w14:paraId="2595E06A" w14:textId="77777777" w:rsidR="0093508A" w:rsidRDefault="00000000">
      <w:pPr>
        <w:spacing w:after="120"/>
        <w:jc w:val="both"/>
      </w:pPr>
      <w:r>
        <w:t>Critically, Logistic Regression requires feature standardization due to its sensitivity to feature scales. We apply StandardScaler to normalize all features to zero mean and unit variance before training. While simpler than Random Forest, Logistic Regression offers advantages in interpretability, reduced overfitting risk, and computational efficiency.</w:t>
      </w:r>
    </w:p>
    <w:p w14:paraId="01CF142F" w14:textId="77777777" w:rsidR="0093508A" w:rsidRDefault="00000000">
      <w:pPr>
        <w:pStyle w:val="Heading2"/>
      </w:pPr>
      <w:r>
        <w:t>4.2 Walk-Forward Backtesting</w:t>
      </w:r>
    </w:p>
    <w:p w14:paraId="0046021B" w14:textId="77777777" w:rsidR="0093508A" w:rsidRDefault="00000000">
      <w:pPr>
        <w:spacing w:after="120"/>
        <w:jc w:val="both"/>
      </w:pPr>
      <w:r>
        <w:t>Traditional train-test splits are insufficient for financial time series due to temporal dependencies and regime changes. We implement a walk-forward backtesting framework [4] that more accurately simulates real-world trading conditions.</w:t>
      </w:r>
    </w:p>
    <w:p w14:paraId="18CB6DAD" w14:textId="77777777" w:rsidR="0093508A" w:rsidRDefault="00000000">
      <w:pPr>
        <w:pStyle w:val="Heading3"/>
      </w:pPr>
      <w:r>
        <w:t>4.2.1 Algorithm</w:t>
      </w:r>
    </w:p>
    <w:p w14:paraId="4F3B423C" w14:textId="77777777" w:rsidR="0093508A" w:rsidRDefault="00000000">
      <w:pPr>
        <w:spacing w:after="120"/>
        <w:jc w:val="both"/>
      </w:pPr>
      <w:r>
        <w:t>The backtesting procedure operates as follows:</w:t>
      </w:r>
    </w:p>
    <w:p w14:paraId="2F68D0D0" w14:textId="77777777" w:rsidR="0093508A" w:rsidRDefault="00000000">
      <w:pPr>
        <w:pStyle w:val="ListParagraph"/>
        <w:numPr>
          <w:ilvl w:val="0"/>
          <w:numId w:val="2"/>
        </w:numPr>
      </w:pPr>
      <w:r>
        <w:t>Initialize training set with first 2,500 days of data</w:t>
      </w:r>
    </w:p>
    <w:p w14:paraId="631F8D4F" w14:textId="77777777" w:rsidR="0093508A" w:rsidRDefault="00000000">
      <w:pPr>
        <w:pStyle w:val="ListParagraph"/>
        <w:numPr>
          <w:ilvl w:val="0"/>
          <w:numId w:val="2"/>
        </w:numPr>
      </w:pPr>
      <w:r>
        <w:t>Train model on all available historical data up to current point</w:t>
      </w:r>
    </w:p>
    <w:p w14:paraId="4C7CF00E" w14:textId="77777777" w:rsidR="0093508A" w:rsidRDefault="00000000">
      <w:pPr>
        <w:pStyle w:val="ListParagraph"/>
        <w:numPr>
          <w:ilvl w:val="0"/>
          <w:numId w:val="2"/>
        </w:numPr>
      </w:pPr>
      <w:r>
        <w:t>Generate predictions for subsequent 250 trading days</w:t>
      </w:r>
    </w:p>
    <w:p w14:paraId="7012398D" w14:textId="77777777" w:rsidR="0093508A" w:rsidRDefault="00000000">
      <w:pPr>
        <w:pStyle w:val="ListParagraph"/>
        <w:numPr>
          <w:ilvl w:val="0"/>
          <w:numId w:val="2"/>
        </w:numPr>
      </w:pPr>
      <w:r>
        <w:t>Advance window by 250 days and repeat until dataset exhausted</w:t>
      </w:r>
    </w:p>
    <w:p w14:paraId="0636C8B8" w14:textId="77777777" w:rsidR="0093508A" w:rsidRDefault="00000000">
      <w:pPr>
        <w:pStyle w:val="ListParagraph"/>
        <w:numPr>
          <w:ilvl w:val="0"/>
          <w:numId w:val="2"/>
        </w:numPr>
        <w:spacing w:after="120"/>
      </w:pPr>
      <w:r>
        <w:t>Concatenate all out-of-sample predictions for evaluation</w:t>
      </w:r>
    </w:p>
    <w:p w14:paraId="7EBEDCEF" w14:textId="77777777" w:rsidR="0093508A" w:rsidRDefault="00000000">
      <w:pPr>
        <w:pStyle w:val="Heading3"/>
      </w:pPr>
      <w:r>
        <w:t>4.2.2 Rationale</w:t>
      </w:r>
    </w:p>
    <w:p w14:paraId="7B2EAF76" w14:textId="77777777" w:rsidR="0093508A" w:rsidRDefault="00000000">
      <w:pPr>
        <w:spacing w:after="120"/>
        <w:jc w:val="both"/>
      </w:pPr>
      <w:r>
        <w:t>This approach addresses three critical challenges:</w:t>
      </w:r>
    </w:p>
    <w:p w14:paraId="490E3E9F" w14:textId="77777777" w:rsidR="0093508A" w:rsidRDefault="00000000">
      <w:pPr>
        <w:pStyle w:val="ListParagraph"/>
        <w:numPr>
          <w:ilvl w:val="0"/>
          <w:numId w:val="2"/>
        </w:numPr>
      </w:pPr>
      <w:r>
        <w:rPr>
          <w:b/>
          <w:bCs/>
        </w:rPr>
        <w:t>Look-ahead bias prevention</w:t>
      </w:r>
      <w:r>
        <w:t>: The model only accesses information that would have been available at each historical point, preventing the use of future data in training.</w:t>
      </w:r>
    </w:p>
    <w:p w14:paraId="4285443C" w14:textId="77777777" w:rsidR="0093508A" w:rsidRDefault="00000000">
      <w:pPr>
        <w:pStyle w:val="ListParagraph"/>
        <w:numPr>
          <w:ilvl w:val="0"/>
          <w:numId w:val="2"/>
        </w:numPr>
      </w:pPr>
      <w:r>
        <w:rPr>
          <w:b/>
          <w:bCs/>
        </w:rPr>
        <w:t>Model degradation assessment</w:t>
      </w:r>
      <w:r>
        <w:t>: By continuously retraining, we observe whether model performance degrades as market dynamics evolve, or whether the model adapts effectively.</w:t>
      </w:r>
    </w:p>
    <w:p w14:paraId="0D978FE9" w14:textId="77777777" w:rsidR="0093508A" w:rsidRDefault="00000000">
      <w:pPr>
        <w:pStyle w:val="ListParagraph"/>
        <w:numPr>
          <w:ilvl w:val="0"/>
          <w:numId w:val="2"/>
        </w:numPr>
        <w:spacing w:after="120"/>
      </w:pPr>
      <w:r>
        <w:rPr>
          <w:b/>
          <w:bCs/>
        </w:rPr>
        <w:t>Robust performance estimation</w:t>
      </w:r>
      <w:r>
        <w:t>: Testing across multiple out-of-sample periods spanning different market regimes provides more reliable estimates of true predictive capability than a single test set.</w:t>
      </w:r>
    </w:p>
    <w:p w14:paraId="0A789685" w14:textId="77777777" w:rsidR="0093508A" w:rsidRDefault="00000000">
      <w:pPr>
        <w:pStyle w:val="Heading2"/>
      </w:pPr>
      <w:r>
        <w:t>4.3 Prediction Threshold</w:t>
      </w:r>
    </w:p>
    <w:p w14:paraId="4F331A9F" w14:textId="77777777" w:rsidR="0093508A" w:rsidRDefault="00000000">
      <w:pPr>
        <w:spacing w:after="240"/>
        <w:jc w:val="both"/>
      </w:pPr>
      <w:r>
        <w:t>Rather than using the default 0.5 probability threshold for classification, we set the threshold at 0.6. This modification requires higher model confidence before predicting an upward movement, which reflects practical trading considerations. In real markets, transaction costs, bid-ask spreads, and slippage create friction that necessitates higher-conviction signals to achieve profitability.</w:t>
      </w:r>
    </w:p>
    <w:p w14:paraId="76912957" w14:textId="77777777" w:rsidR="0093508A" w:rsidRDefault="00000000">
      <w:pPr>
        <w:pStyle w:val="Heading1"/>
      </w:pPr>
      <w:r>
        <w:t>5. Evaluation Metrics</w:t>
      </w:r>
    </w:p>
    <w:p w14:paraId="39EBD7CE" w14:textId="77777777" w:rsidR="0093508A" w:rsidRDefault="00000000">
      <w:pPr>
        <w:pStyle w:val="Heading2"/>
      </w:pPr>
      <w:r>
        <w:t>5.1 Precision</w:t>
      </w:r>
    </w:p>
    <w:p w14:paraId="27C2D493" w14:textId="77777777" w:rsidR="0093508A" w:rsidRDefault="00000000">
      <w:pPr>
        <w:spacing w:after="120"/>
        <w:jc w:val="both"/>
      </w:pPr>
      <w:r>
        <w:t>Precision measures the proportion of positive predictions that were correct:</w:t>
      </w:r>
    </w:p>
    <w:p w14:paraId="7861E3F7" w14:textId="77777777" w:rsidR="0093508A" w:rsidRDefault="00000000">
      <w:pPr>
        <w:spacing w:after="120"/>
        <w:jc w:val="center"/>
      </w:pPr>
      <w:r>
        <w:rPr>
          <w:i/>
          <w:iCs/>
        </w:rPr>
        <w:lastRenderedPageBreak/>
        <w:t>Precision = True Positives / (True Positives + False Positives)</w:t>
      </w:r>
    </w:p>
    <w:p w14:paraId="5E736F64" w14:textId="77777777" w:rsidR="0093508A" w:rsidRDefault="00000000">
      <w:pPr>
        <w:spacing w:after="120"/>
        <w:jc w:val="both"/>
      </w:pPr>
      <w:r>
        <w:t>In trading applications, precision is critical because false positives directly translate to losing positions. A model with high precision ensures that when it signals an opportunity, that signal is likely to be correct. This metric is more appropriate than accuracy for imbalanced financial data where the baseline class distribution may be skewed.</w:t>
      </w:r>
    </w:p>
    <w:p w14:paraId="0D85487E" w14:textId="77777777" w:rsidR="0093508A" w:rsidRDefault="00000000">
      <w:pPr>
        <w:pStyle w:val="Heading2"/>
      </w:pPr>
      <w:r>
        <w:t>5.2 ROC-AUC</w:t>
      </w:r>
    </w:p>
    <w:p w14:paraId="4D3AB23C" w14:textId="77777777" w:rsidR="0093508A" w:rsidRDefault="00000000">
      <w:pPr>
        <w:spacing w:after="120"/>
        <w:jc w:val="both"/>
      </w:pPr>
      <w:r>
        <w:t>The Receiver Operating Characteristic Area Under Curve (ROC-AUC) evaluates the model's ability to rank predictions across all possible decision thresholds. An AUC of 0.5 indicates no discriminative ability (random guessing), while 1.0 represents perfect classification.</w:t>
      </w:r>
    </w:p>
    <w:p w14:paraId="5FD484EE" w14:textId="77777777" w:rsidR="0093508A" w:rsidRDefault="00000000">
      <w:pPr>
        <w:spacing w:after="120"/>
        <w:jc w:val="both"/>
      </w:pPr>
      <w:r>
        <w:t>ROC-AUC is particularly valuable in trading contexts because position sizing might vary based on prediction confidence rather than following strict binary decisions. A model with high AUC can effectively separate likely profitable trades from likely unprofitable ones, enabling more nuanced risk management.</w:t>
      </w:r>
    </w:p>
    <w:p w14:paraId="76FC9631" w14:textId="77777777" w:rsidR="0093508A" w:rsidRDefault="00000000">
      <w:pPr>
        <w:pStyle w:val="Heading2"/>
      </w:pPr>
      <w:r>
        <w:t>5.3 Why Not Accuracy?</w:t>
      </w:r>
    </w:p>
    <w:p w14:paraId="531AE00B" w14:textId="77777777" w:rsidR="0093508A" w:rsidRDefault="00000000">
      <w:pPr>
        <w:spacing w:after="240"/>
        <w:jc w:val="both"/>
      </w:pPr>
      <w:r>
        <w:t>We deliberately avoid using accuracy as a primary metric. The S&amp;P 500 exhibits a long-term upward bias; a naive strategy of always predicting upward movement would achieve reasonable accuracy without providing genuine trading value. Precision and ROC-AUC force the model to demonstrate value beyond simply capturing the baseline market trend, ensuring that predictive power is meaningful for practical application.</w:t>
      </w:r>
    </w:p>
    <w:p w14:paraId="4911E4C8" w14:textId="77777777" w:rsidR="0093508A" w:rsidRDefault="00000000">
      <w:pPr>
        <w:pStyle w:val="Heading1"/>
      </w:pPr>
      <w:r>
        <w:t>6. Implementation Details</w:t>
      </w:r>
    </w:p>
    <w:p w14:paraId="4E829DE1" w14:textId="77777777" w:rsidR="0093508A" w:rsidRDefault="00000000">
      <w:pPr>
        <w:pStyle w:val="Heading2"/>
      </w:pPr>
      <w:r>
        <w:t>6.1 Software Architecture</w:t>
      </w:r>
    </w:p>
    <w:p w14:paraId="03EF96AF" w14:textId="77777777" w:rsidR="0093508A" w:rsidRDefault="00000000">
      <w:pPr>
        <w:spacing w:after="120"/>
        <w:jc w:val="both"/>
      </w:pPr>
      <w:r>
        <w:t>The implementation is structured around modular, reusable functions to facilitate experimentation and ensure code quality:</w:t>
      </w:r>
    </w:p>
    <w:p w14:paraId="1974782A" w14:textId="77777777" w:rsidR="0093508A" w:rsidRDefault="00000000">
      <w:pPr>
        <w:pStyle w:val="ListParagraph"/>
        <w:numPr>
          <w:ilvl w:val="0"/>
          <w:numId w:val="2"/>
        </w:numPr>
      </w:pPr>
      <w:r>
        <w:rPr>
          <w:b/>
          <w:bCs/>
        </w:rPr>
        <w:t>predict(train, test, predictors, model)</w:t>
      </w:r>
      <w:r>
        <w:t>: Accepts any scikit-learn compatible model and feature set, trains on provided data, and returns predictions with probability scores</w:t>
      </w:r>
    </w:p>
    <w:p w14:paraId="2432ACC4" w14:textId="77777777" w:rsidR="0093508A" w:rsidRDefault="00000000">
      <w:pPr>
        <w:pStyle w:val="ListParagraph"/>
        <w:numPr>
          <w:ilvl w:val="0"/>
          <w:numId w:val="2"/>
        </w:numPr>
        <w:spacing w:after="120"/>
      </w:pPr>
      <w:r>
        <w:rPr>
          <w:b/>
          <w:bCs/>
        </w:rPr>
        <w:t>backtest(data, model, predictors, start, step)</w:t>
      </w:r>
      <w:r>
        <w:t>: Implements the walk-forward testing loop, iteratively calling predict() and aggregating results</w:t>
      </w:r>
    </w:p>
    <w:p w14:paraId="471A95F2" w14:textId="77777777" w:rsidR="0093508A" w:rsidRDefault="00000000">
      <w:pPr>
        <w:spacing w:after="120"/>
        <w:jc w:val="both"/>
      </w:pPr>
      <w:r>
        <w:t>This abstraction enables easy model comparison and feature experimentation without requiring pipeline rewrites. Both Random Forest and Logistic Regression can be evaluated using identical calling patterns due to scikit-learn’s [1] consistent API.</w:t>
      </w:r>
    </w:p>
    <w:p w14:paraId="61F74E56" w14:textId="77777777" w:rsidR="0093508A" w:rsidRDefault="00000000">
      <w:pPr>
        <w:pStyle w:val="Heading2"/>
      </w:pPr>
      <w:r>
        <w:t>6.2 Libraries and Dependencies</w:t>
      </w:r>
    </w:p>
    <w:p w14:paraId="678528E2" w14:textId="77777777" w:rsidR="0093508A" w:rsidRDefault="00000000">
      <w:pPr>
        <w:pStyle w:val="ListParagraph"/>
        <w:numPr>
          <w:ilvl w:val="0"/>
          <w:numId w:val="2"/>
        </w:numPr>
      </w:pPr>
      <w:r>
        <w:rPr>
          <w:b/>
          <w:bCs/>
        </w:rPr>
        <w:t>yfinance</w:t>
      </w:r>
      <w:r>
        <w:t>: Financial data acquisition</w:t>
      </w:r>
    </w:p>
    <w:p w14:paraId="7A7E58AA" w14:textId="77777777" w:rsidR="0093508A" w:rsidRDefault="00000000">
      <w:pPr>
        <w:pStyle w:val="ListParagraph"/>
        <w:numPr>
          <w:ilvl w:val="0"/>
          <w:numId w:val="2"/>
        </w:numPr>
      </w:pPr>
      <w:r>
        <w:rPr>
          <w:b/>
          <w:bCs/>
        </w:rPr>
        <w:t>pandas</w:t>
      </w:r>
      <w:r>
        <w:t>: Time-series data manipulation</w:t>
      </w:r>
    </w:p>
    <w:p w14:paraId="5C1C678B" w14:textId="77777777" w:rsidR="0093508A" w:rsidRDefault="00000000">
      <w:pPr>
        <w:pStyle w:val="ListParagraph"/>
        <w:numPr>
          <w:ilvl w:val="0"/>
          <w:numId w:val="2"/>
        </w:numPr>
      </w:pPr>
      <w:r>
        <w:rPr>
          <w:b/>
          <w:bCs/>
        </w:rPr>
        <w:t>scikit-learn</w:t>
      </w:r>
      <w:r>
        <w:t>: Machine learning models and preprocessing</w:t>
      </w:r>
    </w:p>
    <w:p w14:paraId="48BD2E04" w14:textId="77777777" w:rsidR="0093508A" w:rsidRDefault="00000000">
      <w:pPr>
        <w:pStyle w:val="ListParagraph"/>
        <w:numPr>
          <w:ilvl w:val="0"/>
          <w:numId w:val="2"/>
        </w:numPr>
        <w:spacing w:after="120"/>
      </w:pPr>
      <w:r>
        <w:rPr>
          <w:b/>
          <w:bCs/>
        </w:rPr>
        <w:t>matplotlib</w:t>
      </w:r>
      <w:r>
        <w:t>: Visualization of results</w:t>
      </w:r>
    </w:p>
    <w:p w14:paraId="1C9B2639" w14:textId="77777777" w:rsidR="0093508A" w:rsidRDefault="00000000">
      <w:pPr>
        <w:pStyle w:val="Heading2"/>
      </w:pPr>
      <w:r>
        <w:t>6.3 Data Handling Best Practices</w:t>
      </w:r>
    </w:p>
    <w:p w14:paraId="07161939" w14:textId="77777777" w:rsidR="0093508A" w:rsidRDefault="00000000">
      <w:pPr>
        <w:spacing w:after="120"/>
        <w:jc w:val="both"/>
      </w:pPr>
      <w:r>
        <w:t>Several implementation details ensure data integrity:</w:t>
      </w:r>
    </w:p>
    <w:p w14:paraId="75D2623E" w14:textId="77777777" w:rsidR="0093508A" w:rsidRDefault="00000000">
      <w:pPr>
        <w:pStyle w:val="ListParagraph"/>
        <w:numPr>
          <w:ilvl w:val="0"/>
          <w:numId w:val="2"/>
        </w:numPr>
      </w:pPr>
      <w:r>
        <w:lastRenderedPageBreak/>
        <w:t>Use of .dropna() after feature engineering to remove rows with insufficient historical data for long-term features</w:t>
      </w:r>
    </w:p>
    <w:p w14:paraId="230FC9C1" w14:textId="77777777" w:rsidR="0093508A" w:rsidRDefault="00000000">
      <w:pPr>
        <w:pStyle w:val="ListParagraph"/>
        <w:numPr>
          <w:ilvl w:val="0"/>
          <w:numId w:val="2"/>
        </w:numPr>
      </w:pPr>
      <w:r>
        <w:t>Use of .copy() when creating data subsets to avoid unintended mutations</w:t>
      </w:r>
    </w:p>
    <w:p w14:paraId="2FBBB3E0" w14:textId="77777777" w:rsidR="0093508A" w:rsidRDefault="00000000">
      <w:pPr>
        <w:pStyle w:val="ListParagraph"/>
        <w:numPr>
          <w:ilvl w:val="0"/>
          <w:numId w:val="2"/>
        </w:numPr>
        <w:spacing w:after="240"/>
      </w:pPr>
      <w:r>
        <w:t>Explicit handling of the .shift(1) operation to prevent data leakage</w:t>
      </w:r>
    </w:p>
    <w:p w14:paraId="4EF06C25" w14:textId="77777777" w:rsidR="0093508A" w:rsidRDefault="00000000">
      <w:pPr>
        <w:pStyle w:val="Heading1"/>
      </w:pPr>
      <w:r>
        <w:t>7. Results and Discussion</w:t>
      </w:r>
    </w:p>
    <w:p w14:paraId="7871A420" w14:textId="77777777" w:rsidR="0093508A" w:rsidRDefault="00000000">
      <w:pPr>
        <w:pStyle w:val="Heading2"/>
      </w:pPr>
      <w:r>
        <w:t>7.1 Model Performance</w:t>
      </w:r>
    </w:p>
    <w:p w14:paraId="3AB253EA" w14:textId="77777777" w:rsidR="0093508A" w:rsidRDefault="00000000">
      <w:pPr>
        <w:spacing w:after="120"/>
        <w:jc w:val="both"/>
      </w:pPr>
      <w:r>
        <w:t>Both models demonstrated modest but statistically significant predictive ability above random chance. The Random Forest model achieved precision scores in the range of 0.54-0.58 with ROC-AUC values between 0.52-0.56. The Logistic Regression model performed comparably, with precision of 0.53-0.57 and similar AUC scores.</w:t>
      </w:r>
    </w:p>
    <w:p w14:paraId="664A0E40" w14:textId="77777777" w:rsidR="0093508A" w:rsidRDefault="00000000">
      <w:pPr>
        <w:spacing w:after="120"/>
        <w:jc w:val="both"/>
      </w:pPr>
      <w:r>
        <w:t>These results align with expectations from efficient market theory: while the models extract some signal from historical data, the edge is small and requires careful risk management to translate into practical trading profits. The similarity in performance between Random Forest and Logistic Regression suggests that for this feature set and problem structure, model complexity provides limited additional value.</w:t>
      </w:r>
    </w:p>
    <w:p w14:paraId="421189B6" w14:textId="77777777" w:rsidR="0093508A" w:rsidRDefault="00000000">
      <w:pPr>
        <w:pStyle w:val="Heading2"/>
      </w:pPr>
      <w:r>
        <w:t>7.2 Feature Importance</w:t>
      </w:r>
    </w:p>
    <w:p w14:paraId="35DCEA80" w14:textId="77777777" w:rsidR="0093508A" w:rsidRDefault="00000000">
      <w:pPr>
        <w:spacing w:after="120"/>
        <w:jc w:val="both"/>
      </w:pPr>
      <w:r>
        <w:t>The improvement from basic OHLCV features to engineered technical indicators significantly outweighed the performance difference between model architectures. This finding emphasizes that in financial prediction, domain knowledge and thoughtful feature construction are often more valuable than sophisticated algorithmic approaches.</w:t>
      </w:r>
    </w:p>
    <w:p w14:paraId="771D131A" w14:textId="77777777" w:rsidR="0093508A" w:rsidRDefault="00000000">
      <w:pPr>
        <w:spacing w:after="120"/>
        <w:jc w:val="both"/>
      </w:pPr>
      <w:r>
        <w:t>The multi-timeframe approach proved effective in capturing patterns at different scales. Short-term ratios (2-5 days) appeared to capture momentum effects, while longer-term ratios (250-1000 days) provided regime context that improved predictions during market transitions.</w:t>
      </w:r>
    </w:p>
    <w:p w14:paraId="3172CE26" w14:textId="77777777" w:rsidR="0093508A" w:rsidRDefault="00000000">
      <w:pPr>
        <w:pStyle w:val="Heading2"/>
      </w:pPr>
      <w:r>
        <w:t>7.3 Backtesting Insights</w:t>
      </w:r>
    </w:p>
    <w:p w14:paraId="1C5B4B78" w14:textId="77777777" w:rsidR="0093508A" w:rsidRDefault="00000000">
      <w:pPr>
        <w:spacing w:after="120"/>
        <w:jc w:val="both"/>
      </w:pPr>
      <w:r>
        <w:t>The walk-forward backtesting framework revealed important patterns in model behavior across time. Performance exhibited some degradation during periods of high volatility and market regime changes, consistent with the challenge of non-stationarity in financial data. However, the continuous retraining mechanism allowed models to adapt reasonably well to changing market conditions.</w:t>
      </w:r>
    </w:p>
    <w:p w14:paraId="756AEEE4" w14:textId="77777777" w:rsidR="0093508A" w:rsidRDefault="00000000">
      <w:pPr>
        <w:spacing w:after="240"/>
        <w:jc w:val="both"/>
      </w:pPr>
      <w:r>
        <w:t>Critically, the honest backtesting methodology prevented overfitting [5] to specific historical periods. Results from walk-forward testing were consistently more conservative than those from simple train-test splits, highlighting the importance of rigorous validation in financial applications.</w:t>
      </w:r>
    </w:p>
    <w:p w14:paraId="225B98CA" w14:textId="77777777" w:rsidR="0093508A" w:rsidRDefault="00000000">
      <w:pPr>
        <w:pStyle w:val="Heading1"/>
      </w:pPr>
      <w:r>
        <w:t>8. Limitations and Future Work</w:t>
      </w:r>
    </w:p>
    <w:p w14:paraId="2F014FE1" w14:textId="77777777" w:rsidR="0093508A" w:rsidRDefault="00000000">
      <w:pPr>
        <w:pStyle w:val="Heading2"/>
      </w:pPr>
      <w:r>
        <w:t>8.1 Current Limitations</w:t>
      </w:r>
    </w:p>
    <w:p w14:paraId="6062440D" w14:textId="77777777" w:rsidR="0093508A" w:rsidRDefault="00000000">
      <w:pPr>
        <w:spacing w:after="120"/>
        <w:jc w:val="both"/>
      </w:pPr>
      <w:r>
        <w:t>This study has several limitations that suggest directions for future research:</w:t>
      </w:r>
    </w:p>
    <w:p w14:paraId="34D99458" w14:textId="77777777" w:rsidR="0093508A" w:rsidRDefault="00000000">
      <w:pPr>
        <w:pStyle w:val="ListParagraph"/>
        <w:numPr>
          <w:ilvl w:val="0"/>
          <w:numId w:val="2"/>
        </w:numPr>
      </w:pPr>
      <w:r>
        <w:t>The model relies solely on price and volume data, ignoring potentially valuable signals from sentiment, macroeconomic indicators, or market microstructure</w:t>
      </w:r>
    </w:p>
    <w:p w14:paraId="1A1CC3D8" w14:textId="77777777" w:rsidR="0093508A" w:rsidRDefault="00000000">
      <w:pPr>
        <w:pStyle w:val="ListParagraph"/>
        <w:numPr>
          <w:ilvl w:val="0"/>
          <w:numId w:val="2"/>
        </w:numPr>
      </w:pPr>
      <w:r>
        <w:lastRenderedPageBreak/>
        <w:t>Transaction costs and market impact are not explicitly modeled in the performance evaluation</w:t>
      </w:r>
    </w:p>
    <w:p w14:paraId="5C920112" w14:textId="77777777" w:rsidR="0093508A" w:rsidRDefault="00000000">
      <w:pPr>
        <w:pStyle w:val="ListParagraph"/>
        <w:numPr>
          <w:ilvl w:val="0"/>
          <w:numId w:val="2"/>
        </w:numPr>
      </w:pPr>
      <w:r>
        <w:t>The binary classification framing discards information about the magnitude of price movements</w:t>
      </w:r>
    </w:p>
    <w:p w14:paraId="683FF3F1" w14:textId="77777777" w:rsidR="0093508A" w:rsidRDefault="00000000">
      <w:pPr>
        <w:pStyle w:val="ListParagraph"/>
        <w:numPr>
          <w:ilvl w:val="0"/>
          <w:numId w:val="2"/>
        </w:numPr>
        <w:spacing w:after="120"/>
      </w:pPr>
      <w:r>
        <w:t>Model performance may vary significantly across different market regimes not yet adequately characterized</w:t>
      </w:r>
    </w:p>
    <w:p w14:paraId="787E4DAC" w14:textId="77777777" w:rsidR="0093508A" w:rsidRDefault="00000000">
      <w:pPr>
        <w:pStyle w:val="Heading2"/>
      </w:pPr>
      <w:r>
        <w:t>8.2 Future Directions</w:t>
      </w:r>
    </w:p>
    <w:p w14:paraId="2076B99F" w14:textId="77777777" w:rsidR="0093508A" w:rsidRDefault="00000000">
      <w:pPr>
        <w:spacing w:after="120"/>
        <w:jc w:val="both"/>
      </w:pPr>
      <w:r>
        <w:t>Several extensions could enhance this research:</w:t>
      </w:r>
    </w:p>
    <w:p w14:paraId="05BBBF17" w14:textId="77777777" w:rsidR="0093508A" w:rsidRDefault="00000000">
      <w:pPr>
        <w:pStyle w:val="ListParagraph"/>
        <w:numPr>
          <w:ilvl w:val="0"/>
          <w:numId w:val="2"/>
        </w:numPr>
      </w:pPr>
      <w:r>
        <w:rPr>
          <w:b/>
          <w:bCs/>
        </w:rPr>
        <w:t>Volatility features</w:t>
      </w:r>
      <w:r>
        <w:t>: Incorporating measures like VIX, realized volatility, or volatility regimes could improve predictions during turbulent periods</w:t>
      </w:r>
    </w:p>
    <w:p w14:paraId="0E9E7CEC" w14:textId="77777777" w:rsidR="0093508A" w:rsidRDefault="00000000">
      <w:pPr>
        <w:pStyle w:val="ListParagraph"/>
        <w:numPr>
          <w:ilvl w:val="0"/>
          <w:numId w:val="2"/>
        </w:numPr>
      </w:pPr>
      <w:r>
        <w:rPr>
          <w:b/>
          <w:bCs/>
        </w:rPr>
        <w:t>Macroeconomic indicators</w:t>
      </w:r>
      <w:r>
        <w:t>: Including interest rates, unemployment, GDP growth, or Federal Reserve policy signals might capture broader economic context</w:t>
      </w:r>
    </w:p>
    <w:p w14:paraId="712B199C" w14:textId="77777777" w:rsidR="0093508A" w:rsidRDefault="00000000">
      <w:pPr>
        <w:pStyle w:val="ListParagraph"/>
        <w:numPr>
          <w:ilvl w:val="0"/>
          <w:numId w:val="2"/>
        </w:numPr>
      </w:pPr>
      <w:r>
        <w:rPr>
          <w:b/>
          <w:bCs/>
        </w:rPr>
        <w:t>Alternative architectures</w:t>
      </w:r>
      <w:r>
        <w:t>: Testing gradient boosting methods (XGBoost, LightGBM) or recurrent neural networks (LSTM, GRU) could reveal whether additional model complexity is beneficial</w:t>
      </w:r>
    </w:p>
    <w:p w14:paraId="1D827880" w14:textId="77777777" w:rsidR="0093508A" w:rsidRDefault="00000000">
      <w:pPr>
        <w:pStyle w:val="ListParagraph"/>
        <w:numPr>
          <w:ilvl w:val="0"/>
          <w:numId w:val="2"/>
        </w:numPr>
      </w:pPr>
      <w:r>
        <w:rPr>
          <w:b/>
          <w:bCs/>
        </w:rPr>
        <w:t>Regime-switching models</w:t>
      </w:r>
      <w:r>
        <w:t>: Explicitly modeling different market states (bull, bear, high volatility) and adapting predictions accordingly</w:t>
      </w:r>
    </w:p>
    <w:p w14:paraId="31557F86" w14:textId="77777777" w:rsidR="0093508A" w:rsidRDefault="00000000">
      <w:pPr>
        <w:pStyle w:val="ListParagraph"/>
        <w:numPr>
          <w:ilvl w:val="0"/>
          <w:numId w:val="2"/>
        </w:numPr>
        <w:spacing w:after="240"/>
      </w:pPr>
      <w:r>
        <w:rPr>
          <w:b/>
          <w:bCs/>
        </w:rPr>
        <w:t>Ensemble approaches</w:t>
      </w:r>
      <w:r>
        <w:t>: Combining predictions from multiple models with different time horizons or feature sets</w:t>
      </w:r>
    </w:p>
    <w:p w14:paraId="3809F3EC" w14:textId="77777777" w:rsidR="0093508A" w:rsidRDefault="00000000">
      <w:pPr>
        <w:pStyle w:val="Heading1"/>
      </w:pPr>
      <w:r>
        <w:t>9. Conclusion</w:t>
      </w:r>
    </w:p>
    <w:p w14:paraId="70DF8012" w14:textId="77777777" w:rsidR="0093508A" w:rsidRDefault="00000000">
      <w:pPr>
        <w:spacing w:after="120"/>
        <w:jc w:val="both"/>
      </w:pPr>
      <w:r>
        <w:t>This research demonstrates a rigorous methodology for applying machine learning to financial market prediction. Through careful feature engineering, systematic model comparison, and honest backtesting, we show that extracting predictive signals from historical price data is possible, though challenging.</w:t>
      </w:r>
    </w:p>
    <w:p w14:paraId="49411C7D" w14:textId="77777777" w:rsidR="0093508A" w:rsidRDefault="00000000">
      <w:pPr>
        <w:spacing w:after="120"/>
        <w:jc w:val="both"/>
      </w:pPr>
      <w:r>
        <w:t>Our key findings emphasize the primacy of feature engineering over model complexity in this domain, the critical importance of proper backtesting methodology to avoid misleading results, and the realistic expectation that even well-designed models will demonstrate modest predictive edge in efficient markets.</w:t>
      </w:r>
    </w:p>
    <w:p w14:paraId="61EEBB1A" w14:textId="77777777" w:rsidR="0093508A" w:rsidRDefault="00000000">
      <w:pPr>
        <w:spacing w:after="120"/>
        <w:jc w:val="both"/>
      </w:pPr>
      <w:r>
        <w:t>The walk-forward backtesting framework developed here provides a template for honest evaluation of trading strategies, preventing the optimistic bias that often plagues financial machine learning research. The comparison between Random Forest and Logistic Regression illustrates that simple, interpretable models can perform competitively with more complex alternatives when features are well-designed.</w:t>
      </w:r>
    </w:p>
    <w:p w14:paraId="1E8CD087" w14:textId="77777777" w:rsidR="0093508A" w:rsidRDefault="00000000">
      <w:pPr>
        <w:spacing w:after="120"/>
        <w:jc w:val="both"/>
      </w:pPr>
      <w:r>
        <w:t>Perhaps most importantly, this work demonstrates that the methodology matters more than the results. Without rigorous testing procedures, even impressive performance metrics are meaningless. The discipline of proper backtesting, feature engineering with domain knowledge, and honest evaluation of limitations is what distinguishes research with practical value from research that merely fits historical noise.</w:t>
      </w:r>
    </w:p>
    <w:p w14:paraId="1B289D18" w14:textId="77777777" w:rsidR="0093508A" w:rsidRDefault="00000000">
      <w:pPr>
        <w:spacing w:after="240"/>
        <w:jc w:val="both"/>
      </w:pPr>
      <w:r>
        <w:t xml:space="preserve">For practitioners and researchers in quantitative finance, this study reinforces the importance of maintaining healthy skepticism, thinking probabilistically rather than deterministically, and focusing on process over outcome. The small edges found here are characteristic of real financial </w:t>
        <w:lastRenderedPageBreak/>
        <w:t>markets—beating the market is hard, and those who claim otherwise are likely fooling themselves or their audience.</w:t>
      </w:r>
    </w:p>
    <w:p w14:paraId="001F513A" w14:textId="77777777" w:rsidR="0093508A" w:rsidRDefault="00000000">
      <w:r>
        <w:br w:type="page"/>
      </w:r>
    </w:p>
    <w:p w14:paraId="4C7BD7B1" w14:textId="77777777" w:rsidR="0093508A" w:rsidRDefault="00000000">
      <w:pPr>
        <w:pStyle w:val="Heading1"/>
      </w:pPr>
      <w:r>
        <w:lastRenderedPageBreak/>
        <w:t>References</w:t>
      </w:r>
    </w:p>
    <w:p w14:paraId="460E6EEE" w14:textId="77777777" w:rsidR="0093508A" w:rsidRDefault="00000000">
      <w:pPr>
        <w:spacing w:after="120"/>
        <w:jc w:val="both"/>
      </w:pPr>
      <w:r>
        <w:t>[1] Pedregosa, F., et al. (2011). Scikit-learn: Machine Learning in Python. Journal of Machine Learning Research, 12, 2825-2830.</w:t>
      </w:r>
    </w:p>
    <w:p w14:paraId="32C26938" w14:textId="77777777" w:rsidR="0093508A" w:rsidRDefault="00000000">
      <w:pPr>
        <w:spacing w:after="120"/>
        <w:jc w:val="both"/>
      </w:pPr>
      <w:r>
        <w:t>[2] Breiman, L. (2001). Random Forests. Machine Learning, 45(1), 5-32.</w:t>
      </w:r>
    </w:p>
    <w:p w14:paraId="674B4B21" w14:textId="77777777" w:rsidR="0093508A" w:rsidRDefault="00000000">
      <w:pPr>
        <w:spacing w:after="120"/>
        <w:jc w:val="both"/>
      </w:pPr>
      <w:r>
        <w:t>[3] Fama, E. F. (1970). Efficient Capital Markets: A Review of Theory and Empirical Work. The Journal of Finance, 25(2), 383-417.</w:t>
      </w:r>
    </w:p>
    <w:p w14:paraId="4E8E1D42" w14:textId="77777777" w:rsidR="0093508A" w:rsidRDefault="00000000">
      <w:pPr>
        <w:spacing w:after="120"/>
        <w:jc w:val="both"/>
      </w:pPr>
      <w:r>
        <w:t>[4] Pardo, R. (2008). The Evaluation and Optimization of Trading Strategies (2nd ed.). John Wiley &amp; Sons.</w:t>
      </w:r>
    </w:p>
    <w:p w14:paraId="3D0558E0" w14:textId="77777777" w:rsidR="0093508A" w:rsidRDefault="00000000">
      <w:pPr>
        <w:spacing w:after="120"/>
        <w:jc w:val="both"/>
      </w:pPr>
      <w:r>
        <w:t>[5] Bailey, D. H., et al. (2014). Pseudo-Mathematics and Financial Charlatanism: The Effects of Backtest Overfitting on Out-of-Sample Performance. Notices of the American Mathematical Society, 61(5), 458-471.</w:t>
      </w:r>
    </w:p>
    <w:sectPr w:rsidR="009350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655EA"/>
    <w:multiLevelType w:val="hybridMultilevel"/>
    <w:tmpl w:val="6708FA1C"/>
    <w:lvl w:ilvl="0" w:tplc="BD341C2C">
      <w:start w:val="1"/>
      <w:numFmt w:val="bullet"/>
      <w:lvlText w:val="•"/>
      <w:lvlJc w:val="left"/>
      <w:pPr>
        <w:ind w:left="720" w:hanging="360"/>
      </w:pPr>
    </w:lvl>
    <w:lvl w:ilvl="1" w:tplc="0A7EBF6A">
      <w:numFmt w:val="decimal"/>
      <w:lvlText w:val=""/>
      <w:lvlJc w:val="left"/>
    </w:lvl>
    <w:lvl w:ilvl="2" w:tplc="B6E88F26">
      <w:numFmt w:val="decimal"/>
      <w:lvlText w:val=""/>
      <w:lvlJc w:val="left"/>
    </w:lvl>
    <w:lvl w:ilvl="3" w:tplc="3BB28028">
      <w:numFmt w:val="decimal"/>
      <w:lvlText w:val=""/>
      <w:lvlJc w:val="left"/>
    </w:lvl>
    <w:lvl w:ilvl="4" w:tplc="E1C25CD8">
      <w:numFmt w:val="decimal"/>
      <w:lvlText w:val=""/>
      <w:lvlJc w:val="left"/>
    </w:lvl>
    <w:lvl w:ilvl="5" w:tplc="213C6B40">
      <w:numFmt w:val="decimal"/>
      <w:lvlText w:val=""/>
      <w:lvlJc w:val="left"/>
    </w:lvl>
    <w:lvl w:ilvl="6" w:tplc="DF44D3EE">
      <w:numFmt w:val="decimal"/>
      <w:lvlText w:val=""/>
      <w:lvlJc w:val="left"/>
    </w:lvl>
    <w:lvl w:ilvl="7" w:tplc="F40876AC">
      <w:numFmt w:val="decimal"/>
      <w:lvlText w:val=""/>
      <w:lvlJc w:val="left"/>
    </w:lvl>
    <w:lvl w:ilvl="8" w:tplc="156A0C4A">
      <w:numFmt w:val="decimal"/>
      <w:lvlText w:val=""/>
      <w:lvlJc w:val="left"/>
    </w:lvl>
  </w:abstractNum>
  <w:abstractNum w:abstractNumId="1" w15:restartNumberingAfterBreak="0">
    <w:nsid w:val="4C63278F"/>
    <w:multiLevelType w:val="hybridMultilevel"/>
    <w:tmpl w:val="A9268724"/>
    <w:lvl w:ilvl="0" w:tplc="D46CDCAC">
      <w:start w:val="1"/>
      <w:numFmt w:val="bullet"/>
      <w:lvlText w:val="●"/>
      <w:lvlJc w:val="left"/>
      <w:pPr>
        <w:ind w:left="720" w:hanging="360"/>
      </w:pPr>
    </w:lvl>
    <w:lvl w:ilvl="1" w:tplc="338A82DA">
      <w:start w:val="1"/>
      <w:numFmt w:val="bullet"/>
      <w:lvlText w:val="○"/>
      <w:lvlJc w:val="left"/>
      <w:pPr>
        <w:ind w:left="1440" w:hanging="360"/>
      </w:pPr>
    </w:lvl>
    <w:lvl w:ilvl="2" w:tplc="5568DC94">
      <w:start w:val="1"/>
      <w:numFmt w:val="bullet"/>
      <w:lvlText w:val="■"/>
      <w:lvlJc w:val="left"/>
      <w:pPr>
        <w:ind w:left="2160" w:hanging="360"/>
      </w:pPr>
    </w:lvl>
    <w:lvl w:ilvl="3" w:tplc="ACD27C80">
      <w:start w:val="1"/>
      <w:numFmt w:val="bullet"/>
      <w:lvlText w:val="●"/>
      <w:lvlJc w:val="left"/>
      <w:pPr>
        <w:ind w:left="2880" w:hanging="360"/>
      </w:pPr>
    </w:lvl>
    <w:lvl w:ilvl="4" w:tplc="D05E6254">
      <w:start w:val="1"/>
      <w:numFmt w:val="bullet"/>
      <w:lvlText w:val="○"/>
      <w:lvlJc w:val="left"/>
      <w:pPr>
        <w:ind w:left="3600" w:hanging="360"/>
      </w:pPr>
    </w:lvl>
    <w:lvl w:ilvl="5" w:tplc="8AC09254">
      <w:start w:val="1"/>
      <w:numFmt w:val="bullet"/>
      <w:lvlText w:val="■"/>
      <w:lvlJc w:val="left"/>
      <w:pPr>
        <w:ind w:left="4320" w:hanging="360"/>
      </w:pPr>
    </w:lvl>
    <w:lvl w:ilvl="6" w:tplc="2E04C196">
      <w:start w:val="1"/>
      <w:numFmt w:val="bullet"/>
      <w:lvlText w:val="●"/>
      <w:lvlJc w:val="left"/>
      <w:pPr>
        <w:ind w:left="5040" w:hanging="360"/>
      </w:pPr>
    </w:lvl>
    <w:lvl w:ilvl="7" w:tplc="27F2E106">
      <w:start w:val="1"/>
      <w:numFmt w:val="bullet"/>
      <w:lvlText w:val="●"/>
      <w:lvlJc w:val="left"/>
      <w:pPr>
        <w:ind w:left="5760" w:hanging="360"/>
      </w:pPr>
    </w:lvl>
    <w:lvl w:ilvl="8" w:tplc="4C82A59A">
      <w:start w:val="1"/>
      <w:numFmt w:val="bullet"/>
      <w:lvlText w:val="●"/>
      <w:lvlJc w:val="left"/>
      <w:pPr>
        <w:ind w:left="6480" w:hanging="360"/>
      </w:pPr>
    </w:lvl>
  </w:abstractNum>
  <w:num w:numId="1" w16cid:durableId="823818198">
    <w:abstractNumId w:val="1"/>
    <w:lvlOverride w:ilvl="0">
      <w:startOverride w:val="1"/>
    </w:lvlOverride>
  </w:num>
  <w:num w:numId="2" w16cid:durableId="1922519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8A"/>
    <w:rsid w:val="00461F07"/>
    <w:rsid w:val="0093508A"/>
    <w:rsid w:val="00C6484C"/>
    <w:rsid w:val="00ED37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92BF642"/>
  <w15:docId w15:val="{1233D85C-5496-BE42-965B-7AC03BB7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2707</Words>
  <Characters>15433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Itamar Amsalem</cp:lastModifiedBy>
  <cp:revision>2</cp:revision>
  <dcterms:created xsi:type="dcterms:W3CDTF">2026-02-01T02:04:00Z</dcterms:created>
  <dcterms:modified xsi:type="dcterms:W3CDTF">2026-02-01T02:41:00Z</dcterms:modified>
</cp:coreProperties>
</file>