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869" w:rsidRPr="007E5DB8" w:rsidRDefault="00CB3869" w:rsidP="00CB3869">
      <w:pPr>
        <w:bidi w:val="0"/>
        <w:jc w:val="center"/>
        <w:rPr>
          <w:rFonts w:ascii="Book Antiqua" w:hAnsi="Book Antiqua"/>
          <w:rtl/>
        </w:rPr>
      </w:pPr>
      <w:bookmarkStart w:id="0" w:name="_GoBack"/>
      <w:bookmarkEnd w:id="0"/>
      <w:r w:rsidRPr="007E5DB8">
        <w:rPr>
          <w:rFonts w:ascii="Book Antiqua" w:hAnsi="Book Antiqua"/>
          <w:noProof/>
        </w:rPr>
        <w:drawing>
          <wp:anchor distT="0" distB="0" distL="114300" distR="114300" simplePos="0" relativeHeight="251659264" behindDoc="0" locked="0" layoutInCell="1" allowOverlap="1">
            <wp:simplePos x="0" y="0"/>
            <wp:positionH relativeFrom="column">
              <wp:posOffset>2381250</wp:posOffset>
            </wp:positionH>
            <wp:positionV relativeFrom="paragraph">
              <wp:posOffset>-723900</wp:posOffset>
            </wp:positionV>
            <wp:extent cx="971550" cy="971550"/>
            <wp:effectExtent l="19050" t="0" r="0" b="0"/>
            <wp:wrapNone/>
            <wp:docPr id="3" name="Picture 1" descr="\\portals\DavWWWRoot\sites\boi\about\Mitug\DocList\Logo Bank of Israel 2 color\Logo Bank of Israel 2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ls\DavWWWRoot\sites\boi\about\Mitug\DocList\Logo Bank of Israel 2 color\Logo Bank of Israel 2 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anchor>
        </w:drawing>
      </w:r>
    </w:p>
    <w:p w:rsidR="00CB3869" w:rsidRPr="007E5DB8" w:rsidRDefault="00CB3869" w:rsidP="00CB3869">
      <w:pPr>
        <w:pStyle w:val="regpar"/>
        <w:spacing w:line="300" w:lineRule="atLeast"/>
        <w:ind w:firstLine="0"/>
        <w:jc w:val="center"/>
        <w:rPr>
          <w:rFonts w:ascii="Book Antiqua" w:hAnsi="Book Antiqua" w:cs="David"/>
          <w:b/>
        </w:rPr>
      </w:pPr>
    </w:p>
    <w:p w:rsidR="00CB3869" w:rsidRPr="007E5DB8" w:rsidRDefault="00CB3869" w:rsidP="00CB3869">
      <w:pPr>
        <w:pStyle w:val="regpar"/>
        <w:spacing w:line="300" w:lineRule="atLeast"/>
        <w:ind w:firstLine="0"/>
        <w:jc w:val="center"/>
        <w:rPr>
          <w:rFonts w:ascii="Book Antiqua" w:hAnsi="Book Antiqua" w:cs="David"/>
          <w:b/>
        </w:rPr>
      </w:pPr>
      <w:r w:rsidRPr="007E5DB8">
        <w:rPr>
          <w:rFonts w:ascii="Book Antiqua" w:hAnsi="Book Antiqua" w:cs="David"/>
          <w:b/>
        </w:rPr>
        <w:t>BANK OF ISRAEL</w:t>
      </w:r>
    </w:p>
    <w:p w:rsidR="00CB3869" w:rsidRPr="007E5DB8" w:rsidRDefault="00CB3869" w:rsidP="00CB3869">
      <w:pPr>
        <w:pStyle w:val="regpar"/>
        <w:spacing w:line="300" w:lineRule="atLeast"/>
        <w:ind w:firstLine="0"/>
        <w:jc w:val="center"/>
        <w:rPr>
          <w:rFonts w:ascii="Book Antiqua" w:hAnsi="Book Antiqua" w:cs="Times New Roman"/>
          <w:b/>
        </w:rPr>
      </w:pPr>
      <w:r w:rsidRPr="007E5DB8">
        <w:rPr>
          <w:rFonts w:ascii="Book Antiqua" w:hAnsi="Book Antiqua" w:cs="Times New Roman"/>
        </w:rPr>
        <w:t>Office of the Spokesperson and Economic Information</w:t>
      </w:r>
    </w:p>
    <w:p w:rsidR="00CB3869" w:rsidRPr="007E5DB8" w:rsidRDefault="00CB3869" w:rsidP="00CB3869">
      <w:pPr>
        <w:bidi w:val="0"/>
        <w:jc w:val="right"/>
        <w:rPr>
          <w:rFonts w:ascii="Book Antiqua" w:hAnsi="Book Antiqua"/>
        </w:rPr>
      </w:pPr>
    </w:p>
    <w:p w:rsidR="00CB3869" w:rsidRPr="007E5DB8" w:rsidRDefault="00CB3869" w:rsidP="00CB3869">
      <w:pPr>
        <w:bidi w:val="0"/>
        <w:rPr>
          <w:rFonts w:ascii="Book Antiqua" w:hAnsi="Book Antiqua"/>
        </w:rPr>
      </w:pPr>
    </w:p>
    <w:p w:rsidR="00CB3869" w:rsidRPr="007E5DB8" w:rsidRDefault="00CB3869" w:rsidP="002C1BA2">
      <w:pPr>
        <w:bidi w:val="0"/>
        <w:jc w:val="right"/>
        <w:rPr>
          <w:rFonts w:ascii="Book Antiqua" w:hAnsi="Book Antiqua"/>
        </w:rPr>
      </w:pPr>
      <w:r w:rsidRPr="007E5DB8">
        <w:rPr>
          <w:rFonts w:ascii="Book Antiqua" w:hAnsi="Book Antiqua"/>
        </w:rPr>
        <w:t xml:space="preserve">May </w:t>
      </w:r>
      <w:r w:rsidR="002C1BA2" w:rsidRPr="007E5DB8">
        <w:rPr>
          <w:rFonts w:ascii="Book Antiqua" w:hAnsi="Book Antiqua"/>
        </w:rPr>
        <w:t>12</w:t>
      </w:r>
      <w:r w:rsidRPr="007E5DB8">
        <w:rPr>
          <w:rFonts w:ascii="Book Antiqua" w:hAnsi="Book Antiqua"/>
        </w:rPr>
        <w:t xml:space="preserve">, </w:t>
      </w:r>
      <w:r w:rsidRPr="007E5DB8">
        <w:rPr>
          <w:rFonts w:ascii="Book Antiqua" w:hAnsi="Book Antiqua"/>
          <w:rtl/>
        </w:rPr>
        <w:t>20</w:t>
      </w:r>
      <w:r w:rsidRPr="007E5DB8">
        <w:rPr>
          <w:rFonts w:ascii="Book Antiqua" w:hAnsi="Book Antiqua"/>
        </w:rPr>
        <w:t>20</w:t>
      </w:r>
    </w:p>
    <w:p w:rsidR="00CB3869" w:rsidRPr="007E5DB8" w:rsidRDefault="00CB3869" w:rsidP="00CB3869">
      <w:pPr>
        <w:tabs>
          <w:tab w:val="center" w:pos="4156"/>
          <w:tab w:val="right" w:pos="8312"/>
        </w:tabs>
        <w:bidi w:val="0"/>
        <w:jc w:val="center"/>
        <w:rPr>
          <w:rFonts w:ascii="Book Antiqua" w:hAnsi="Book Antiqua" w:cs="David"/>
        </w:rPr>
      </w:pPr>
    </w:p>
    <w:p w:rsidR="00CB3869" w:rsidRPr="007E5DB8" w:rsidRDefault="00CB3869" w:rsidP="00CB3869">
      <w:pPr>
        <w:tabs>
          <w:tab w:val="center" w:pos="4156"/>
          <w:tab w:val="right" w:pos="8312"/>
        </w:tabs>
        <w:bidi w:val="0"/>
        <w:jc w:val="center"/>
        <w:rPr>
          <w:rFonts w:ascii="Book Antiqua" w:hAnsi="Book Antiqua" w:cs="David"/>
        </w:rPr>
      </w:pPr>
    </w:p>
    <w:p w:rsidR="00CB3869" w:rsidRPr="007E5DB8" w:rsidRDefault="00CB3869" w:rsidP="00CB3869">
      <w:pPr>
        <w:tabs>
          <w:tab w:val="center" w:pos="4156"/>
          <w:tab w:val="right" w:pos="8312"/>
        </w:tabs>
        <w:bidi w:val="0"/>
        <w:rPr>
          <w:rFonts w:ascii="Book Antiqua" w:hAnsi="Book Antiqua" w:cs="David"/>
        </w:rPr>
      </w:pPr>
      <w:r w:rsidRPr="007E5DB8">
        <w:rPr>
          <w:rFonts w:ascii="Book Antiqua" w:hAnsi="Book Antiqua" w:cs="David"/>
        </w:rPr>
        <w:t>Press Release:</w:t>
      </w:r>
    </w:p>
    <w:p w:rsidR="00CB3869" w:rsidRPr="007E5DB8" w:rsidRDefault="00CB3869" w:rsidP="00CB3869">
      <w:pPr>
        <w:tabs>
          <w:tab w:val="center" w:pos="4156"/>
          <w:tab w:val="right" w:pos="8312"/>
        </w:tabs>
        <w:bidi w:val="0"/>
        <w:rPr>
          <w:rFonts w:ascii="Book Antiqua" w:hAnsi="Book Antiqua" w:cs="David"/>
        </w:rPr>
      </w:pPr>
    </w:p>
    <w:p w:rsidR="00CB3869" w:rsidRPr="007E5DB8" w:rsidRDefault="00CB3869" w:rsidP="00787F2E">
      <w:pPr>
        <w:tabs>
          <w:tab w:val="center" w:pos="4156"/>
          <w:tab w:val="right" w:pos="8312"/>
        </w:tabs>
        <w:bidi w:val="0"/>
        <w:jc w:val="center"/>
        <w:rPr>
          <w:rFonts w:ascii="Book Antiqua" w:hAnsi="Book Antiqua" w:cs="David"/>
          <w:b/>
          <w:bCs/>
          <w:sz w:val="32"/>
          <w:szCs w:val="32"/>
        </w:rPr>
      </w:pPr>
      <w:r w:rsidRPr="007E5DB8">
        <w:rPr>
          <w:rFonts w:ascii="Book Antiqua" w:hAnsi="Book Antiqua" w:cs="David"/>
          <w:b/>
          <w:bCs/>
          <w:sz w:val="32"/>
          <w:szCs w:val="32"/>
        </w:rPr>
        <w:t xml:space="preserve">Special analysis by the Bank of Israel Research Department: Initial economic insights from indices of changes in </w:t>
      </w:r>
      <w:r w:rsidR="00EA02A8" w:rsidRPr="007E5DB8">
        <w:rPr>
          <w:rFonts w:ascii="Book Antiqua" w:hAnsi="Book Antiqua" w:cs="David"/>
          <w:b/>
          <w:bCs/>
          <w:sz w:val="32"/>
          <w:szCs w:val="32"/>
        </w:rPr>
        <w:t xml:space="preserve">mobility patterns </w:t>
      </w:r>
      <w:r w:rsidRPr="007E5DB8">
        <w:rPr>
          <w:rFonts w:ascii="Book Antiqua" w:hAnsi="Book Antiqua" w:cs="David"/>
          <w:b/>
          <w:bCs/>
          <w:sz w:val="32"/>
          <w:szCs w:val="32"/>
        </w:rPr>
        <w:t>in Israel</w:t>
      </w:r>
    </w:p>
    <w:p w:rsidR="00EA02A8" w:rsidRPr="007E5DB8" w:rsidRDefault="00EA02A8" w:rsidP="00EA02A8">
      <w:pPr>
        <w:tabs>
          <w:tab w:val="center" w:pos="4156"/>
          <w:tab w:val="right" w:pos="8312"/>
        </w:tabs>
        <w:bidi w:val="0"/>
        <w:rPr>
          <w:rFonts w:ascii="Book Antiqua" w:hAnsi="Book Antiqua" w:cs="David"/>
        </w:rPr>
      </w:pPr>
    </w:p>
    <w:p w:rsidR="0020464A" w:rsidRPr="007E5DB8" w:rsidRDefault="0020464A" w:rsidP="004B1C3C">
      <w:pPr>
        <w:tabs>
          <w:tab w:val="center" w:pos="4156"/>
          <w:tab w:val="right" w:pos="8312"/>
        </w:tabs>
        <w:bidi w:val="0"/>
        <w:rPr>
          <w:rFonts w:ascii="Book Antiqua" w:hAnsi="Book Antiqua" w:cs="David"/>
        </w:rPr>
      </w:pPr>
    </w:p>
    <w:p w:rsidR="004B1C3C" w:rsidRPr="007E5DB8" w:rsidRDefault="00EA02A8" w:rsidP="00BD7C9E">
      <w:pPr>
        <w:pStyle w:val="a3"/>
        <w:numPr>
          <w:ilvl w:val="0"/>
          <w:numId w:val="1"/>
        </w:numPr>
        <w:tabs>
          <w:tab w:val="center" w:pos="4156"/>
          <w:tab w:val="right" w:pos="8312"/>
        </w:tabs>
        <w:bidi w:val="0"/>
        <w:ind w:left="360"/>
        <w:jc w:val="both"/>
        <w:rPr>
          <w:rFonts w:ascii="Book Antiqua" w:hAnsi="Book Antiqua" w:cs="David"/>
          <w:b/>
          <w:bCs/>
        </w:rPr>
      </w:pPr>
      <w:r w:rsidRPr="007E5DB8">
        <w:rPr>
          <w:rFonts w:ascii="Book Antiqua" w:hAnsi="Book Antiqua" w:cs="David"/>
          <w:b/>
          <w:bCs/>
        </w:rPr>
        <w:t>Recently, Google and Apple beg</w:t>
      </w:r>
      <w:r w:rsidR="00435D46" w:rsidRPr="007E5DB8">
        <w:rPr>
          <w:rFonts w:ascii="Book Antiqua" w:hAnsi="Book Antiqua" w:cs="David"/>
          <w:b/>
          <w:bCs/>
        </w:rPr>
        <w:t>a</w:t>
      </w:r>
      <w:r w:rsidRPr="007E5DB8">
        <w:rPr>
          <w:rFonts w:ascii="Book Antiqua" w:hAnsi="Book Antiqua" w:cs="David"/>
          <w:b/>
          <w:bCs/>
        </w:rPr>
        <w:t>n publish</w:t>
      </w:r>
      <w:r w:rsidR="00435D46" w:rsidRPr="007E5DB8">
        <w:rPr>
          <w:rFonts w:ascii="Book Antiqua" w:hAnsi="Book Antiqua" w:cs="David"/>
          <w:b/>
          <w:bCs/>
        </w:rPr>
        <w:t>ing</w:t>
      </w:r>
      <w:r w:rsidRPr="007E5DB8">
        <w:rPr>
          <w:rFonts w:ascii="Book Antiqua" w:hAnsi="Book Antiqua" w:cs="David"/>
          <w:b/>
          <w:bCs/>
        </w:rPr>
        <w:t xml:space="preserve"> “Mobility reports” that present changes in mobility patterns among the population.</w:t>
      </w:r>
      <w:r w:rsidR="00A92408" w:rsidRPr="007E5DB8">
        <w:rPr>
          <w:rFonts w:ascii="Book Antiqua" w:hAnsi="Book Antiqua" w:cs="David"/>
          <w:b/>
          <w:bCs/>
        </w:rPr>
        <w:t xml:space="preserve"> In particular, Google’s mobility reports include indices for mobility to workplaces and to </w:t>
      </w:r>
      <w:r w:rsidR="000059F9" w:rsidRPr="007E5DB8">
        <w:rPr>
          <w:rFonts w:ascii="Book Antiqua" w:hAnsi="Book Antiqua" w:cs="David"/>
          <w:b/>
          <w:bCs/>
        </w:rPr>
        <w:t>retail</w:t>
      </w:r>
      <w:r w:rsidR="00A92408" w:rsidRPr="007E5DB8">
        <w:rPr>
          <w:rFonts w:ascii="Book Antiqua" w:hAnsi="Book Antiqua" w:cs="David"/>
          <w:b/>
          <w:bCs/>
        </w:rPr>
        <w:t xml:space="preserve"> and </w:t>
      </w:r>
      <w:r w:rsidR="00245441" w:rsidRPr="007E5DB8">
        <w:rPr>
          <w:rFonts w:ascii="Book Antiqua" w:hAnsi="Book Antiqua" w:cs="David"/>
          <w:b/>
          <w:bCs/>
        </w:rPr>
        <w:t xml:space="preserve">recreation </w:t>
      </w:r>
      <w:r w:rsidR="00A92408" w:rsidRPr="007E5DB8">
        <w:rPr>
          <w:rFonts w:ascii="Book Antiqua" w:hAnsi="Book Antiqua" w:cs="David"/>
          <w:b/>
          <w:bCs/>
        </w:rPr>
        <w:t xml:space="preserve">areas </w:t>
      </w:r>
      <w:r w:rsidR="004B1C3C" w:rsidRPr="007E5DB8">
        <w:rPr>
          <w:rFonts w:ascii="Book Antiqua" w:hAnsi="Book Antiqua" w:cs="David"/>
          <w:b/>
          <w:bCs/>
        </w:rPr>
        <w:t xml:space="preserve">that can serve as </w:t>
      </w:r>
      <w:r w:rsidR="00BD7C9E" w:rsidRPr="007E5DB8">
        <w:rPr>
          <w:rFonts w:ascii="Book Antiqua" w:hAnsi="Book Antiqua" w:cs="David"/>
          <w:b/>
          <w:bCs/>
        </w:rPr>
        <w:t xml:space="preserve">real-time </w:t>
      </w:r>
      <w:r w:rsidR="004B1C3C" w:rsidRPr="007E5DB8">
        <w:rPr>
          <w:rFonts w:ascii="Book Antiqua" w:hAnsi="Book Antiqua" w:cs="David"/>
          <w:b/>
          <w:bCs/>
        </w:rPr>
        <w:t>indicators of the state of the labor market and of private consumption.</w:t>
      </w:r>
    </w:p>
    <w:p w:rsidR="004B1C3C" w:rsidRPr="007E5DB8" w:rsidRDefault="004B1C3C" w:rsidP="00544369">
      <w:pPr>
        <w:tabs>
          <w:tab w:val="center" w:pos="4156"/>
          <w:tab w:val="right" w:pos="8312"/>
        </w:tabs>
        <w:bidi w:val="0"/>
        <w:jc w:val="both"/>
        <w:rPr>
          <w:rFonts w:ascii="Book Antiqua" w:hAnsi="Book Antiqua" w:cs="David"/>
          <w:b/>
          <w:bCs/>
        </w:rPr>
      </w:pPr>
    </w:p>
    <w:p w:rsidR="00EA02A8" w:rsidRPr="007E5DB8" w:rsidRDefault="004B1C3C" w:rsidP="002C1BA2">
      <w:pPr>
        <w:pStyle w:val="a3"/>
        <w:numPr>
          <w:ilvl w:val="0"/>
          <w:numId w:val="1"/>
        </w:numPr>
        <w:tabs>
          <w:tab w:val="center" w:pos="4156"/>
          <w:tab w:val="right" w:pos="8312"/>
        </w:tabs>
        <w:bidi w:val="0"/>
        <w:ind w:left="360"/>
        <w:jc w:val="both"/>
        <w:rPr>
          <w:rFonts w:ascii="Book Antiqua" w:hAnsi="Book Antiqua" w:cs="David"/>
          <w:b/>
          <w:bCs/>
        </w:rPr>
      </w:pPr>
      <w:r w:rsidRPr="007E5DB8">
        <w:rPr>
          <w:rFonts w:ascii="Book Antiqua" w:hAnsi="Book Antiqua" w:cs="David"/>
          <w:b/>
          <w:bCs/>
        </w:rPr>
        <w:t>Government measures to deal with the coronavirus crisis in Israel, including the marked decline in economic activity, are reflected well in these indices, and particularly in the sharp decline in mobility to work places (</w:t>
      </w:r>
      <w:r w:rsidR="002C1BA2" w:rsidRPr="007E5DB8">
        <w:rPr>
          <w:rFonts w:ascii="Book Antiqua" w:hAnsi="Book Antiqua" w:cs="David"/>
          <w:b/>
          <w:bCs/>
        </w:rPr>
        <w:t xml:space="preserve">by </w:t>
      </w:r>
      <w:r w:rsidRPr="007E5DB8">
        <w:rPr>
          <w:rFonts w:ascii="Book Antiqua" w:hAnsi="Book Antiqua" w:cs="David"/>
          <w:b/>
          <w:bCs/>
        </w:rPr>
        <w:t xml:space="preserve">about 70 percent at the low points relative to the level of the month prior to the crisis) and to </w:t>
      </w:r>
      <w:r w:rsidR="000059F9" w:rsidRPr="007E5DB8">
        <w:rPr>
          <w:rFonts w:ascii="Book Antiqua" w:hAnsi="Book Antiqua" w:cs="David"/>
          <w:b/>
          <w:bCs/>
        </w:rPr>
        <w:t xml:space="preserve">retail </w:t>
      </w:r>
      <w:r w:rsidRPr="007E5DB8">
        <w:rPr>
          <w:rFonts w:ascii="Book Antiqua" w:hAnsi="Book Antiqua" w:cs="David"/>
          <w:b/>
          <w:bCs/>
        </w:rPr>
        <w:t xml:space="preserve">and </w:t>
      </w:r>
      <w:r w:rsidR="00245441" w:rsidRPr="007E5DB8">
        <w:rPr>
          <w:rFonts w:ascii="Book Antiqua" w:hAnsi="Book Antiqua" w:cs="David"/>
          <w:b/>
          <w:bCs/>
        </w:rPr>
        <w:t xml:space="preserve">recreation </w:t>
      </w:r>
      <w:r w:rsidRPr="007E5DB8">
        <w:rPr>
          <w:rFonts w:ascii="Book Antiqua" w:hAnsi="Book Antiqua" w:cs="David"/>
          <w:b/>
          <w:bCs/>
        </w:rPr>
        <w:t>areas</w:t>
      </w:r>
      <w:r w:rsidR="00CE5E53" w:rsidRPr="007E5DB8">
        <w:rPr>
          <w:rFonts w:ascii="Book Antiqua" w:hAnsi="Book Antiqua" w:cs="David"/>
          <w:b/>
          <w:bCs/>
        </w:rPr>
        <w:t xml:space="preserve"> (about 80 percent).</w:t>
      </w:r>
    </w:p>
    <w:p w:rsidR="00CE5E53" w:rsidRPr="007E5DB8" w:rsidRDefault="00CE5E53" w:rsidP="00544369">
      <w:pPr>
        <w:tabs>
          <w:tab w:val="center" w:pos="4156"/>
          <w:tab w:val="right" w:pos="8312"/>
        </w:tabs>
        <w:bidi w:val="0"/>
        <w:jc w:val="both"/>
        <w:rPr>
          <w:rFonts w:ascii="Book Antiqua" w:hAnsi="Book Antiqua" w:cs="David"/>
          <w:b/>
          <w:bCs/>
        </w:rPr>
      </w:pPr>
    </w:p>
    <w:p w:rsidR="00E50D34" w:rsidRPr="007E5DB8" w:rsidRDefault="00CE5E53" w:rsidP="0073270A">
      <w:pPr>
        <w:pStyle w:val="a3"/>
        <w:numPr>
          <w:ilvl w:val="0"/>
          <w:numId w:val="1"/>
        </w:numPr>
        <w:tabs>
          <w:tab w:val="center" w:pos="4156"/>
          <w:tab w:val="right" w:pos="8312"/>
        </w:tabs>
        <w:bidi w:val="0"/>
        <w:ind w:left="360"/>
        <w:jc w:val="both"/>
        <w:rPr>
          <w:rFonts w:ascii="Book Antiqua" w:hAnsi="Book Antiqua" w:cs="David"/>
          <w:b/>
          <w:bCs/>
        </w:rPr>
      </w:pPr>
      <w:r w:rsidRPr="007E5DB8">
        <w:rPr>
          <w:rFonts w:ascii="Book Antiqua" w:hAnsi="Book Antiqua" w:cs="David"/>
          <w:b/>
          <w:bCs/>
        </w:rPr>
        <w:t>In the second half of April, against the background of a series of easing</w:t>
      </w:r>
      <w:r w:rsidR="00B9246B" w:rsidRPr="007E5DB8">
        <w:rPr>
          <w:rFonts w:ascii="Book Antiqua" w:hAnsi="Book Antiqua" w:cs="David"/>
          <w:b/>
          <w:bCs/>
        </w:rPr>
        <w:t xml:space="preserve">s announced by the government, there was a marked improvement </w:t>
      </w:r>
      <w:r w:rsidR="001F3EA8" w:rsidRPr="007E5DB8">
        <w:rPr>
          <w:rFonts w:ascii="Book Antiqua" w:hAnsi="Book Antiqua" w:cs="David"/>
          <w:b/>
          <w:bCs/>
        </w:rPr>
        <w:t xml:space="preserve">in mobility to workplaces and to a lesser degree in mobility to </w:t>
      </w:r>
      <w:r w:rsidR="000059F9" w:rsidRPr="007E5DB8">
        <w:rPr>
          <w:rFonts w:ascii="Book Antiqua" w:hAnsi="Book Antiqua" w:cs="David"/>
          <w:b/>
          <w:bCs/>
        </w:rPr>
        <w:t xml:space="preserve">retail </w:t>
      </w:r>
      <w:r w:rsidR="001F3EA8" w:rsidRPr="007E5DB8">
        <w:rPr>
          <w:rFonts w:ascii="Book Antiqua" w:hAnsi="Book Antiqua" w:cs="David"/>
          <w:b/>
          <w:bCs/>
        </w:rPr>
        <w:t xml:space="preserve">and </w:t>
      </w:r>
      <w:r w:rsidR="00245441" w:rsidRPr="007E5DB8">
        <w:rPr>
          <w:rFonts w:ascii="Book Antiqua" w:hAnsi="Book Antiqua" w:cs="David"/>
          <w:b/>
          <w:bCs/>
        </w:rPr>
        <w:t xml:space="preserve">recreation </w:t>
      </w:r>
      <w:r w:rsidR="001F3EA8" w:rsidRPr="007E5DB8">
        <w:rPr>
          <w:rFonts w:ascii="Book Antiqua" w:hAnsi="Book Antiqua" w:cs="David"/>
          <w:b/>
          <w:bCs/>
        </w:rPr>
        <w:t>areas</w:t>
      </w:r>
      <w:r w:rsidR="005F64AB" w:rsidRPr="007E5DB8">
        <w:rPr>
          <w:rFonts w:ascii="Book Antiqua" w:hAnsi="Book Antiqua"/>
          <w:b/>
          <w:bCs/>
        </w:rPr>
        <w:t xml:space="preserve"> as well—the gap relative to the base</w:t>
      </w:r>
      <w:r w:rsidR="0073270A" w:rsidRPr="007E5DB8">
        <w:rPr>
          <w:rFonts w:ascii="Book Antiqua" w:hAnsi="Book Antiqua"/>
          <w:b/>
          <w:bCs/>
        </w:rPr>
        <w:t xml:space="preserve">line </w:t>
      </w:r>
      <w:r w:rsidR="005F64AB" w:rsidRPr="007E5DB8">
        <w:rPr>
          <w:rFonts w:ascii="Book Antiqua" w:hAnsi="Book Antiqua"/>
          <w:b/>
          <w:bCs/>
        </w:rPr>
        <w:t xml:space="preserve">level of the month before the crisis decreased to 50 percent </w:t>
      </w:r>
      <w:r w:rsidR="005F64AB" w:rsidRPr="007E5DB8">
        <w:rPr>
          <w:rFonts w:ascii="Book Antiqua" w:hAnsi="Book Antiqua" w:cs="David"/>
          <w:b/>
          <w:bCs/>
        </w:rPr>
        <w:t>to workplaces</w:t>
      </w:r>
      <w:r w:rsidR="005F64AB" w:rsidRPr="007E5DB8">
        <w:rPr>
          <w:rFonts w:ascii="Book Antiqua" w:hAnsi="Book Antiqua"/>
          <w:b/>
          <w:bCs/>
        </w:rPr>
        <w:t xml:space="preserve"> and 70 percent to </w:t>
      </w:r>
      <w:r w:rsidR="000059F9" w:rsidRPr="007E5DB8">
        <w:rPr>
          <w:rFonts w:ascii="Book Antiqua" w:hAnsi="Book Antiqua" w:cs="David"/>
          <w:b/>
          <w:bCs/>
        </w:rPr>
        <w:t xml:space="preserve">retail </w:t>
      </w:r>
      <w:r w:rsidR="005F64AB" w:rsidRPr="007E5DB8">
        <w:rPr>
          <w:rFonts w:ascii="Book Antiqua" w:hAnsi="Book Antiqua" w:cs="David"/>
          <w:b/>
          <w:bCs/>
        </w:rPr>
        <w:t xml:space="preserve">and </w:t>
      </w:r>
      <w:r w:rsidR="00245441" w:rsidRPr="007E5DB8">
        <w:rPr>
          <w:rFonts w:ascii="Book Antiqua" w:hAnsi="Book Antiqua" w:cs="David"/>
          <w:b/>
          <w:bCs/>
        </w:rPr>
        <w:t xml:space="preserve">recreation </w:t>
      </w:r>
      <w:r w:rsidR="005F64AB" w:rsidRPr="007E5DB8">
        <w:rPr>
          <w:rFonts w:ascii="Book Antiqua" w:hAnsi="Book Antiqua" w:cs="David"/>
          <w:b/>
          <w:bCs/>
        </w:rPr>
        <w:t>areas</w:t>
      </w:r>
      <w:r w:rsidR="00E50D34" w:rsidRPr="007E5DB8">
        <w:rPr>
          <w:rFonts w:ascii="Book Antiqua" w:hAnsi="Book Antiqua" w:cs="David"/>
          <w:b/>
          <w:bCs/>
        </w:rPr>
        <w:t>.</w:t>
      </w:r>
    </w:p>
    <w:p w:rsidR="00E50D34" w:rsidRPr="007E5DB8" w:rsidRDefault="00E50D34" w:rsidP="00544369">
      <w:pPr>
        <w:tabs>
          <w:tab w:val="center" w:pos="4156"/>
          <w:tab w:val="right" w:pos="8312"/>
        </w:tabs>
        <w:bidi w:val="0"/>
        <w:jc w:val="both"/>
        <w:rPr>
          <w:rFonts w:ascii="Book Antiqua" w:hAnsi="Book Antiqua" w:cs="David"/>
          <w:b/>
          <w:bCs/>
        </w:rPr>
      </w:pPr>
    </w:p>
    <w:p w:rsidR="00E50D34" w:rsidRPr="007E5DB8" w:rsidRDefault="00E50D34" w:rsidP="00ED399D">
      <w:pPr>
        <w:pStyle w:val="a3"/>
        <w:numPr>
          <w:ilvl w:val="0"/>
          <w:numId w:val="1"/>
        </w:numPr>
        <w:tabs>
          <w:tab w:val="center" w:pos="4156"/>
          <w:tab w:val="right" w:pos="8312"/>
        </w:tabs>
        <w:bidi w:val="0"/>
        <w:ind w:left="360"/>
        <w:jc w:val="both"/>
        <w:rPr>
          <w:rFonts w:ascii="Book Antiqua" w:hAnsi="Book Antiqua" w:cs="David"/>
          <w:b/>
          <w:bCs/>
        </w:rPr>
      </w:pPr>
      <w:r w:rsidRPr="007E5DB8">
        <w:rPr>
          <w:rFonts w:ascii="Book Antiqua" w:hAnsi="Book Antiqua" w:cs="David"/>
          <w:b/>
          <w:bCs/>
        </w:rPr>
        <w:t xml:space="preserve">At its peak, the decline in mobility to places of work, </w:t>
      </w:r>
      <w:r w:rsidR="00ED399D" w:rsidRPr="007E5DB8">
        <w:rPr>
          <w:rFonts w:ascii="Book Antiqua" w:hAnsi="Book Antiqua" w:cs="David"/>
          <w:b/>
          <w:bCs/>
        </w:rPr>
        <w:t>retail</w:t>
      </w:r>
      <w:r w:rsidRPr="007E5DB8">
        <w:rPr>
          <w:rFonts w:ascii="Book Antiqua" w:hAnsi="Book Antiqua" w:cs="David"/>
          <w:b/>
          <w:bCs/>
        </w:rPr>
        <w:t xml:space="preserve"> and </w:t>
      </w:r>
      <w:r w:rsidR="00245441" w:rsidRPr="007E5DB8">
        <w:rPr>
          <w:rFonts w:ascii="Book Antiqua" w:hAnsi="Book Antiqua" w:cs="David"/>
          <w:b/>
          <w:bCs/>
        </w:rPr>
        <w:t xml:space="preserve">recreation </w:t>
      </w:r>
      <w:r w:rsidRPr="007E5DB8">
        <w:rPr>
          <w:rFonts w:ascii="Book Antiqua" w:hAnsi="Book Antiqua" w:cs="David"/>
          <w:b/>
          <w:bCs/>
        </w:rPr>
        <w:t>during the coronavirus crisis in Israel was greater than the decline in most OECD countries. Nonetheless, beginning from the middle of April 2020</w:t>
      </w:r>
      <w:r w:rsidR="00D27A48" w:rsidRPr="007E5DB8">
        <w:rPr>
          <w:rFonts w:ascii="Book Antiqua" w:hAnsi="Book Antiqua" w:cs="David"/>
          <w:b/>
          <w:bCs/>
        </w:rPr>
        <w:t>, the gap between Israel and the OECD median began to contract, a finding that may indicate that the economic recovery in Israel is more rapid compared to other countr</w:t>
      </w:r>
      <w:r w:rsidR="0050267E" w:rsidRPr="007E5DB8">
        <w:rPr>
          <w:rFonts w:ascii="Book Antiqua" w:hAnsi="Book Antiqua" w:cs="David"/>
          <w:b/>
          <w:bCs/>
        </w:rPr>
        <w:t>i</w:t>
      </w:r>
      <w:r w:rsidR="00D27A48" w:rsidRPr="007E5DB8">
        <w:rPr>
          <w:rFonts w:ascii="Book Antiqua" w:hAnsi="Book Antiqua" w:cs="David"/>
          <w:b/>
          <w:bCs/>
        </w:rPr>
        <w:t>es.</w:t>
      </w:r>
    </w:p>
    <w:p w:rsidR="0050267E" w:rsidRPr="007E5DB8" w:rsidRDefault="0050267E" w:rsidP="00F04823">
      <w:pPr>
        <w:tabs>
          <w:tab w:val="center" w:pos="4156"/>
          <w:tab w:val="right" w:pos="8312"/>
        </w:tabs>
        <w:bidi w:val="0"/>
        <w:jc w:val="both"/>
        <w:rPr>
          <w:rFonts w:ascii="Book Antiqua" w:hAnsi="Book Antiqua" w:cs="David"/>
        </w:rPr>
      </w:pPr>
    </w:p>
    <w:p w:rsidR="0050267E" w:rsidRPr="007E5DB8" w:rsidRDefault="0055494D" w:rsidP="00F04823">
      <w:pPr>
        <w:tabs>
          <w:tab w:val="center" w:pos="4156"/>
          <w:tab w:val="right" w:pos="8312"/>
        </w:tabs>
        <w:bidi w:val="0"/>
        <w:jc w:val="both"/>
        <w:rPr>
          <w:rFonts w:ascii="Book Antiqua" w:hAnsi="Book Antiqua" w:cs="David"/>
          <w:b/>
          <w:bCs/>
        </w:rPr>
      </w:pPr>
      <w:r w:rsidRPr="007E5DB8">
        <w:rPr>
          <w:rFonts w:ascii="Book Antiqua" w:hAnsi="Book Antiqua" w:cs="David"/>
          <w:b/>
          <w:bCs/>
        </w:rPr>
        <w:t>The data in this analysis are as of May 2, 2020. Additional data on economic activity in recent days will become available and will be analyzed subsequently.</w:t>
      </w:r>
    </w:p>
    <w:p w:rsidR="0055494D" w:rsidRPr="007E5DB8" w:rsidRDefault="0055494D" w:rsidP="00F04823">
      <w:pPr>
        <w:tabs>
          <w:tab w:val="center" w:pos="4156"/>
          <w:tab w:val="right" w:pos="8312"/>
        </w:tabs>
        <w:bidi w:val="0"/>
        <w:jc w:val="both"/>
        <w:rPr>
          <w:rFonts w:ascii="Book Antiqua" w:hAnsi="Book Antiqua" w:cs="David"/>
        </w:rPr>
      </w:pPr>
    </w:p>
    <w:p w:rsidR="0055494D" w:rsidRPr="007E5DB8" w:rsidRDefault="0055494D" w:rsidP="007E5DB8">
      <w:pPr>
        <w:tabs>
          <w:tab w:val="center" w:pos="4156"/>
          <w:tab w:val="right" w:pos="8312"/>
        </w:tabs>
        <w:bidi w:val="0"/>
        <w:spacing w:after="240"/>
        <w:jc w:val="both"/>
        <w:rPr>
          <w:rFonts w:ascii="Book Antiqua" w:hAnsi="Book Antiqua" w:cs="David"/>
          <w:b/>
          <w:bCs/>
          <w:sz w:val="26"/>
          <w:szCs w:val="26"/>
        </w:rPr>
      </w:pPr>
      <w:r w:rsidRPr="007E5DB8">
        <w:rPr>
          <w:rFonts w:ascii="Book Antiqua" w:hAnsi="Book Antiqua" w:cs="David"/>
          <w:b/>
          <w:bCs/>
          <w:sz w:val="26"/>
          <w:szCs w:val="26"/>
        </w:rPr>
        <w:lastRenderedPageBreak/>
        <w:t>Mobility reports</w:t>
      </w:r>
    </w:p>
    <w:p w:rsidR="0055494D" w:rsidRPr="007E5DB8" w:rsidRDefault="0055494D" w:rsidP="00ED399D">
      <w:pPr>
        <w:tabs>
          <w:tab w:val="center" w:pos="4156"/>
          <w:tab w:val="right" w:pos="8312"/>
        </w:tabs>
        <w:bidi w:val="0"/>
        <w:jc w:val="both"/>
        <w:rPr>
          <w:rFonts w:ascii="Book Antiqua" w:hAnsi="Book Antiqua" w:cs="David"/>
        </w:rPr>
      </w:pPr>
      <w:r w:rsidRPr="007E5DB8">
        <w:rPr>
          <w:rFonts w:ascii="Book Antiqua" w:hAnsi="Book Antiqua" w:cs="David"/>
        </w:rPr>
        <w:t>The outbreak of the coronavirus and the ramifications of the steps taken to deal with the virus led to an economic crisis, and to higher than usual uncertainty.</w:t>
      </w:r>
      <w:r w:rsidR="00A7057D" w:rsidRPr="007E5DB8">
        <w:rPr>
          <w:rFonts w:ascii="Book Antiqua" w:hAnsi="Book Antiqua" w:cs="David"/>
        </w:rPr>
        <w:t xml:space="preserve"> The Bank of Israel is following the various economic developments</w:t>
      </w:r>
      <w:r w:rsidR="00ED399D" w:rsidRPr="007E5DB8">
        <w:rPr>
          <w:rFonts w:ascii="Book Antiqua" w:hAnsi="Book Antiqua" w:cs="David"/>
        </w:rPr>
        <w:t xml:space="preserve"> on an ongoing basis</w:t>
      </w:r>
      <w:r w:rsidR="00A7057D" w:rsidRPr="007E5DB8">
        <w:rPr>
          <w:rFonts w:ascii="Book Antiqua" w:hAnsi="Book Antiqua" w:cs="David"/>
        </w:rPr>
        <w:t xml:space="preserve">, </w:t>
      </w:r>
      <w:r w:rsidR="00ED399D" w:rsidRPr="007E5DB8">
        <w:rPr>
          <w:rFonts w:ascii="Book Antiqua" w:hAnsi="Book Antiqua" w:cs="David"/>
        </w:rPr>
        <w:t xml:space="preserve">and </w:t>
      </w:r>
      <w:r w:rsidR="00A7057D" w:rsidRPr="007E5DB8">
        <w:rPr>
          <w:rFonts w:ascii="Book Antiqua" w:hAnsi="Book Antiqua" w:cs="David"/>
        </w:rPr>
        <w:t>thus compiled a set of rapid indices in various areas that help with making policy decisions and with fulfilling the Bank’s role as economic advisor to the government.</w:t>
      </w:r>
    </w:p>
    <w:p w:rsidR="00A73573" w:rsidRPr="007E5DB8" w:rsidRDefault="00A73573" w:rsidP="00F04823">
      <w:pPr>
        <w:tabs>
          <w:tab w:val="center" w:pos="4156"/>
          <w:tab w:val="right" w:pos="8312"/>
        </w:tabs>
        <w:bidi w:val="0"/>
        <w:jc w:val="both"/>
        <w:rPr>
          <w:rFonts w:ascii="Book Antiqua" w:hAnsi="Book Antiqua" w:cs="David"/>
        </w:rPr>
      </w:pPr>
    </w:p>
    <w:p w:rsidR="00A73573" w:rsidRPr="007E5DB8" w:rsidRDefault="00A73573" w:rsidP="001C1939">
      <w:pPr>
        <w:tabs>
          <w:tab w:val="center" w:pos="4156"/>
          <w:tab w:val="right" w:pos="8312"/>
        </w:tabs>
        <w:bidi w:val="0"/>
        <w:jc w:val="both"/>
        <w:rPr>
          <w:rFonts w:ascii="Book Antiqua" w:hAnsi="Book Antiqua" w:cs="David"/>
        </w:rPr>
      </w:pPr>
      <w:r w:rsidRPr="007E5DB8">
        <w:rPr>
          <w:rFonts w:ascii="Book Antiqua" w:hAnsi="Book Antiqua" w:cs="David"/>
        </w:rPr>
        <w:t xml:space="preserve">In order to obtain a picture of the state of recent developments in economic activity, we shall present </w:t>
      </w:r>
      <w:r w:rsidR="001C1939" w:rsidRPr="007E5DB8">
        <w:rPr>
          <w:rFonts w:ascii="Book Antiqua" w:hAnsi="Book Antiqua" w:cs="David"/>
        </w:rPr>
        <w:t xml:space="preserve">real-time </w:t>
      </w:r>
      <w:r w:rsidRPr="007E5DB8">
        <w:rPr>
          <w:rFonts w:ascii="Book Antiqua" w:hAnsi="Book Antiqua" w:cs="David"/>
        </w:rPr>
        <w:t xml:space="preserve">indicators, at a daily frequency, of the public’s mobility patterns, broken down to places such as work, retail and </w:t>
      </w:r>
      <w:r w:rsidR="00BD1E3F" w:rsidRPr="007E5DB8">
        <w:rPr>
          <w:rFonts w:ascii="Book Antiqua" w:hAnsi="Book Antiqua" w:cs="David"/>
        </w:rPr>
        <w:t>recreation</w:t>
      </w:r>
      <w:r w:rsidRPr="007E5DB8">
        <w:rPr>
          <w:rFonts w:ascii="Book Antiqua" w:hAnsi="Book Antiqua" w:cs="David"/>
        </w:rPr>
        <w:t xml:space="preserve">, public transportation </w:t>
      </w:r>
      <w:r w:rsidR="009E4355" w:rsidRPr="007E5DB8">
        <w:rPr>
          <w:rFonts w:ascii="Book Antiqua" w:hAnsi="Book Antiqua" w:cs="David"/>
        </w:rPr>
        <w:t xml:space="preserve">hubs, and more, that are published with a </w:t>
      </w:r>
      <w:r w:rsidR="001C1939" w:rsidRPr="007E5DB8">
        <w:rPr>
          <w:rFonts w:ascii="Book Antiqua" w:hAnsi="Book Antiqua" w:cs="David"/>
        </w:rPr>
        <w:t xml:space="preserve">short </w:t>
      </w:r>
      <w:r w:rsidR="009E4355" w:rsidRPr="007E5DB8">
        <w:rPr>
          <w:rFonts w:ascii="Book Antiqua" w:hAnsi="Book Antiqua" w:cs="David"/>
        </w:rPr>
        <w:t>lag of several days.</w:t>
      </w:r>
      <w:r w:rsidR="009C2CC3" w:rsidRPr="007E5DB8">
        <w:rPr>
          <w:rFonts w:ascii="Book Antiqua" w:hAnsi="Book Antiqua" w:cs="David"/>
        </w:rPr>
        <w:t xml:space="preserve"> These indices join a series of </w:t>
      </w:r>
      <w:r w:rsidR="001C1939" w:rsidRPr="007E5DB8">
        <w:rPr>
          <w:rFonts w:ascii="Book Antiqua" w:hAnsi="Book Antiqua" w:cs="David"/>
        </w:rPr>
        <w:t xml:space="preserve">real-time </w:t>
      </w:r>
      <w:r w:rsidR="009C2CC3" w:rsidRPr="007E5DB8">
        <w:rPr>
          <w:rFonts w:ascii="Book Antiqua" w:hAnsi="Book Antiqua" w:cs="David"/>
        </w:rPr>
        <w:t>indicators compiled by the Bank</w:t>
      </w:r>
      <w:r w:rsidRPr="007E5DB8">
        <w:rPr>
          <w:rFonts w:ascii="Book Antiqua" w:hAnsi="Book Antiqua" w:cs="David"/>
        </w:rPr>
        <w:t xml:space="preserve"> </w:t>
      </w:r>
      <w:r w:rsidR="00E14C07" w:rsidRPr="007E5DB8">
        <w:rPr>
          <w:rFonts w:ascii="Book Antiqua" w:hAnsi="Book Antiqua" w:cs="David"/>
        </w:rPr>
        <w:t>of Israel, such as credit card data, that can indicate a change in economic trends</w:t>
      </w:r>
      <w:r w:rsidR="001C1939" w:rsidRPr="007E5DB8">
        <w:rPr>
          <w:rFonts w:ascii="Book Antiqua" w:hAnsi="Book Antiqua" w:cs="David"/>
        </w:rPr>
        <w:t xml:space="preserve"> in real-time</w:t>
      </w:r>
      <w:r w:rsidR="00E14C07" w:rsidRPr="007E5DB8">
        <w:rPr>
          <w:rFonts w:ascii="Book Antiqua" w:hAnsi="Book Antiqua" w:cs="David"/>
        </w:rPr>
        <w:t xml:space="preserve"> and contribute to the compilation of the Bank of Israel Research Department’s macroeconomic forecast for the second quarter of 2020.</w:t>
      </w:r>
      <w:r w:rsidR="00904A5B" w:rsidRPr="007E5DB8">
        <w:rPr>
          <w:rStyle w:val="a6"/>
          <w:rFonts w:ascii="Book Antiqua" w:hAnsi="Book Antiqua" w:cs="David"/>
        </w:rPr>
        <w:footnoteReference w:id="1"/>
      </w:r>
    </w:p>
    <w:p w:rsidR="00BB766D" w:rsidRPr="007E5DB8" w:rsidRDefault="00BB766D" w:rsidP="00F04823">
      <w:pPr>
        <w:tabs>
          <w:tab w:val="center" w:pos="4156"/>
          <w:tab w:val="right" w:pos="8312"/>
        </w:tabs>
        <w:bidi w:val="0"/>
        <w:jc w:val="both"/>
        <w:rPr>
          <w:rFonts w:ascii="Book Antiqua" w:hAnsi="Book Antiqua" w:cs="David"/>
        </w:rPr>
      </w:pPr>
    </w:p>
    <w:p w:rsidR="0055494D" w:rsidRPr="007E5DB8" w:rsidRDefault="00BB766D" w:rsidP="001C1939">
      <w:pPr>
        <w:tabs>
          <w:tab w:val="center" w:pos="4156"/>
          <w:tab w:val="right" w:pos="8312"/>
        </w:tabs>
        <w:bidi w:val="0"/>
        <w:jc w:val="both"/>
        <w:rPr>
          <w:rFonts w:ascii="Book Antiqua" w:hAnsi="Book Antiqua" w:cs="David"/>
        </w:rPr>
      </w:pPr>
      <w:r w:rsidRPr="007E5DB8">
        <w:rPr>
          <w:rFonts w:ascii="Book Antiqua" w:hAnsi="Book Antiqua" w:cs="David"/>
        </w:rPr>
        <w:t>As part of that, several weeks ago, against the background of the spread of the coronavirus pandemic, Google began to publish its “Community Mobility Report”</w:t>
      </w:r>
      <w:r w:rsidR="00F85279" w:rsidRPr="007E5DB8">
        <w:rPr>
          <w:rFonts w:ascii="Book Antiqua" w:hAnsi="Book Antiqua" w:cs="David"/>
        </w:rPr>
        <w:t>,</w:t>
      </w:r>
      <w:r w:rsidRPr="007E5DB8">
        <w:rPr>
          <w:rFonts w:ascii="Book Antiqua" w:hAnsi="Book Antiqua" w:cs="David"/>
        </w:rPr>
        <w:t xml:space="preserve"> based on Google Maps</w:t>
      </w:r>
      <w:r w:rsidR="00F85279" w:rsidRPr="007E5DB8">
        <w:rPr>
          <w:rFonts w:ascii="Book Antiqua" w:hAnsi="Book Antiqua" w:cs="David"/>
        </w:rPr>
        <w:t xml:space="preserve">, </w:t>
      </w:r>
      <w:r w:rsidRPr="007E5DB8">
        <w:rPr>
          <w:rFonts w:ascii="Book Antiqua" w:hAnsi="Book Antiqua" w:cs="David"/>
        </w:rPr>
        <w:t>to measure changes in the public’s mobility</w:t>
      </w:r>
      <w:r w:rsidR="00F85279" w:rsidRPr="007E5DB8">
        <w:rPr>
          <w:rFonts w:ascii="Book Antiqua" w:hAnsi="Book Antiqua" w:cs="David"/>
        </w:rPr>
        <w:t xml:space="preserve"> to 6 </w:t>
      </w:r>
      <w:r w:rsidR="001C1939" w:rsidRPr="007E5DB8">
        <w:rPr>
          <w:rFonts w:ascii="Book Antiqua" w:hAnsi="Book Antiqua" w:cs="David"/>
        </w:rPr>
        <w:t xml:space="preserve">categories </w:t>
      </w:r>
      <w:r w:rsidR="00F85279" w:rsidRPr="007E5DB8">
        <w:rPr>
          <w:rFonts w:ascii="Book Antiqua" w:hAnsi="Book Antiqua" w:cs="David"/>
        </w:rPr>
        <w:t>of places: work</w:t>
      </w:r>
      <w:r w:rsidR="00206F37" w:rsidRPr="007E5DB8">
        <w:rPr>
          <w:rFonts w:ascii="Book Antiqua" w:hAnsi="Book Antiqua" w:cs="David"/>
        </w:rPr>
        <w:t>places</w:t>
      </w:r>
      <w:r w:rsidR="00F85279" w:rsidRPr="007E5DB8">
        <w:rPr>
          <w:rFonts w:ascii="Book Antiqua" w:hAnsi="Book Antiqua" w:cs="David"/>
        </w:rPr>
        <w:t xml:space="preserve">, retail and recreation, </w:t>
      </w:r>
      <w:r w:rsidR="00206F37" w:rsidRPr="007E5DB8">
        <w:rPr>
          <w:rFonts w:ascii="Book Antiqua" w:hAnsi="Book Antiqua" w:cs="David"/>
        </w:rPr>
        <w:t xml:space="preserve">grocery </w:t>
      </w:r>
      <w:r w:rsidR="00F85279" w:rsidRPr="007E5DB8">
        <w:rPr>
          <w:rFonts w:ascii="Book Antiqua" w:hAnsi="Book Antiqua" w:cs="David"/>
        </w:rPr>
        <w:t xml:space="preserve">and </w:t>
      </w:r>
      <w:r w:rsidR="00206F37" w:rsidRPr="007E5DB8">
        <w:rPr>
          <w:rFonts w:ascii="Book Antiqua" w:hAnsi="Book Antiqua" w:cs="David"/>
        </w:rPr>
        <w:t>pharmacy</w:t>
      </w:r>
      <w:r w:rsidR="00F85279" w:rsidRPr="007E5DB8">
        <w:rPr>
          <w:rFonts w:ascii="Book Antiqua" w:hAnsi="Book Antiqua" w:cs="David"/>
        </w:rPr>
        <w:t xml:space="preserve">, public </w:t>
      </w:r>
      <w:r w:rsidR="00206F37" w:rsidRPr="007E5DB8">
        <w:rPr>
          <w:rFonts w:ascii="Book Antiqua" w:hAnsi="Book Antiqua" w:cs="David"/>
        </w:rPr>
        <w:t>transit stations</w:t>
      </w:r>
      <w:r w:rsidR="00F85279" w:rsidRPr="007E5DB8">
        <w:rPr>
          <w:rFonts w:ascii="Book Antiqua" w:hAnsi="Book Antiqua" w:cs="David"/>
        </w:rPr>
        <w:t>, parks, and residential.</w:t>
      </w:r>
      <w:r w:rsidR="004B6285" w:rsidRPr="007E5DB8">
        <w:rPr>
          <w:rStyle w:val="a6"/>
          <w:rFonts w:ascii="Book Antiqua" w:hAnsi="Book Antiqua" w:cs="David"/>
        </w:rPr>
        <w:footnoteReference w:id="2"/>
      </w:r>
      <w:r w:rsidR="00F04823" w:rsidRPr="007E5DB8">
        <w:rPr>
          <w:rFonts w:ascii="Book Antiqua" w:hAnsi="Book Antiqua" w:cs="David"/>
        </w:rPr>
        <w:t xml:space="preserve"> In parallel, Apple began to publish the “Mobility </w:t>
      </w:r>
      <w:r w:rsidR="001C1939" w:rsidRPr="007E5DB8">
        <w:rPr>
          <w:rFonts w:ascii="Book Antiqua" w:hAnsi="Book Antiqua" w:cs="David"/>
        </w:rPr>
        <w:t>Trend Report</w:t>
      </w:r>
      <w:r w:rsidR="00F04823" w:rsidRPr="007E5DB8">
        <w:rPr>
          <w:rFonts w:ascii="Book Antiqua" w:hAnsi="Book Antiqua" w:cs="David"/>
        </w:rPr>
        <w:t xml:space="preserve">” based on Apple’s navigation app and describing changes in the number of </w:t>
      </w:r>
      <w:r w:rsidR="00522017" w:rsidRPr="007E5DB8">
        <w:rPr>
          <w:rFonts w:ascii="Book Antiqua" w:hAnsi="Book Antiqua" w:cs="David"/>
        </w:rPr>
        <w:t>routing</w:t>
      </w:r>
      <w:r w:rsidR="00F04823" w:rsidRPr="007E5DB8">
        <w:rPr>
          <w:rFonts w:ascii="Book Antiqua" w:hAnsi="Book Antiqua" w:cs="David"/>
        </w:rPr>
        <w:t xml:space="preserve"> queries of Apple users divided among 3 </w:t>
      </w:r>
      <w:r w:rsidR="001C1939" w:rsidRPr="007E5DB8">
        <w:rPr>
          <w:rFonts w:ascii="Book Antiqua" w:hAnsi="Book Antiqua" w:cs="David"/>
        </w:rPr>
        <w:t>categories</w:t>
      </w:r>
      <w:r w:rsidR="00F04823" w:rsidRPr="007E5DB8">
        <w:rPr>
          <w:rFonts w:ascii="Book Antiqua" w:hAnsi="Book Antiqua" w:cs="David"/>
        </w:rPr>
        <w:t xml:space="preserve">: </w:t>
      </w:r>
      <w:r w:rsidR="00522017" w:rsidRPr="007E5DB8">
        <w:rPr>
          <w:rFonts w:ascii="Book Antiqua" w:hAnsi="Book Antiqua" w:cs="David"/>
        </w:rPr>
        <w:t>driving</w:t>
      </w:r>
      <w:r w:rsidR="00F04823" w:rsidRPr="007E5DB8">
        <w:rPr>
          <w:rFonts w:ascii="Book Antiqua" w:hAnsi="Book Antiqua" w:cs="David"/>
        </w:rPr>
        <w:t xml:space="preserve">, walking, and </w:t>
      </w:r>
      <w:r w:rsidR="001C1939" w:rsidRPr="007E5DB8">
        <w:rPr>
          <w:rFonts w:ascii="Book Antiqua" w:hAnsi="Book Antiqua" w:cs="David"/>
        </w:rPr>
        <w:t>transit</w:t>
      </w:r>
      <w:r w:rsidR="00F04823" w:rsidRPr="007E5DB8">
        <w:rPr>
          <w:rFonts w:ascii="Book Antiqua" w:hAnsi="Book Antiqua" w:cs="David"/>
        </w:rPr>
        <w:t>.</w:t>
      </w:r>
      <w:r w:rsidR="00A824BE" w:rsidRPr="007E5DB8">
        <w:rPr>
          <w:rStyle w:val="a6"/>
          <w:rFonts w:ascii="Book Antiqua" w:hAnsi="Book Antiqua" w:cs="David"/>
        </w:rPr>
        <w:footnoteReference w:id="3"/>
      </w:r>
      <w:r w:rsidR="00FA6F00" w:rsidRPr="007E5DB8">
        <w:rPr>
          <w:rFonts w:ascii="Book Antiqua" w:hAnsi="Book Antiqua" w:cs="David"/>
        </w:rPr>
        <w:t xml:space="preserve"> Google’s and Apple’s data include data on most countries worldwide, </w:t>
      </w:r>
      <w:r w:rsidR="00C85562" w:rsidRPr="007E5DB8">
        <w:rPr>
          <w:rFonts w:ascii="Book Antiqua" w:hAnsi="Book Antiqua" w:cs="David"/>
        </w:rPr>
        <w:t xml:space="preserve">and for some of the countries, including Israel, they include information at the </w:t>
      </w:r>
      <w:r w:rsidR="00440349" w:rsidRPr="007E5DB8">
        <w:rPr>
          <w:rFonts w:ascii="Book Antiqua" w:hAnsi="Book Antiqua" w:cs="David"/>
        </w:rPr>
        <w:t>district</w:t>
      </w:r>
      <w:r w:rsidR="00C85562" w:rsidRPr="007E5DB8">
        <w:rPr>
          <w:rFonts w:ascii="Book Antiqua" w:hAnsi="Book Antiqua" w:cs="David"/>
        </w:rPr>
        <w:t xml:space="preserve"> and large-city levels.</w:t>
      </w:r>
    </w:p>
    <w:p w:rsidR="0024395B" w:rsidRPr="007E5DB8" w:rsidRDefault="0024395B" w:rsidP="0024395B">
      <w:pPr>
        <w:tabs>
          <w:tab w:val="center" w:pos="4156"/>
          <w:tab w:val="right" w:pos="8312"/>
        </w:tabs>
        <w:bidi w:val="0"/>
        <w:jc w:val="both"/>
        <w:rPr>
          <w:rFonts w:ascii="Book Antiqua" w:hAnsi="Book Antiqua" w:cs="David"/>
        </w:rPr>
      </w:pPr>
    </w:p>
    <w:p w:rsidR="0024395B" w:rsidRPr="007E5DB8" w:rsidRDefault="0024395B" w:rsidP="007E5DB8">
      <w:pPr>
        <w:tabs>
          <w:tab w:val="center" w:pos="4156"/>
          <w:tab w:val="right" w:pos="8312"/>
        </w:tabs>
        <w:bidi w:val="0"/>
        <w:spacing w:after="240"/>
        <w:jc w:val="both"/>
        <w:rPr>
          <w:rFonts w:ascii="Book Antiqua" w:hAnsi="Book Antiqua" w:cs="David"/>
          <w:b/>
          <w:bCs/>
          <w:sz w:val="26"/>
          <w:szCs w:val="26"/>
        </w:rPr>
      </w:pPr>
      <w:r w:rsidRPr="007E5DB8">
        <w:rPr>
          <w:rFonts w:ascii="Book Antiqua" w:hAnsi="Book Antiqua" w:cs="David"/>
          <w:b/>
          <w:bCs/>
          <w:sz w:val="26"/>
          <w:szCs w:val="26"/>
        </w:rPr>
        <w:t>Changes in mobility patterns in Israel</w:t>
      </w:r>
    </w:p>
    <w:p w:rsidR="0024395B" w:rsidRPr="007E5DB8" w:rsidRDefault="0024395B" w:rsidP="005350D8">
      <w:pPr>
        <w:tabs>
          <w:tab w:val="center" w:pos="4156"/>
          <w:tab w:val="right" w:pos="8312"/>
        </w:tabs>
        <w:bidi w:val="0"/>
        <w:jc w:val="both"/>
        <w:rPr>
          <w:rFonts w:ascii="Book Antiqua" w:hAnsi="Book Antiqua" w:cs="David"/>
        </w:rPr>
      </w:pPr>
      <w:r w:rsidRPr="007E5DB8">
        <w:rPr>
          <w:rFonts w:ascii="Book Antiqua" w:hAnsi="Book Antiqua" w:cs="David"/>
        </w:rPr>
        <w:t xml:space="preserve">The breakdown of Google’s mobility data </w:t>
      </w:r>
      <w:r w:rsidR="00B765AC" w:rsidRPr="007E5DB8">
        <w:rPr>
          <w:rFonts w:ascii="Book Antiqua" w:hAnsi="Book Antiqua" w:cs="David"/>
        </w:rPr>
        <w:t xml:space="preserve">into 6 categories of places provides an advantage </w:t>
      </w:r>
      <w:r w:rsidR="00580B61" w:rsidRPr="007E5DB8">
        <w:rPr>
          <w:rFonts w:ascii="Book Antiqua" w:hAnsi="Book Antiqua" w:cs="David"/>
        </w:rPr>
        <w:t>in that it allows the examination in real time of specific indices of economic activity.</w:t>
      </w:r>
      <w:r w:rsidR="00686A89" w:rsidRPr="007E5DB8">
        <w:rPr>
          <w:rStyle w:val="a6"/>
          <w:rFonts w:ascii="Book Antiqua" w:hAnsi="Book Antiqua" w:cs="David"/>
        </w:rPr>
        <w:footnoteReference w:id="4"/>
      </w:r>
      <w:r w:rsidR="00580B61" w:rsidRPr="007E5DB8">
        <w:rPr>
          <w:rFonts w:ascii="Book Antiqua" w:hAnsi="Book Antiqua" w:cs="David"/>
        </w:rPr>
        <w:t xml:space="preserve"> In particular, mobility indices for workplaces</w:t>
      </w:r>
      <w:r w:rsidR="007C7506" w:rsidRPr="007E5DB8">
        <w:rPr>
          <w:rFonts w:ascii="Book Antiqua" w:hAnsi="Book Antiqua" w:cs="David"/>
        </w:rPr>
        <w:t xml:space="preserve"> make it possible to examine the effect of the crisis and of the measures in response on </w:t>
      </w:r>
      <w:r w:rsidR="005350D8" w:rsidRPr="007E5DB8">
        <w:rPr>
          <w:rFonts w:ascii="Book Antiqua" w:hAnsi="Book Antiqua" w:cs="David"/>
        </w:rPr>
        <w:t>the labor market, and in parallel, data on mobility to retail and recreation places makes it possible to partially examine the state of private consumption.</w:t>
      </w:r>
      <w:r w:rsidR="00885DCA" w:rsidRPr="007E5DB8">
        <w:rPr>
          <w:rStyle w:val="a6"/>
          <w:rFonts w:ascii="Book Antiqua" w:hAnsi="Book Antiqua" w:cs="David"/>
        </w:rPr>
        <w:footnoteReference w:id="5"/>
      </w:r>
    </w:p>
    <w:p w:rsidR="00C448CB" w:rsidRPr="007E5DB8" w:rsidRDefault="00C448CB" w:rsidP="00C448CB">
      <w:pPr>
        <w:tabs>
          <w:tab w:val="center" w:pos="4156"/>
          <w:tab w:val="right" w:pos="8312"/>
        </w:tabs>
        <w:bidi w:val="0"/>
        <w:jc w:val="both"/>
        <w:rPr>
          <w:rFonts w:ascii="Book Antiqua" w:hAnsi="Book Antiqua" w:cs="David"/>
        </w:rPr>
      </w:pPr>
    </w:p>
    <w:p w:rsidR="0005229D" w:rsidRPr="007E5DB8" w:rsidRDefault="00C448CB">
      <w:pPr>
        <w:tabs>
          <w:tab w:val="center" w:pos="4156"/>
          <w:tab w:val="right" w:pos="8312"/>
        </w:tabs>
        <w:bidi w:val="0"/>
        <w:jc w:val="both"/>
        <w:rPr>
          <w:rFonts w:ascii="Book Antiqua" w:hAnsi="Book Antiqua" w:cs="David"/>
        </w:rPr>
      </w:pPr>
      <w:r w:rsidRPr="007E5DB8">
        <w:rPr>
          <w:rFonts w:ascii="Book Antiqua" w:hAnsi="Book Antiqua" w:cs="David"/>
        </w:rPr>
        <w:lastRenderedPageBreak/>
        <w:t>Figure 1 presents Google’s mobility indices for Israel, broken down into Google’s 6 categories of places</w:t>
      </w:r>
      <w:r w:rsidR="00B43F7D" w:rsidRPr="007E5DB8">
        <w:rPr>
          <w:rFonts w:ascii="Book Antiqua" w:hAnsi="Book Antiqua" w:cs="David"/>
        </w:rPr>
        <w:t xml:space="preserve">. Each point on the graph represents a 7-day moving average of the change relative to the baseline period, before the closure steps, between January 3 and February 6, 2020. The shaded area of the graph presents the </w:t>
      </w:r>
      <w:r w:rsidR="001C1939" w:rsidRPr="007E5DB8">
        <w:rPr>
          <w:rFonts w:ascii="Book Antiqua" w:hAnsi="Book Antiqua" w:cs="David"/>
        </w:rPr>
        <w:t xml:space="preserve">lockdown </w:t>
      </w:r>
      <w:r w:rsidR="00B43F7D" w:rsidRPr="007E5DB8">
        <w:rPr>
          <w:rFonts w:ascii="Book Antiqua" w:hAnsi="Book Antiqua" w:cs="David"/>
        </w:rPr>
        <w:t>period. As can be seen in the figure, Google’s mobility data well illustrate the public response in Israel to the spread of the coronavirus and the government’s steps that followed it.</w:t>
      </w:r>
      <w:r w:rsidR="004556AC" w:rsidRPr="007E5DB8">
        <w:rPr>
          <w:rFonts w:ascii="Book Antiqua" w:hAnsi="Book Antiqua" w:cs="David"/>
        </w:rPr>
        <w:t xml:space="preserve"> At the low point (around the middle of April), there was a decline of approximately </w:t>
      </w:r>
      <w:r w:rsidR="003A799A" w:rsidRPr="007E5DB8">
        <w:rPr>
          <w:rFonts w:ascii="Book Antiqua" w:hAnsi="Book Antiqua" w:cs="David"/>
        </w:rPr>
        <w:t xml:space="preserve">70 </w:t>
      </w:r>
      <w:r w:rsidR="004556AC" w:rsidRPr="007E5DB8">
        <w:rPr>
          <w:rFonts w:ascii="Book Antiqua" w:hAnsi="Book Antiqua" w:cs="David"/>
        </w:rPr>
        <w:t xml:space="preserve">percent </w:t>
      </w:r>
      <w:r w:rsidR="008B726C" w:rsidRPr="007E5DB8">
        <w:rPr>
          <w:rFonts w:ascii="Book Antiqua" w:hAnsi="Book Antiqua" w:cs="David"/>
        </w:rPr>
        <w:t xml:space="preserve">in mobility to workplaces </w:t>
      </w:r>
      <w:r w:rsidR="00F636AD" w:rsidRPr="007E5DB8">
        <w:rPr>
          <w:rFonts w:ascii="Book Antiqua" w:hAnsi="Book Antiqua" w:cs="David"/>
        </w:rPr>
        <w:t xml:space="preserve">relative to the baseline. There was a sharper decline of </w:t>
      </w:r>
      <w:r w:rsidR="003A799A" w:rsidRPr="007E5DB8">
        <w:rPr>
          <w:rFonts w:ascii="Book Antiqua" w:hAnsi="Book Antiqua" w:cs="David"/>
        </w:rPr>
        <w:t xml:space="preserve">roughly </w:t>
      </w:r>
      <w:r w:rsidR="00F636AD" w:rsidRPr="007E5DB8">
        <w:rPr>
          <w:rFonts w:ascii="Book Antiqua" w:hAnsi="Book Antiqua" w:cs="David"/>
        </w:rPr>
        <w:t>80 percent in mobility to retail and recreation</w:t>
      </w:r>
      <w:r w:rsidR="00754437" w:rsidRPr="007E5DB8">
        <w:rPr>
          <w:rFonts w:ascii="Book Antiqua" w:hAnsi="Book Antiqua" w:cs="David"/>
        </w:rPr>
        <w:t xml:space="preserve"> places such as restaurants, cafes, </w:t>
      </w:r>
      <w:r w:rsidR="001C1939" w:rsidRPr="007E5DB8">
        <w:rPr>
          <w:rFonts w:ascii="Book Antiqua" w:hAnsi="Book Antiqua" w:cs="David"/>
        </w:rPr>
        <w:t>shopping centers</w:t>
      </w:r>
      <w:r w:rsidR="00754437" w:rsidRPr="007E5DB8">
        <w:rPr>
          <w:rFonts w:ascii="Book Antiqua" w:hAnsi="Book Antiqua" w:cs="David"/>
        </w:rPr>
        <w:t>, and movie</w:t>
      </w:r>
      <w:r w:rsidR="00C6264E" w:rsidRPr="007E5DB8">
        <w:rPr>
          <w:rFonts w:ascii="Book Antiqua" w:hAnsi="Book Antiqua" w:cs="David"/>
        </w:rPr>
        <w:t xml:space="preserve"> </w:t>
      </w:r>
      <w:r w:rsidR="001C1939" w:rsidRPr="007E5DB8">
        <w:rPr>
          <w:rFonts w:ascii="Book Antiqua" w:hAnsi="Book Antiqua" w:cs="David"/>
        </w:rPr>
        <w:t>theaters</w:t>
      </w:r>
      <w:r w:rsidR="00754437" w:rsidRPr="007E5DB8">
        <w:rPr>
          <w:rFonts w:ascii="Book Antiqua" w:hAnsi="Book Antiqua" w:cs="David"/>
        </w:rPr>
        <w:t>.</w:t>
      </w:r>
      <w:r w:rsidR="00C6264E" w:rsidRPr="007E5DB8">
        <w:rPr>
          <w:rStyle w:val="a6"/>
          <w:rFonts w:ascii="Book Antiqua" w:hAnsi="Book Antiqua" w:cs="David"/>
        </w:rPr>
        <w:footnoteReference w:id="6"/>
      </w:r>
      <w:r w:rsidR="00FA234E" w:rsidRPr="007E5DB8">
        <w:rPr>
          <w:rFonts w:ascii="Book Antiqua" w:hAnsi="Book Antiqua" w:cs="David"/>
        </w:rPr>
        <w:t xml:space="preserve"> There were also declines in visits to public parks and public transportation </w:t>
      </w:r>
      <w:r w:rsidR="001C1939" w:rsidRPr="007E5DB8">
        <w:rPr>
          <w:rFonts w:ascii="Book Antiqua" w:hAnsi="Book Antiqua" w:cs="David"/>
        </w:rPr>
        <w:t>hubs</w:t>
      </w:r>
      <w:r w:rsidR="00FA234E" w:rsidRPr="007E5DB8">
        <w:rPr>
          <w:rFonts w:ascii="Book Antiqua" w:hAnsi="Book Antiqua" w:cs="David"/>
        </w:rPr>
        <w:t xml:space="preserve">. After the easing of limitations, a recovery can be seen in mobility to workplaces, retail and recreation, </w:t>
      </w:r>
      <w:r w:rsidR="008C0883" w:rsidRPr="007E5DB8">
        <w:rPr>
          <w:rFonts w:ascii="Book Antiqua" w:hAnsi="Book Antiqua" w:cs="David"/>
        </w:rPr>
        <w:t>public transportation, and even to public parks, though their level at the beginning of May remains markedly lower than the base</w:t>
      </w:r>
      <w:r w:rsidR="00572B5C" w:rsidRPr="007E5DB8">
        <w:rPr>
          <w:rFonts w:ascii="Book Antiqua" w:hAnsi="Book Antiqua" w:cs="David"/>
        </w:rPr>
        <w:t>line level.</w:t>
      </w:r>
    </w:p>
    <w:p w:rsidR="00C75FD3" w:rsidRPr="007E5DB8" w:rsidRDefault="00C75FD3" w:rsidP="00C75FD3">
      <w:pPr>
        <w:tabs>
          <w:tab w:val="center" w:pos="4156"/>
          <w:tab w:val="right" w:pos="8312"/>
        </w:tabs>
        <w:bidi w:val="0"/>
        <w:jc w:val="both"/>
        <w:rPr>
          <w:rFonts w:ascii="Book Antiqua" w:hAnsi="Book Antiqua" w:cs="David"/>
        </w:rPr>
      </w:pPr>
    </w:p>
    <w:p w:rsidR="00C75FD3" w:rsidRPr="007E5DB8" w:rsidRDefault="00C75FD3" w:rsidP="002C1BA2">
      <w:pPr>
        <w:tabs>
          <w:tab w:val="center" w:pos="4156"/>
          <w:tab w:val="right" w:pos="8312"/>
        </w:tabs>
        <w:bidi w:val="0"/>
        <w:jc w:val="both"/>
        <w:rPr>
          <w:rFonts w:ascii="Book Antiqua" w:hAnsi="Book Antiqua" w:cs="David"/>
        </w:rPr>
      </w:pPr>
      <w:r w:rsidRPr="007E5DB8">
        <w:rPr>
          <w:rFonts w:ascii="Book Antiqua" w:hAnsi="Book Antiqua" w:cs="David"/>
        </w:rPr>
        <w:t>Apple’s mobility ind</w:t>
      </w:r>
      <w:r w:rsidR="00416841" w:rsidRPr="007E5DB8">
        <w:rPr>
          <w:rFonts w:ascii="Book Antiqua" w:hAnsi="Book Antiqua" w:cs="David"/>
        </w:rPr>
        <w:t>ices (not represented in this paper) indicate a similar decline in routing instruction search volume in the 2 categories available for Israel (walking and driving</w:t>
      </w:r>
      <w:r w:rsidR="006345DB" w:rsidRPr="007E5DB8">
        <w:rPr>
          <w:rStyle w:val="a6"/>
          <w:rFonts w:ascii="Book Antiqua" w:hAnsi="Book Antiqua" w:cs="David"/>
        </w:rPr>
        <w:footnoteReference w:id="7"/>
      </w:r>
      <w:r w:rsidR="00416841" w:rsidRPr="007E5DB8">
        <w:rPr>
          <w:rFonts w:ascii="Book Antiqua" w:hAnsi="Book Antiqua" w:cs="David"/>
        </w:rPr>
        <w:t>) that began even before the closure and reached a low point of approximately 70 percent</w:t>
      </w:r>
      <w:r w:rsidR="00211092" w:rsidRPr="007E5DB8">
        <w:rPr>
          <w:rFonts w:ascii="Book Antiqua" w:hAnsi="Book Antiqua" w:cs="David"/>
        </w:rPr>
        <w:t>, relative to the baseline point defined as the search volume on January 13, 2020.</w:t>
      </w:r>
      <w:r w:rsidR="00564F88" w:rsidRPr="007E5DB8">
        <w:rPr>
          <w:rFonts w:ascii="Book Antiqua" w:hAnsi="Book Antiqua" w:cs="David"/>
        </w:rPr>
        <w:t xml:space="preserve"> At the end of the sample, a recovery can be seen in the quantity of searches which points to the return to routine</w:t>
      </w:r>
      <w:r w:rsidR="00D37891" w:rsidRPr="007E5DB8">
        <w:rPr>
          <w:rFonts w:ascii="Book Antiqua" w:hAnsi="Book Antiqua" w:cs="David"/>
        </w:rPr>
        <w:t xml:space="preserve"> activities</w:t>
      </w:r>
      <w:r w:rsidR="00A85711" w:rsidRPr="007E5DB8">
        <w:rPr>
          <w:rFonts w:ascii="Book Antiqua" w:hAnsi="Book Antiqua" w:cs="David"/>
        </w:rPr>
        <w:t>.</w:t>
      </w:r>
    </w:p>
    <w:p w:rsidR="007832DD" w:rsidRPr="007E5DB8" w:rsidRDefault="007832DD" w:rsidP="007832DD">
      <w:pPr>
        <w:tabs>
          <w:tab w:val="center" w:pos="4156"/>
          <w:tab w:val="right" w:pos="8312"/>
        </w:tabs>
        <w:bidi w:val="0"/>
        <w:jc w:val="both"/>
        <w:rPr>
          <w:rFonts w:ascii="Book Antiqua" w:hAnsi="Book Antiqua" w:cs="David"/>
        </w:rPr>
      </w:pPr>
    </w:p>
    <w:p w:rsidR="007832DD" w:rsidRPr="007E5DB8" w:rsidRDefault="007832DD" w:rsidP="00D37891">
      <w:pPr>
        <w:tabs>
          <w:tab w:val="center" w:pos="4156"/>
          <w:tab w:val="right" w:pos="8312"/>
        </w:tabs>
        <w:bidi w:val="0"/>
        <w:jc w:val="both"/>
        <w:rPr>
          <w:rFonts w:ascii="Book Antiqua" w:hAnsi="Book Antiqua" w:cs="David"/>
        </w:rPr>
      </w:pPr>
      <w:r w:rsidRPr="007E5DB8">
        <w:rPr>
          <w:rFonts w:ascii="Book Antiqua" w:hAnsi="Book Antiqua" w:cs="David"/>
        </w:rPr>
        <w:t>It is interesting to note that the decline in mobility in Israel preceded the imposing of limitations on traffic, and apparently reflected the public’s response to the spread of the pandemic, which took voluntary social distancing steps and this reduced their going out to retail and recreation pl</w:t>
      </w:r>
      <w:r w:rsidR="00C31BB3" w:rsidRPr="007E5DB8">
        <w:rPr>
          <w:rFonts w:ascii="Book Antiqua" w:hAnsi="Book Antiqua" w:cs="David"/>
        </w:rPr>
        <w:t>a</w:t>
      </w:r>
      <w:r w:rsidRPr="007E5DB8">
        <w:rPr>
          <w:rFonts w:ascii="Book Antiqua" w:hAnsi="Book Antiqua" w:cs="David"/>
        </w:rPr>
        <w:t>ces.</w:t>
      </w:r>
      <w:r w:rsidR="00EA3AC3" w:rsidRPr="007E5DB8">
        <w:rPr>
          <w:rStyle w:val="a6"/>
          <w:rFonts w:ascii="Book Antiqua" w:hAnsi="Book Antiqua" w:cs="David"/>
        </w:rPr>
        <w:footnoteReference w:id="8"/>
      </w:r>
      <w:r w:rsidR="00C31BB3" w:rsidRPr="007E5DB8">
        <w:rPr>
          <w:rFonts w:ascii="Book Antiqua" w:hAnsi="Book Antiqua" w:cs="David"/>
        </w:rPr>
        <w:t xml:space="preserve"> </w:t>
      </w:r>
      <w:r w:rsidR="00792595" w:rsidRPr="007E5DB8">
        <w:rPr>
          <w:rFonts w:ascii="Book Antiqua" w:hAnsi="Book Antiqua" w:cs="David"/>
        </w:rPr>
        <w:t xml:space="preserve">However, in contrast, even before the imposition of the </w:t>
      </w:r>
      <w:r w:rsidR="00D37891" w:rsidRPr="007E5DB8">
        <w:rPr>
          <w:rFonts w:ascii="Book Antiqua" w:hAnsi="Book Antiqua" w:cs="David"/>
        </w:rPr>
        <w:t xml:space="preserve">lockdown </w:t>
      </w:r>
      <w:r w:rsidR="00792595" w:rsidRPr="007E5DB8">
        <w:rPr>
          <w:rFonts w:ascii="Book Antiqua" w:hAnsi="Book Antiqua" w:cs="David"/>
        </w:rPr>
        <w:t xml:space="preserve">there was an increase in mobility to residential places, </w:t>
      </w:r>
      <w:r w:rsidR="00F9271D" w:rsidRPr="007E5DB8">
        <w:rPr>
          <w:rFonts w:ascii="Book Antiqua" w:hAnsi="Book Antiqua" w:cs="David"/>
        </w:rPr>
        <w:t xml:space="preserve">as well as to groceries and pharmacies in order to stock up prior to the </w:t>
      </w:r>
      <w:r w:rsidR="00D37891" w:rsidRPr="007E5DB8">
        <w:rPr>
          <w:rFonts w:ascii="Book Antiqua" w:hAnsi="Book Antiqua" w:cs="David"/>
        </w:rPr>
        <w:t>lockdown</w:t>
      </w:r>
      <w:r w:rsidR="00F9271D" w:rsidRPr="007E5DB8">
        <w:rPr>
          <w:rFonts w:ascii="Book Antiqua" w:hAnsi="Book Antiqua" w:cs="David"/>
        </w:rPr>
        <w:t>.</w:t>
      </w:r>
      <w:r w:rsidR="00193F78" w:rsidRPr="007E5DB8">
        <w:rPr>
          <w:rFonts w:ascii="Book Antiqua" w:hAnsi="Book Antiqua" w:cs="David"/>
        </w:rPr>
        <w:t xml:space="preserve"> </w:t>
      </w:r>
      <w:r w:rsidR="00C701C1" w:rsidRPr="007E5DB8">
        <w:rPr>
          <w:rFonts w:ascii="Book Antiqua" w:hAnsi="Book Antiqua" w:cs="David"/>
        </w:rPr>
        <w:t>There was a renewed increase in m</w:t>
      </w:r>
      <w:r w:rsidR="00193F78" w:rsidRPr="007E5DB8">
        <w:rPr>
          <w:rFonts w:ascii="Book Antiqua" w:hAnsi="Book Antiqua" w:cs="David"/>
        </w:rPr>
        <w:t xml:space="preserve">obility to grocery and pharmacy places </w:t>
      </w:r>
      <w:r w:rsidR="00230879" w:rsidRPr="007E5DB8">
        <w:rPr>
          <w:rFonts w:ascii="Book Antiqua" w:hAnsi="Book Antiqua" w:cs="David"/>
        </w:rPr>
        <w:t xml:space="preserve">toward the middle of April  (the Passover holiday) and at the end of the sample </w:t>
      </w:r>
      <w:r w:rsidR="00B33626" w:rsidRPr="007E5DB8">
        <w:rPr>
          <w:rFonts w:ascii="Book Antiqua" w:hAnsi="Book Antiqua" w:cs="David"/>
        </w:rPr>
        <w:t>th</w:t>
      </w:r>
      <w:r w:rsidR="00A66503" w:rsidRPr="007E5DB8">
        <w:rPr>
          <w:rFonts w:ascii="Book Antiqua" w:hAnsi="Book Antiqua" w:cs="David"/>
        </w:rPr>
        <w:t>e level was 25 percent lower than the baseline level.</w:t>
      </w:r>
      <w:r w:rsidR="00D75C0B" w:rsidRPr="007E5DB8">
        <w:rPr>
          <w:rFonts w:ascii="Book Antiqua" w:hAnsi="Book Antiqua" w:cs="David"/>
        </w:rPr>
        <w:t xml:space="preserve"> This </w:t>
      </w:r>
      <w:r w:rsidR="00D37891" w:rsidRPr="007E5DB8">
        <w:rPr>
          <w:rFonts w:ascii="Book Antiqua" w:hAnsi="Book Antiqua" w:cs="David"/>
        </w:rPr>
        <w:t xml:space="preserve">partially </w:t>
      </w:r>
      <w:r w:rsidR="00D75C0B" w:rsidRPr="007E5DB8">
        <w:rPr>
          <w:rFonts w:ascii="Book Antiqua" w:hAnsi="Book Antiqua" w:cs="David"/>
        </w:rPr>
        <w:t xml:space="preserve">reflects changes in the public’s consumption habits—the switch to purchases via deliveries, going out to buy things with </w:t>
      </w:r>
      <w:r w:rsidR="008A20C3" w:rsidRPr="007E5DB8">
        <w:rPr>
          <w:rFonts w:ascii="Book Antiqua" w:hAnsi="Book Antiqua" w:cs="David"/>
        </w:rPr>
        <w:t xml:space="preserve">fewer </w:t>
      </w:r>
      <w:r w:rsidR="00D75C0B" w:rsidRPr="007E5DB8">
        <w:rPr>
          <w:rFonts w:ascii="Book Antiqua" w:hAnsi="Book Antiqua" w:cs="David"/>
        </w:rPr>
        <w:t xml:space="preserve">family </w:t>
      </w:r>
      <w:r w:rsidR="008A20C3" w:rsidRPr="007E5DB8">
        <w:rPr>
          <w:rFonts w:ascii="Book Antiqua" w:hAnsi="Book Antiqua" w:cs="David"/>
        </w:rPr>
        <w:t>members</w:t>
      </w:r>
      <w:r w:rsidR="00D75C0B" w:rsidRPr="007E5DB8">
        <w:rPr>
          <w:rFonts w:ascii="Book Antiqua" w:hAnsi="Book Antiqua" w:cs="David"/>
        </w:rPr>
        <w:t>, help with purchases for at-risk populations</w:t>
      </w:r>
      <w:r w:rsidR="00BC6DD5" w:rsidRPr="007E5DB8">
        <w:rPr>
          <w:rFonts w:ascii="Book Antiqua" w:hAnsi="Book Antiqua" w:cs="David"/>
        </w:rPr>
        <w:t>, etc.</w:t>
      </w:r>
    </w:p>
    <w:p w:rsidR="00431DF6" w:rsidRPr="007E5DB8" w:rsidRDefault="00431DF6" w:rsidP="00431DF6">
      <w:pPr>
        <w:tabs>
          <w:tab w:val="center" w:pos="4156"/>
          <w:tab w:val="right" w:pos="8312"/>
        </w:tabs>
        <w:bidi w:val="0"/>
        <w:jc w:val="both"/>
        <w:rPr>
          <w:rFonts w:ascii="Book Antiqua" w:hAnsi="Book Antiqua" w:cs="David"/>
        </w:rPr>
      </w:pPr>
    </w:p>
    <w:p w:rsidR="00431DF6" w:rsidRPr="007E5DB8" w:rsidRDefault="00431DF6" w:rsidP="007E5DB8">
      <w:pPr>
        <w:tabs>
          <w:tab w:val="center" w:pos="4156"/>
          <w:tab w:val="right" w:pos="8312"/>
        </w:tabs>
        <w:bidi w:val="0"/>
        <w:spacing w:after="240"/>
        <w:jc w:val="both"/>
        <w:rPr>
          <w:rFonts w:ascii="Book Antiqua" w:hAnsi="Book Antiqua" w:cs="David"/>
          <w:b/>
          <w:bCs/>
          <w:sz w:val="26"/>
          <w:szCs w:val="26"/>
        </w:rPr>
      </w:pPr>
      <w:r w:rsidRPr="007E5DB8">
        <w:rPr>
          <w:rFonts w:ascii="Book Antiqua" w:hAnsi="Book Antiqua" w:cs="David"/>
          <w:b/>
          <w:bCs/>
          <w:sz w:val="26"/>
          <w:szCs w:val="26"/>
        </w:rPr>
        <w:t>Israel vis-à-vis the OECD countries</w:t>
      </w:r>
    </w:p>
    <w:p w:rsidR="00431DF6" w:rsidRPr="007E5DB8" w:rsidRDefault="00431DF6" w:rsidP="00987B8B">
      <w:pPr>
        <w:tabs>
          <w:tab w:val="center" w:pos="4156"/>
          <w:tab w:val="right" w:pos="8312"/>
        </w:tabs>
        <w:bidi w:val="0"/>
        <w:jc w:val="both"/>
        <w:rPr>
          <w:rFonts w:ascii="Book Antiqua" w:hAnsi="Book Antiqua" w:cs="David"/>
        </w:rPr>
      </w:pPr>
      <w:r w:rsidRPr="007E5DB8">
        <w:rPr>
          <w:rFonts w:ascii="Book Antiqua" w:hAnsi="Book Antiqua" w:cs="David"/>
        </w:rPr>
        <w:t>The declines seen in the previous part are consistent, as noted, with what would have been expected against the background of the policy measures taken.</w:t>
      </w:r>
      <w:r w:rsidR="00784B4E" w:rsidRPr="007E5DB8">
        <w:rPr>
          <w:rFonts w:ascii="Book Antiqua" w:hAnsi="Book Antiqua" w:cs="David"/>
        </w:rPr>
        <w:t xml:space="preserve"> In addition, the </w:t>
      </w:r>
      <w:r w:rsidR="00784B4E" w:rsidRPr="007E5DB8">
        <w:rPr>
          <w:rFonts w:ascii="Book Antiqua" w:hAnsi="Book Antiqua" w:cs="David"/>
        </w:rPr>
        <w:lastRenderedPageBreak/>
        <w:t xml:space="preserve">indices can be analyzed </w:t>
      </w:r>
      <w:r w:rsidR="00A52575" w:rsidRPr="007E5DB8">
        <w:rPr>
          <w:rFonts w:ascii="Book Antiqua" w:hAnsi="Book Antiqua" w:cs="David"/>
        </w:rPr>
        <w:t>and conclusion may be drawn regarding the relative magnitude of the health crisis and th</w:t>
      </w:r>
      <w:r w:rsidR="00B85121" w:rsidRPr="007E5DB8">
        <w:rPr>
          <w:rFonts w:ascii="Book Antiqua" w:hAnsi="Book Antiqua" w:cs="David"/>
        </w:rPr>
        <w:t>e steps taken in Israel compared with those taken in other countries—is the economy in Israel more negatively impacted than other countries’?</w:t>
      </w:r>
      <w:r w:rsidR="009C3605" w:rsidRPr="007E5DB8">
        <w:rPr>
          <w:rFonts w:ascii="Book Antiqua" w:hAnsi="Book Antiqua" w:cs="David"/>
        </w:rPr>
        <w:t xml:space="preserve"> Is the Israeli public more “disciplined” than the public in other countries?</w:t>
      </w:r>
      <w:r w:rsidR="0062452C" w:rsidRPr="007E5DB8">
        <w:rPr>
          <w:rFonts w:ascii="Book Antiqua" w:hAnsi="Book Antiqua" w:cs="David"/>
        </w:rPr>
        <w:t xml:space="preserve"> Are the government measures taken in Israel stricter or more lenient compared to other countries?</w:t>
      </w:r>
      <w:r w:rsidR="00575873" w:rsidRPr="007E5DB8">
        <w:rPr>
          <w:rFonts w:ascii="Book Antiqua" w:hAnsi="Book Antiqua" w:cs="David"/>
        </w:rPr>
        <w:t xml:space="preserve"> To that end, an international comparison </w:t>
      </w:r>
      <w:r w:rsidR="00987B8B" w:rsidRPr="007E5DB8">
        <w:rPr>
          <w:rFonts w:ascii="Book Antiqua" w:hAnsi="Book Antiqua" w:cs="David"/>
        </w:rPr>
        <w:t xml:space="preserve">of the indices of mobility to workplaces and to retail and recreation places </w:t>
      </w:r>
      <w:r w:rsidR="00E04EBF" w:rsidRPr="007E5DB8">
        <w:rPr>
          <w:rFonts w:ascii="Book Antiqua" w:hAnsi="Book Antiqua" w:cs="David"/>
        </w:rPr>
        <w:t>was conducted.</w:t>
      </w:r>
      <w:r w:rsidR="0074597B" w:rsidRPr="007E5DB8">
        <w:rPr>
          <w:rStyle w:val="a6"/>
          <w:rFonts w:ascii="Book Antiqua" w:hAnsi="Book Antiqua" w:cs="David"/>
        </w:rPr>
        <w:footnoteReference w:id="9"/>
      </w:r>
    </w:p>
    <w:p w:rsidR="00BC6DD5" w:rsidRPr="007E5DB8" w:rsidRDefault="00BC6DD5" w:rsidP="00BC6DD5">
      <w:pPr>
        <w:tabs>
          <w:tab w:val="center" w:pos="4156"/>
          <w:tab w:val="right" w:pos="8312"/>
        </w:tabs>
        <w:bidi w:val="0"/>
        <w:jc w:val="both"/>
        <w:rPr>
          <w:rFonts w:ascii="Book Antiqua" w:hAnsi="Book Antiqua" w:cs="David"/>
        </w:rPr>
      </w:pPr>
    </w:p>
    <w:p w:rsidR="00BC6DD5" w:rsidRPr="007E5DB8" w:rsidRDefault="00D7788F" w:rsidP="006E198F">
      <w:pPr>
        <w:tabs>
          <w:tab w:val="center" w:pos="4156"/>
          <w:tab w:val="right" w:pos="8312"/>
        </w:tabs>
        <w:bidi w:val="0"/>
        <w:jc w:val="both"/>
        <w:rPr>
          <w:rFonts w:ascii="Book Antiqua" w:hAnsi="Book Antiqua" w:cs="David"/>
        </w:rPr>
      </w:pPr>
      <w:r w:rsidRPr="007E5DB8">
        <w:rPr>
          <w:rFonts w:ascii="Book Antiqua" w:hAnsi="Book Antiqua" w:cs="David"/>
        </w:rPr>
        <w:t>Figure 2 presents the mobility index for workplaces and retail and recreation places for Israel compared with the median and the distribution of parallel values in OECD countries</w:t>
      </w:r>
      <w:r w:rsidR="002D0AD7" w:rsidRPr="007E5DB8">
        <w:rPr>
          <w:rStyle w:val="a6"/>
          <w:rFonts w:ascii="Book Antiqua" w:hAnsi="Book Antiqua" w:cs="David"/>
        </w:rPr>
        <w:footnoteReference w:id="10"/>
      </w:r>
      <w:r w:rsidRPr="007E5DB8">
        <w:rPr>
          <w:rFonts w:ascii="Book Antiqua" w:hAnsi="Book Antiqua" w:cs="David"/>
        </w:rPr>
        <w:t>, where the distribution of values is presented via the green shaded areas—the dark</w:t>
      </w:r>
      <w:r w:rsidR="006E198F" w:rsidRPr="007E5DB8">
        <w:rPr>
          <w:rFonts w:ascii="Book Antiqua" w:hAnsi="Book Antiqua" w:cs="David"/>
        </w:rPr>
        <w:t xml:space="preserve">er </w:t>
      </w:r>
      <w:r w:rsidRPr="007E5DB8">
        <w:rPr>
          <w:rFonts w:ascii="Book Antiqua" w:hAnsi="Book Antiqua" w:cs="David"/>
        </w:rPr>
        <w:t>area represents the 10</w:t>
      </w:r>
      <w:r w:rsidRPr="007E5DB8">
        <w:rPr>
          <w:rFonts w:ascii="Book Antiqua" w:hAnsi="Book Antiqua" w:cs="David"/>
          <w:vertAlign w:val="superscript"/>
        </w:rPr>
        <w:t>th</w:t>
      </w:r>
      <w:r w:rsidRPr="007E5DB8">
        <w:rPr>
          <w:rFonts w:ascii="Book Antiqua" w:hAnsi="Book Antiqua" w:cs="David"/>
        </w:rPr>
        <w:t xml:space="preserve"> through 90</w:t>
      </w:r>
      <w:r w:rsidRPr="007E5DB8">
        <w:rPr>
          <w:rFonts w:ascii="Book Antiqua" w:hAnsi="Book Antiqua" w:cs="David"/>
          <w:vertAlign w:val="superscript"/>
        </w:rPr>
        <w:t>th</w:t>
      </w:r>
      <w:r w:rsidRPr="007E5DB8">
        <w:rPr>
          <w:rFonts w:ascii="Book Antiqua" w:hAnsi="Book Antiqua" w:cs="David"/>
        </w:rPr>
        <w:t xml:space="preserve"> percentiles, and the lighter area shows the maximum and minimum values at each time. The figure indicates </w:t>
      </w:r>
      <w:r w:rsidR="007E2908" w:rsidRPr="007E5DB8">
        <w:rPr>
          <w:rFonts w:ascii="Book Antiqua" w:hAnsi="Book Antiqua" w:cs="David"/>
        </w:rPr>
        <w:t>that the decline in mobility in Israel during the crisis, both to workplaces and to retail and recreation places, is high relative to the OECD countries, and is at its lowest point around the 10</w:t>
      </w:r>
      <w:r w:rsidR="007E2908" w:rsidRPr="007E5DB8">
        <w:rPr>
          <w:rFonts w:ascii="Book Antiqua" w:hAnsi="Book Antiqua" w:cs="David"/>
          <w:vertAlign w:val="superscript"/>
        </w:rPr>
        <w:t>th</w:t>
      </w:r>
      <w:r w:rsidR="007E2908" w:rsidRPr="007E5DB8">
        <w:rPr>
          <w:rFonts w:ascii="Book Antiqua" w:hAnsi="Book Antiqua" w:cs="David"/>
        </w:rPr>
        <w:t xml:space="preserve"> percentile of the distribution.</w:t>
      </w:r>
      <w:r w:rsidR="00F20DD4" w:rsidRPr="007E5DB8">
        <w:rPr>
          <w:rFonts w:ascii="Book Antiqua" w:hAnsi="Book Antiqua" w:cs="David"/>
        </w:rPr>
        <w:t xml:space="preserve"> Nonetheless, </w:t>
      </w:r>
      <w:r w:rsidR="00973CA6" w:rsidRPr="007E5DB8">
        <w:rPr>
          <w:rFonts w:ascii="Book Antiqua" w:hAnsi="Book Antiqua" w:cs="David"/>
        </w:rPr>
        <w:t>a recovery can be seen in the mobility indices in the second half of April</w:t>
      </w:r>
      <w:r w:rsidR="00466807" w:rsidRPr="007E5DB8">
        <w:rPr>
          <w:rFonts w:ascii="Book Antiqua" w:hAnsi="Book Antiqua" w:cs="David"/>
        </w:rPr>
        <w:t xml:space="preserve">, particularly </w:t>
      </w:r>
      <w:r w:rsidR="00DE3792" w:rsidRPr="007E5DB8">
        <w:rPr>
          <w:rFonts w:ascii="Book Antiqua" w:hAnsi="Book Antiqua" w:cs="David"/>
        </w:rPr>
        <w:t>in mobility to workplaces, against the background of the easing in the limitations in Israel, which led to a contraction of the gap between Israel and the OECD median.</w:t>
      </w:r>
      <w:r w:rsidR="00162096" w:rsidRPr="007E5DB8">
        <w:rPr>
          <w:rStyle w:val="a6"/>
          <w:rFonts w:ascii="Book Antiqua" w:hAnsi="Book Antiqua" w:cs="David"/>
        </w:rPr>
        <w:footnoteReference w:id="11"/>
      </w:r>
      <w:r w:rsidR="00DE3792" w:rsidRPr="007E5DB8">
        <w:rPr>
          <w:rFonts w:ascii="Book Antiqua" w:hAnsi="Book Antiqua" w:cs="David"/>
        </w:rPr>
        <w:t xml:space="preserve"> This finding may indicate that the economic recovery in Israel is more rapid than in other countries.</w:t>
      </w:r>
    </w:p>
    <w:p w:rsidR="00EC646C" w:rsidRPr="007E5DB8" w:rsidRDefault="00EC646C" w:rsidP="00EC646C">
      <w:pPr>
        <w:tabs>
          <w:tab w:val="center" w:pos="4156"/>
          <w:tab w:val="right" w:pos="8312"/>
        </w:tabs>
        <w:bidi w:val="0"/>
        <w:jc w:val="both"/>
        <w:rPr>
          <w:rFonts w:ascii="Book Antiqua" w:hAnsi="Book Antiqua" w:cs="David"/>
        </w:rPr>
      </w:pPr>
    </w:p>
    <w:p w:rsidR="00EC646C" w:rsidRPr="007E5DB8" w:rsidRDefault="00EC646C" w:rsidP="007E5DB8">
      <w:pPr>
        <w:tabs>
          <w:tab w:val="center" w:pos="4156"/>
          <w:tab w:val="right" w:pos="8312"/>
        </w:tabs>
        <w:bidi w:val="0"/>
        <w:spacing w:after="240"/>
        <w:jc w:val="both"/>
        <w:rPr>
          <w:rFonts w:ascii="Book Antiqua" w:hAnsi="Book Antiqua" w:cs="David"/>
          <w:b/>
          <w:bCs/>
          <w:sz w:val="26"/>
          <w:szCs w:val="26"/>
        </w:rPr>
      </w:pPr>
      <w:r w:rsidRPr="007E5DB8">
        <w:rPr>
          <w:rFonts w:ascii="Book Antiqua" w:hAnsi="Book Antiqua" w:cs="David"/>
          <w:b/>
          <w:bCs/>
          <w:sz w:val="26"/>
          <w:szCs w:val="26"/>
        </w:rPr>
        <w:t>What does the future hold?</w:t>
      </w:r>
    </w:p>
    <w:p w:rsidR="00860447" w:rsidRPr="007E5DB8" w:rsidRDefault="00860447" w:rsidP="00013998">
      <w:pPr>
        <w:tabs>
          <w:tab w:val="center" w:pos="4156"/>
          <w:tab w:val="right" w:pos="8312"/>
        </w:tabs>
        <w:bidi w:val="0"/>
        <w:jc w:val="both"/>
        <w:rPr>
          <w:rFonts w:ascii="Book Antiqua" w:hAnsi="Book Antiqua" w:cs="David"/>
        </w:rPr>
      </w:pPr>
      <w:r w:rsidRPr="007E5DB8">
        <w:rPr>
          <w:rFonts w:ascii="Book Antiqua" w:hAnsi="Book Antiqua" w:cs="David"/>
        </w:rPr>
        <w:t xml:space="preserve">Several countries, including Israel, </w:t>
      </w:r>
      <w:r w:rsidR="00713BDA" w:rsidRPr="007E5DB8">
        <w:rPr>
          <w:rFonts w:ascii="Book Antiqua" w:hAnsi="Book Antiqua" w:cs="David"/>
        </w:rPr>
        <w:t>are currently at the end of the first stage of “flattening the curve”</w:t>
      </w:r>
      <w:r w:rsidR="009D0E5E" w:rsidRPr="007E5DB8">
        <w:rPr>
          <w:rFonts w:ascii="Book Antiqua" w:hAnsi="Book Antiqua" w:cs="David"/>
        </w:rPr>
        <w:t xml:space="preserve"> and switching to the “coronavirus routine” stage, which includes a gradual return to activity under restrictions that are intended to prevent to the extent possible a second wave of the pandemic.</w:t>
      </w:r>
      <w:r w:rsidR="007A3423" w:rsidRPr="007E5DB8">
        <w:rPr>
          <w:rFonts w:ascii="Book Antiqua" w:hAnsi="Book Antiqua" w:cs="David"/>
        </w:rPr>
        <w:t xml:space="preserve"> In order to attempt to assess how the next stage appears from the perspective of economic activity, this section compares Israel with several East Asian countries that are deep into the second stage</w:t>
      </w:r>
      <w:r w:rsidR="00486A72" w:rsidRPr="007E5DB8">
        <w:rPr>
          <w:rFonts w:ascii="Book Antiqua" w:hAnsi="Book Antiqua" w:cs="David"/>
        </w:rPr>
        <w:t xml:space="preserve">, with countries that are at this time beginning to implement an exit strategy, and with Sweden that did not adopt official </w:t>
      </w:r>
      <w:r w:rsidR="00013998" w:rsidRPr="007E5DB8">
        <w:rPr>
          <w:rFonts w:ascii="Book Antiqua" w:hAnsi="Book Antiqua" w:cs="David"/>
        </w:rPr>
        <w:t>social distancing measures</w:t>
      </w:r>
      <w:r w:rsidR="00486A72" w:rsidRPr="007E5DB8">
        <w:rPr>
          <w:rFonts w:ascii="Book Antiqua" w:hAnsi="Book Antiqua" w:cs="David"/>
        </w:rPr>
        <w:t>.</w:t>
      </w:r>
    </w:p>
    <w:p w:rsidR="001D5588" w:rsidRPr="007E5DB8" w:rsidRDefault="001D5588" w:rsidP="001D5588">
      <w:pPr>
        <w:tabs>
          <w:tab w:val="center" w:pos="4156"/>
          <w:tab w:val="right" w:pos="8312"/>
        </w:tabs>
        <w:bidi w:val="0"/>
        <w:jc w:val="both"/>
        <w:rPr>
          <w:rFonts w:ascii="Book Antiqua" w:hAnsi="Book Antiqua" w:cs="David"/>
        </w:rPr>
      </w:pPr>
    </w:p>
    <w:p w:rsidR="001D5588" w:rsidRPr="007E5DB8" w:rsidRDefault="001D5588" w:rsidP="00013998">
      <w:pPr>
        <w:tabs>
          <w:tab w:val="center" w:pos="4156"/>
          <w:tab w:val="right" w:pos="8312"/>
        </w:tabs>
        <w:bidi w:val="0"/>
        <w:jc w:val="both"/>
        <w:rPr>
          <w:rFonts w:ascii="Book Antiqua" w:hAnsi="Book Antiqua" w:cs="David"/>
        </w:rPr>
      </w:pPr>
      <w:r w:rsidRPr="007E5DB8">
        <w:rPr>
          <w:rFonts w:ascii="Book Antiqua" w:hAnsi="Book Antiqua" w:cs="David"/>
        </w:rPr>
        <w:t>Figure 3 presents the indices of mobility to workplaces and retail and recreation areas in several selected countries.</w:t>
      </w:r>
      <w:r w:rsidR="00A95820" w:rsidRPr="007E5DB8">
        <w:rPr>
          <w:rFonts w:ascii="Book Antiqua" w:hAnsi="Book Antiqua" w:cs="David"/>
        </w:rPr>
        <w:t xml:space="preserve"> The color of the line in each of the figures represents the daily change in the number of </w:t>
      </w:r>
      <w:r w:rsidR="00013998" w:rsidRPr="007E5DB8">
        <w:rPr>
          <w:rFonts w:ascii="Book Antiqua" w:hAnsi="Book Antiqua" w:cs="David"/>
        </w:rPr>
        <w:t>confirmed cases</w:t>
      </w:r>
      <w:r w:rsidR="00A95820" w:rsidRPr="007E5DB8">
        <w:rPr>
          <w:rFonts w:ascii="Book Antiqua" w:hAnsi="Book Antiqua" w:cs="David"/>
        </w:rPr>
        <w:t xml:space="preserve"> (7-day moving average). The lighter the color of the line, the larger the number of infected people. One conclusion that arises </w:t>
      </w:r>
      <w:r w:rsidR="00A95820" w:rsidRPr="007E5DB8">
        <w:rPr>
          <w:rFonts w:ascii="Book Antiqua" w:hAnsi="Book Antiqua" w:cs="David"/>
        </w:rPr>
        <w:lastRenderedPageBreak/>
        <w:t xml:space="preserve">from </w:t>
      </w:r>
      <w:r w:rsidR="009A2490" w:rsidRPr="007E5DB8">
        <w:rPr>
          <w:rFonts w:ascii="Book Antiqua" w:hAnsi="Book Antiqua" w:cs="David"/>
        </w:rPr>
        <w:t xml:space="preserve">the figure is that even at the end of the sample, except for South Korea and Taiwan, none of the countries returned to </w:t>
      </w:r>
      <w:r w:rsidR="0086100C" w:rsidRPr="007E5DB8">
        <w:rPr>
          <w:rFonts w:ascii="Book Antiqua" w:hAnsi="Book Antiqua" w:cs="David"/>
        </w:rPr>
        <w:t xml:space="preserve">the </w:t>
      </w:r>
      <w:r w:rsidR="009A2490" w:rsidRPr="007E5DB8">
        <w:rPr>
          <w:rFonts w:ascii="Book Antiqua" w:hAnsi="Book Antiqua" w:cs="David"/>
        </w:rPr>
        <w:t>baseline level of mobility to workplaces. However, it is important to remember that the baseline period for South Korea and Taiwan does not necessarily represent “normal” times because those countries were among the first to adopt social distancing measures and the imposing of limitations.</w:t>
      </w:r>
      <w:r w:rsidR="005C694B" w:rsidRPr="007E5DB8">
        <w:rPr>
          <w:rFonts w:ascii="Book Antiqua" w:hAnsi="Book Antiqua" w:cs="David"/>
        </w:rPr>
        <w:t xml:space="preserve"> In this regard, Singapore is notable as it excelled in dealing with the pandemic, but is currently experiencing a renewed increase in the number of infected people accompanied by a marked decline in mobility.</w:t>
      </w:r>
    </w:p>
    <w:p w:rsidR="00812281" w:rsidRPr="007E5DB8" w:rsidRDefault="00812281" w:rsidP="00812281">
      <w:pPr>
        <w:tabs>
          <w:tab w:val="center" w:pos="4156"/>
          <w:tab w:val="right" w:pos="8312"/>
        </w:tabs>
        <w:bidi w:val="0"/>
        <w:jc w:val="both"/>
        <w:rPr>
          <w:rFonts w:ascii="Book Antiqua" w:hAnsi="Book Antiqua" w:cs="David"/>
        </w:rPr>
      </w:pPr>
    </w:p>
    <w:p w:rsidR="00812281" w:rsidRPr="007E5DB8" w:rsidRDefault="00812281" w:rsidP="002C1BA2">
      <w:pPr>
        <w:tabs>
          <w:tab w:val="center" w:pos="4156"/>
          <w:tab w:val="right" w:pos="8312"/>
        </w:tabs>
        <w:bidi w:val="0"/>
        <w:jc w:val="both"/>
        <w:rPr>
          <w:rFonts w:ascii="Book Antiqua" w:hAnsi="Book Antiqua" w:cs="David"/>
        </w:rPr>
      </w:pPr>
      <w:r w:rsidRPr="007E5DB8">
        <w:rPr>
          <w:rFonts w:ascii="Book Antiqua" w:hAnsi="Book Antiqua" w:cs="David"/>
        </w:rPr>
        <w:t xml:space="preserve">A similar, and even stronger, phenomenon is occurring in mobility to retail and recreation places—all the countries in the sample, including South Korea and Taiwan, are below the baseline level, though there is </w:t>
      </w:r>
      <w:r w:rsidR="00013998" w:rsidRPr="007E5DB8">
        <w:rPr>
          <w:rFonts w:ascii="Book Antiqua" w:hAnsi="Book Antiqua" w:cs="David"/>
        </w:rPr>
        <w:t xml:space="preserve">heterogeneity </w:t>
      </w:r>
      <w:r w:rsidRPr="007E5DB8">
        <w:rPr>
          <w:rFonts w:ascii="Book Antiqua" w:hAnsi="Book Antiqua" w:cs="David"/>
        </w:rPr>
        <w:t xml:space="preserve">in the size of the gap. In Taiwan, the gap is relatively small, </w:t>
      </w:r>
      <w:r w:rsidR="00F9654B" w:rsidRPr="007E5DB8">
        <w:rPr>
          <w:rFonts w:ascii="Book Antiqua" w:hAnsi="Book Antiqua" w:cs="David"/>
        </w:rPr>
        <w:t>although a rising trend can be seen in it (that is, the negative gap relative to the baseline level increased).</w:t>
      </w:r>
      <w:r w:rsidR="00714B54" w:rsidRPr="007E5DB8">
        <w:rPr>
          <w:rFonts w:ascii="Book Antiqua" w:hAnsi="Book Antiqua" w:cs="David"/>
        </w:rPr>
        <w:t xml:space="preserve"> In South Korea, the gap in mobility to retail and recreation places has not yet closed (lower than the baseline by about 10 percent), and even gets smaller over the course of the sample.</w:t>
      </w:r>
    </w:p>
    <w:p w:rsidR="00CA6FCC" w:rsidRPr="007E5DB8" w:rsidRDefault="00CA6FCC" w:rsidP="00CA6FCC">
      <w:pPr>
        <w:tabs>
          <w:tab w:val="center" w:pos="4156"/>
          <w:tab w:val="right" w:pos="8312"/>
        </w:tabs>
        <w:bidi w:val="0"/>
        <w:jc w:val="both"/>
        <w:rPr>
          <w:rFonts w:ascii="Book Antiqua" w:hAnsi="Book Antiqua" w:cs="David"/>
        </w:rPr>
      </w:pPr>
    </w:p>
    <w:p w:rsidR="00267F9A" w:rsidRPr="007E5DB8" w:rsidRDefault="00CA6FCC" w:rsidP="002C1BA2">
      <w:pPr>
        <w:tabs>
          <w:tab w:val="center" w:pos="4156"/>
          <w:tab w:val="right" w:pos="8312"/>
        </w:tabs>
        <w:bidi w:val="0"/>
        <w:jc w:val="both"/>
        <w:rPr>
          <w:rFonts w:ascii="Book Antiqua" w:hAnsi="Book Antiqua" w:cs="David"/>
        </w:rPr>
      </w:pPr>
      <w:r w:rsidRPr="007E5DB8">
        <w:rPr>
          <w:rFonts w:ascii="Book Antiqua" w:hAnsi="Book Antiqua" w:cs="David"/>
        </w:rPr>
        <w:t xml:space="preserve">The figure indicates that Israel is similar in its mobility characteristics to the </w:t>
      </w:r>
      <w:r w:rsidR="002C1BA2" w:rsidRPr="007E5DB8">
        <w:rPr>
          <w:rFonts w:ascii="Book Antiqua" w:hAnsi="Book Antiqua" w:cs="David"/>
        </w:rPr>
        <w:t xml:space="preserve">advanced economies </w:t>
      </w:r>
      <w:r w:rsidRPr="007E5DB8">
        <w:rPr>
          <w:rFonts w:ascii="Book Antiqua" w:hAnsi="Book Antiqua" w:cs="David"/>
        </w:rPr>
        <w:t xml:space="preserve">that adopted </w:t>
      </w:r>
      <w:r w:rsidR="00013998" w:rsidRPr="007E5DB8">
        <w:rPr>
          <w:rFonts w:ascii="Book Antiqua" w:hAnsi="Book Antiqua" w:cs="David"/>
        </w:rPr>
        <w:t xml:space="preserve">lockdown </w:t>
      </w:r>
      <w:r w:rsidRPr="007E5DB8">
        <w:rPr>
          <w:rFonts w:ascii="Book Antiqua" w:hAnsi="Book Antiqua" w:cs="David"/>
        </w:rPr>
        <w:t>and social distancing steps, such as Italy, Germany, Austria, the UK, and the US, which as such suffered a marked adverse impact to the econ</w:t>
      </w:r>
      <w:r w:rsidR="00525726" w:rsidRPr="007E5DB8">
        <w:rPr>
          <w:rFonts w:ascii="Book Antiqua" w:hAnsi="Book Antiqua" w:cs="David"/>
        </w:rPr>
        <w:t>o</w:t>
      </w:r>
      <w:r w:rsidRPr="007E5DB8">
        <w:rPr>
          <w:rFonts w:ascii="Book Antiqua" w:hAnsi="Book Antiqua" w:cs="David"/>
        </w:rPr>
        <w:t>my</w:t>
      </w:r>
      <w:r w:rsidR="003E2F48" w:rsidRPr="007E5DB8">
        <w:rPr>
          <w:rFonts w:ascii="Book Antiqua" w:hAnsi="Book Antiqua" w:cs="David"/>
        </w:rPr>
        <w:t>. It is interesting to note in this regard that in Sweden there is a decline of about 20 percent in mobility to workplaces and to retail and recreation places, even though it did not adopt a strict closure policy like most other countries did.</w:t>
      </w:r>
      <w:r w:rsidR="00A01951" w:rsidRPr="007E5DB8">
        <w:rPr>
          <w:rFonts w:ascii="Book Antiqua" w:hAnsi="Book Antiqua" w:cs="David"/>
        </w:rPr>
        <w:t xml:space="preserve"> This is essentially evidence of the voluntary social distancing by the Swedish public </w:t>
      </w:r>
      <w:r w:rsidR="00237D98" w:rsidRPr="007E5DB8">
        <w:rPr>
          <w:rFonts w:ascii="Book Antiqua" w:hAnsi="Book Antiqua" w:cs="David"/>
        </w:rPr>
        <w:t>due to the concern over the pandemic that markedly negatively impacted the economy, even without</w:t>
      </w:r>
      <w:r w:rsidR="00901C13" w:rsidRPr="007E5DB8">
        <w:rPr>
          <w:rFonts w:ascii="Book Antiqua" w:hAnsi="Book Antiqua" w:cs="David"/>
        </w:rPr>
        <w:t xml:space="preserve"> the imposition of formal limitations.</w:t>
      </w:r>
    </w:p>
    <w:p w:rsidR="00267F9A" w:rsidRPr="007E5DB8" w:rsidRDefault="00267F9A" w:rsidP="00267F9A">
      <w:pPr>
        <w:tabs>
          <w:tab w:val="center" w:pos="4156"/>
          <w:tab w:val="right" w:pos="8312"/>
        </w:tabs>
        <w:bidi w:val="0"/>
        <w:jc w:val="both"/>
        <w:rPr>
          <w:rFonts w:ascii="Book Antiqua" w:hAnsi="Book Antiqua" w:cs="David"/>
        </w:rPr>
      </w:pPr>
    </w:p>
    <w:p w:rsidR="00267F9A" w:rsidRPr="007E5DB8" w:rsidRDefault="00267F9A" w:rsidP="00267F9A">
      <w:pPr>
        <w:tabs>
          <w:tab w:val="center" w:pos="4156"/>
          <w:tab w:val="right" w:pos="8312"/>
        </w:tabs>
        <w:bidi w:val="0"/>
        <w:jc w:val="both"/>
        <w:rPr>
          <w:rFonts w:ascii="Book Antiqua" w:hAnsi="Book Antiqua" w:cs="David"/>
        </w:rPr>
      </w:pPr>
    </w:p>
    <w:p w:rsidR="007E5DB8" w:rsidRDefault="007E5DB8">
      <w:pPr>
        <w:bidi w:val="0"/>
        <w:spacing w:after="200" w:line="276" w:lineRule="auto"/>
        <w:rPr>
          <w:rFonts w:ascii="Book Antiqua" w:hAnsi="Book Antiqua" w:cs="David"/>
          <w:b/>
          <w:bCs/>
        </w:rPr>
      </w:pPr>
      <w:r>
        <w:rPr>
          <w:rFonts w:ascii="Book Antiqua" w:hAnsi="Book Antiqua" w:cs="David"/>
          <w:b/>
          <w:bCs/>
        </w:rPr>
        <w:br w:type="page"/>
      </w:r>
    </w:p>
    <w:p w:rsidR="00267F9A" w:rsidRPr="007E5DB8" w:rsidRDefault="00267F9A" w:rsidP="00267F9A">
      <w:pPr>
        <w:tabs>
          <w:tab w:val="center" w:pos="4156"/>
          <w:tab w:val="right" w:pos="8312"/>
        </w:tabs>
        <w:bidi w:val="0"/>
        <w:jc w:val="both"/>
        <w:rPr>
          <w:rFonts w:ascii="Book Antiqua" w:hAnsi="Book Antiqua" w:cs="David"/>
          <w:b/>
          <w:bCs/>
        </w:rPr>
      </w:pPr>
      <w:r w:rsidRPr="007E5DB8">
        <w:rPr>
          <w:rFonts w:ascii="Book Antiqua" w:hAnsi="Book Antiqua" w:cs="David"/>
          <w:b/>
          <w:bCs/>
        </w:rPr>
        <w:lastRenderedPageBreak/>
        <w:t>Figure 1</w:t>
      </w:r>
    </w:p>
    <w:p w:rsidR="00267F9A" w:rsidRPr="007E5DB8" w:rsidRDefault="00267F9A" w:rsidP="00267F9A">
      <w:pPr>
        <w:tabs>
          <w:tab w:val="center" w:pos="4156"/>
          <w:tab w:val="right" w:pos="8312"/>
        </w:tabs>
        <w:bidi w:val="0"/>
        <w:jc w:val="both"/>
        <w:rPr>
          <w:rFonts w:ascii="Book Antiqua" w:hAnsi="Book Antiqua" w:cs="David"/>
        </w:rPr>
      </w:pPr>
      <w:r w:rsidRPr="007E5DB8">
        <w:rPr>
          <w:rFonts w:ascii="Book Antiqua" w:hAnsi="Book Antiqua" w:cs="David"/>
          <w:b/>
          <w:bCs/>
        </w:rPr>
        <w:t>Google mobility indices for Israel</w:t>
      </w:r>
    </w:p>
    <w:p w:rsidR="00267F9A" w:rsidRPr="007E5DB8" w:rsidRDefault="00267F9A" w:rsidP="00267F9A">
      <w:pPr>
        <w:tabs>
          <w:tab w:val="center" w:pos="4156"/>
          <w:tab w:val="right" w:pos="8312"/>
        </w:tabs>
        <w:bidi w:val="0"/>
        <w:jc w:val="both"/>
        <w:rPr>
          <w:rFonts w:ascii="Book Antiqua" w:hAnsi="Book Antiqua" w:cs="David"/>
        </w:rPr>
      </w:pPr>
    </w:p>
    <w:p w:rsidR="0005229D" w:rsidRPr="007E5DB8" w:rsidRDefault="00D129F8">
      <w:pPr>
        <w:tabs>
          <w:tab w:val="center" w:pos="4156"/>
          <w:tab w:val="right" w:pos="8312"/>
        </w:tabs>
        <w:bidi w:val="0"/>
        <w:jc w:val="center"/>
        <w:rPr>
          <w:rFonts w:ascii="Book Antiqua" w:hAnsi="Book Antiqua" w:cs="David"/>
        </w:rPr>
      </w:pPr>
      <w:r w:rsidRPr="007E5DB8">
        <w:rPr>
          <w:rFonts w:ascii="Book Antiqua" w:hAnsi="Book Antiqua"/>
          <w:noProof/>
        </w:rPr>
        <w:drawing>
          <wp:inline distT="0" distB="0" distL="0" distR="0">
            <wp:extent cx="5928702" cy="258958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6646" t="19562" r="2882" b="16345"/>
                    <a:stretch/>
                  </pic:blipFill>
                  <pic:spPr bwMode="auto">
                    <a:xfrm>
                      <a:off x="0" y="0"/>
                      <a:ext cx="5939064" cy="2594106"/>
                    </a:xfrm>
                    <a:prstGeom prst="rect">
                      <a:avLst/>
                    </a:prstGeom>
                    <a:ln>
                      <a:noFill/>
                    </a:ln>
                    <a:extLst>
                      <a:ext uri="{53640926-AAD7-44D8-BBD7-CCE9431645EC}">
                        <a14:shadowObscured xmlns:a14="http://schemas.microsoft.com/office/drawing/2010/main"/>
                      </a:ext>
                    </a:extLst>
                  </pic:spPr>
                </pic:pic>
              </a:graphicData>
            </a:graphic>
          </wp:inline>
        </w:drawing>
      </w:r>
    </w:p>
    <w:p w:rsidR="00267F9A" w:rsidRPr="007E5DB8" w:rsidRDefault="00EB238B" w:rsidP="000F1A7F">
      <w:pPr>
        <w:tabs>
          <w:tab w:val="center" w:pos="4156"/>
          <w:tab w:val="right" w:pos="8312"/>
        </w:tabs>
        <w:bidi w:val="0"/>
        <w:jc w:val="both"/>
        <w:rPr>
          <w:rFonts w:ascii="Book Antiqua" w:hAnsi="Book Antiqua" w:cs="David"/>
          <w:sz w:val="20"/>
          <w:szCs w:val="20"/>
        </w:rPr>
      </w:pPr>
      <w:r w:rsidRPr="007E5DB8">
        <w:rPr>
          <w:rFonts w:ascii="Book Antiqua" w:hAnsi="Book Antiqua" w:cs="David"/>
          <w:sz w:val="20"/>
          <w:szCs w:val="20"/>
        </w:rPr>
        <w:t xml:space="preserve">Notes: This figure depicts the ratio between mobility to various places in Israel at all points in time and the mobility level during the baseline period (7-day moving average). The shaded area represents the </w:t>
      </w:r>
      <w:r w:rsidR="000F1A7F" w:rsidRPr="007E5DB8">
        <w:rPr>
          <w:rFonts w:ascii="Book Antiqua" w:hAnsi="Book Antiqua" w:cs="David"/>
          <w:sz w:val="20"/>
          <w:szCs w:val="20"/>
        </w:rPr>
        <w:t>lockdown</w:t>
      </w:r>
      <w:r w:rsidRPr="007E5DB8">
        <w:rPr>
          <w:rFonts w:ascii="Book Antiqua" w:hAnsi="Book Antiqua" w:cs="David"/>
          <w:sz w:val="20"/>
          <w:szCs w:val="20"/>
        </w:rPr>
        <w:t xml:space="preserve"> period. The level during the </w:t>
      </w:r>
      <w:r w:rsidR="00EE0F47" w:rsidRPr="007E5DB8">
        <w:rPr>
          <w:rFonts w:ascii="Book Antiqua" w:hAnsi="Book Antiqua" w:cs="David"/>
          <w:sz w:val="20"/>
          <w:szCs w:val="20"/>
        </w:rPr>
        <w:t>baseline period was established based on the median value of the volume of visits for each day of the week during the period January 3–February 6, 2020.</w:t>
      </w:r>
    </w:p>
    <w:p w:rsidR="009D6E85" w:rsidRPr="007E5DB8" w:rsidRDefault="009D6E85" w:rsidP="009D6E85">
      <w:pPr>
        <w:tabs>
          <w:tab w:val="center" w:pos="4156"/>
          <w:tab w:val="right" w:pos="8312"/>
        </w:tabs>
        <w:bidi w:val="0"/>
        <w:jc w:val="both"/>
        <w:rPr>
          <w:rFonts w:ascii="Book Antiqua" w:hAnsi="Book Antiqua" w:cs="David"/>
          <w:sz w:val="20"/>
          <w:szCs w:val="20"/>
        </w:rPr>
      </w:pPr>
    </w:p>
    <w:p w:rsidR="00665E8D" w:rsidRPr="007E5DB8" w:rsidRDefault="009D6E85" w:rsidP="00E632E6">
      <w:pPr>
        <w:tabs>
          <w:tab w:val="center" w:pos="4156"/>
          <w:tab w:val="right" w:pos="8312"/>
        </w:tabs>
        <w:bidi w:val="0"/>
        <w:jc w:val="both"/>
        <w:rPr>
          <w:rFonts w:ascii="Book Antiqua" w:hAnsi="Book Antiqua" w:cs="David"/>
          <w:sz w:val="20"/>
          <w:szCs w:val="20"/>
        </w:rPr>
      </w:pPr>
      <w:r w:rsidRPr="007E5DB8">
        <w:rPr>
          <w:rFonts w:ascii="Book Antiqua" w:hAnsi="Book Antiqua" w:cs="David"/>
          <w:sz w:val="20"/>
          <w:szCs w:val="20"/>
        </w:rPr>
        <w:t>SOURCE: Based on Google Community Mobility Report.</w:t>
      </w:r>
    </w:p>
    <w:p w:rsidR="00E632E6" w:rsidRPr="007E5DB8" w:rsidRDefault="00E632E6" w:rsidP="00E632E6">
      <w:pPr>
        <w:tabs>
          <w:tab w:val="center" w:pos="4156"/>
          <w:tab w:val="right" w:pos="8312"/>
        </w:tabs>
        <w:bidi w:val="0"/>
        <w:jc w:val="both"/>
        <w:rPr>
          <w:rFonts w:ascii="Book Antiqua" w:hAnsi="Book Antiqua" w:cs="David"/>
          <w:sz w:val="20"/>
          <w:szCs w:val="20"/>
        </w:rPr>
      </w:pPr>
    </w:p>
    <w:p w:rsidR="00E632E6" w:rsidRPr="007E5DB8" w:rsidRDefault="00E632E6" w:rsidP="00E632E6">
      <w:pPr>
        <w:tabs>
          <w:tab w:val="center" w:pos="4156"/>
          <w:tab w:val="right" w:pos="8312"/>
        </w:tabs>
        <w:bidi w:val="0"/>
        <w:jc w:val="both"/>
        <w:rPr>
          <w:rFonts w:ascii="Book Antiqua" w:hAnsi="Book Antiqua" w:cs="David"/>
        </w:rPr>
      </w:pPr>
    </w:p>
    <w:p w:rsidR="00E632E6" w:rsidRPr="007E5DB8" w:rsidRDefault="00E632E6" w:rsidP="00E632E6">
      <w:pPr>
        <w:tabs>
          <w:tab w:val="center" w:pos="4156"/>
          <w:tab w:val="right" w:pos="8312"/>
        </w:tabs>
        <w:bidi w:val="0"/>
        <w:jc w:val="both"/>
        <w:rPr>
          <w:rFonts w:ascii="Book Antiqua" w:hAnsi="Book Antiqua" w:cs="David"/>
        </w:rPr>
      </w:pPr>
    </w:p>
    <w:p w:rsidR="00B43FA7" w:rsidRPr="007E5DB8" w:rsidRDefault="00B43FA7">
      <w:pPr>
        <w:bidi w:val="0"/>
        <w:spacing w:after="200" w:line="276" w:lineRule="auto"/>
        <w:rPr>
          <w:rFonts w:ascii="Book Antiqua" w:hAnsi="Book Antiqua" w:cs="David"/>
          <w:b/>
          <w:bCs/>
        </w:rPr>
      </w:pPr>
      <w:r w:rsidRPr="007E5DB8">
        <w:rPr>
          <w:rFonts w:ascii="Book Antiqua" w:hAnsi="Book Antiqua" w:cs="David"/>
          <w:b/>
          <w:bCs/>
        </w:rPr>
        <w:br w:type="page"/>
      </w:r>
    </w:p>
    <w:p w:rsidR="00E632E6" w:rsidRPr="007E5DB8" w:rsidRDefault="00E632E6" w:rsidP="00E632E6">
      <w:pPr>
        <w:tabs>
          <w:tab w:val="center" w:pos="4156"/>
          <w:tab w:val="right" w:pos="8312"/>
        </w:tabs>
        <w:bidi w:val="0"/>
        <w:jc w:val="both"/>
        <w:rPr>
          <w:rFonts w:ascii="Book Antiqua" w:hAnsi="Book Antiqua" w:cs="David"/>
          <w:b/>
          <w:bCs/>
        </w:rPr>
      </w:pPr>
      <w:r w:rsidRPr="007E5DB8">
        <w:rPr>
          <w:rFonts w:ascii="Book Antiqua" w:hAnsi="Book Antiqua" w:cs="David"/>
          <w:b/>
          <w:bCs/>
        </w:rPr>
        <w:lastRenderedPageBreak/>
        <w:t>Figure 2</w:t>
      </w:r>
    </w:p>
    <w:p w:rsidR="00E632E6" w:rsidRPr="007E5DB8" w:rsidRDefault="00E632E6" w:rsidP="00E632E6">
      <w:pPr>
        <w:tabs>
          <w:tab w:val="center" w:pos="4156"/>
          <w:tab w:val="right" w:pos="8312"/>
        </w:tabs>
        <w:bidi w:val="0"/>
        <w:jc w:val="both"/>
        <w:rPr>
          <w:rFonts w:ascii="Book Antiqua" w:hAnsi="Book Antiqua" w:cs="David"/>
          <w:b/>
          <w:bCs/>
        </w:rPr>
      </w:pPr>
      <w:r w:rsidRPr="007E5DB8">
        <w:rPr>
          <w:rFonts w:ascii="Book Antiqua" w:hAnsi="Book Antiqua" w:cs="David"/>
          <w:b/>
          <w:bCs/>
        </w:rPr>
        <w:t>Google mobility indices, Israel vs. OECD</w:t>
      </w:r>
    </w:p>
    <w:p w:rsidR="00E632E6" w:rsidRPr="007E5DB8" w:rsidRDefault="00E632E6" w:rsidP="00E632E6">
      <w:pPr>
        <w:tabs>
          <w:tab w:val="center" w:pos="4156"/>
          <w:tab w:val="right" w:pos="8312"/>
        </w:tabs>
        <w:bidi w:val="0"/>
        <w:jc w:val="both"/>
        <w:rPr>
          <w:rFonts w:ascii="Book Antiqua" w:hAnsi="Book Antiqua" w:cs="David"/>
          <w:b/>
          <w:bCs/>
        </w:rPr>
      </w:pPr>
    </w:p>
    <w:tbl>
      <w:tblPr>
        <w:tblStyle w:val="a9"/>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43FA7" w:rsidRPr="007E5DB8" w:rsidTr="00013998">
        <w:trPr>
          <w:jc w:val="center"/>
        </w:trPr>
        <w:tc>
          <w:tcPr>
            <w:tcW w:w="8296" w:type="dxa"/>
            <w:vAlign w:val="center"/>
          </w:tcPr>
          <w:p w:rsidR="0005229D" w:rsidRPr="007E5DB8" w:rsidRDefault="00674C45">
            <w:pPr>
              <w:bidi w:val="0"/>
              <w:spacing w:line="360" w:lineRule="auto"/>
              <w:jc w:val="center"/>
              <w:rPr>
                <w:rFonts w:ascii="Book Antiqua" w:hAnsi="Book Antiqua" w:cs="David"/>
              </w:rPr>
            </w:pPr>
            <w:r w:rsidRPr="007E5DB8">
              <w:rPr>
                <w:rFonts w:ascii="Book Antiqua" w:hAnsi="Book Antiqua" w:cs="David"/>
                <w:b/>
                <w:bCs/>
              </w:rPr>
              <w:t>A.</w:t>
            </w:r>
            <w:r w:rsidRPr="007E5DB8">
              <w:rPr>
                <w:rFonts w:ascii="Book Antiqua" w:hAnsi="Book Antiqua" w:cs="David"/>
              </w:rPr>
              <w:t xml:space="preserve"> Workplace</w:t>
            </w:r>
          </w:p>
          <w:p w:rsidR="0005229D" w:rsidRPr="007E5DB8" w:rsidRDefault="00D129F8">
            <w:pPr>
              <w:bidi w:val="0"/>
              <w:spacing w:line="360" w:lineRule="auto"/>
              <w:jc w:val="center"/>
              <w:rPr>
                <w:rFonts w:ascii="Book Antiqua" w:hAnsi="Book Antiqua" w:cs="David"/>
              </w:rPr>
            </w:pPr>
            <w:r w:rsidRPr="007E5DB8">
              <w:rPr>
                <w:rFonts w:ascii="Book Antiqua" w:hAnsi="Book Antiqua" w:cs="David"/>
                <w:noProof/>
              </w:rPr>
              <w:drawing>
                <wp:inline distT="0" distB="0" distL="0" distR="0">
                  <wp:extent cx="5033802" cy="24480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033802" cy="2448000"/>
                          </a:xfrm>
                          <a:prstGeom prst="rect">
                            <a:avLst/>
                          </a:prstGeom>
                        </pic:spPr>
                      </pic:pic>
                    </a:graphicData>
                  </a:graphic>
                </wp:inline>
              </w:drawing>
            </w:r>
          </w:p>
        </w:tc>
      </w:tr>
      <w:tr w:rsidR="00B43FA7" w:rsidRPr="007E5DB8" w:rsidTr="00013998">
        <w:trPr>
          <w:jc w:val="center"/>
        </w:trPr>
        <w:tc>
          <w:tcPr>
            <w:tcW w:w="8296" w:type="dxa"/>
            <w:vAlign w:val="center"/>
          </w:tcPr>
          <w:p w:rsidR="00013998" w:rsidRPr="007E5DB8" w:rsidRDefault="00013998" w:rsidP="00E228CC">
            <w:pPr>
              <w:spacing w:line="360" w:lineRule="auto"/>
              <w:jc w:val="center"/>
              <w:rPr>
                <w:rFonts w:ascii="Book Antiqua" w:hAnsi="Book Antiqua" w:cs="David"/>
                <w:noProof/>
              </w:rPr>
            </w:pPr>
            <w:r w:rsidRPr="007E5DB8">
              <w:rPr>
                <w:rFonts w:ascii="Book Antiqua" w:hAnsi="Book Antiqua" w:cs="David"/>
                <w:b/>
                <w:bCs/>
                <w:noProof/>
              </w:rPr>
              <w:t xml:space="preserve">B. </w:t>
            </w:r>
            <w:r w:rsidRPr="007E5DB8">
              <w:rPr>
                <w:rFonts w:ascii="Book Antiqua" w:hAnsi="Book Antiqua" w:cs="David"/>
                <w:noProof/>
              </w:rPr>
              <w:t>Retail and Recreation</w:t>
            </w:r>
          </w:p>
          <w:p w:rsidR="00013998" w:rsidRPr="007E5DB8" w:rsidRDefault="00D129F8" w:rsidP="00E228CC">
            <w:pPr>
              <w:spacing w:line="360" w:lineRule="auto"/>
              <w:jc w:val="center"/>
              <w:rPr>
                <w:rFonts w:ascii="Book Antiqua" w:hAnsi="Book Antiqua" w:cs="David"/>
                <w:noProof/>
                <w:rtl/>
              </w:rPr>
            </w:pPr>
            <w:r w:rsidRPr="007E5DB8">
              <w:rPr>
                <w:rFonts w:ascii="Book Antiqua" w:hAnsi="Book Antiqua" w:cs="David"/>
                <w:noProof/>
              </w:rPr>
              <w:drawing>
                <wp:inline distT="0" distB="0" distL="0" distR="0">
                  <wp:extent cx="5017995" cy="24480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017995" cy="2448000"/>
                          </a:xfrm>
                          <a:prstGeom prst="rect">
                            <a:avLst/>
                          </a:prstGeom>
                        </pic:spPr>
                      </pic:pic>
                    </a:graphicData>
                  </a:graphic>
                </wp:inline>
              </w:drawing>
            </w:r>
          </w:p>
          <w:p w:rsidR="00013998" w:rsidRPr="007E5DB8" w:rsidRDefault="00013998" w:rsidP="00E228CC">
            <w:pPr>
              <w:spacing w:line="360" w:lineRule="auto"/>
              <w:jc w:val="right"/>
              <w:rPr>
                <w:rFonts w:ascii="Book Antiqua" w:hAnsi="Book Antiqua" w:cs="David"/>
                <w:noProof/>
              </w:rPr>
            </w:pPr>
          </w:p>
        </w:tc>
      </w:tr>
    </w:tbl>
    <w:p w:rsidR="00E632E6" w:rsidRPr="007E5DB8" w:rsidRDefault="00E632E6" w:rsidP="00E632E6">
      <w:pPr>
        <w:tabs>
          <w:tab w:val="center" w:pos="4156"/>
          <w:tab w:val="right" w:pos="8312"/>
        </w:tabs>
        <w:bidi w:val="0"/>
        <w:jc w:val="both"/>
        <w:rPr>
          <w:rFonts w:ascii="Book Antiqua" w:hAnsi="Book Antiqua" w:cs="David"/>
        </w:rPr>
      </w:pPr>
    </w:p>
    <w:p w:rsidR="00782E11" w:rsidRPr="007E5DB8" w:rsidRDefault="00782E11" w:rsidP="007E5DB8">
      <w:pPr>
        <w:tabs>
          <w:tab w:val="center" w:pos="4156"/>
          <w:tab w:val="right" w:pos="8312"/>
        </w:tabs>
        <w:bidi w:val="0"/>
        <w:jc w:val="both"/>
        <w:rPr>
          <w:rFonts w:ascii="Book Antiqua" w:hAnsi="Book Antiqua" w:cs="David"/>
          <w:sz w:val="20"/>
          <w:szCs w:val="20"/>
        </w:rPr>
      </w:pPr>
      <w:r w:rsidRPr="007E5DB8">
        <w:rPr>
          <w:rFonts w:ascii="Book Antiqua" w:hAnsi="Book Antiqua" w:cs="David"/>
          <w:sz w:val="20"/>
          <w:szCs w:val="20"/>
        </w:rPr>
        <w:t>Notes: This figure depicts the ratio between mobility to workplaces (above) and to retail and recreation (below) at all points in time and the level during the baseline period (7-day moving average). The blue line represents the value for Israel, and the green line represents the median value for OECD countries for each day.</w:t>
      </w:r>
      <w:r w:rsidR="00BB7495" w:rsidRPr="007E5DB8">
        <w:rPr>
          <w:rFonts w:ascii="Book Antiqua" w:hAnsi="Book Antiqua" w:cs="David"/>
          <w:sz w:val="20"/>
          <w:szCs w:val="20"/>
        </w:rPr>
        <w:t xml:space="preserve"> </w:t>
      </w:r>
      <w:r w:rsidRPr="007E5DB8">
        <w:rPr>
          <w:rFonts w:ascii="Book Antiqua" w:hAnsi="Book Antiqua" w:cs="David"/>
          <w:sz w:val="20"/>
          <w:szCs w:val="20"/>
        </w:rPr>
        <w:t xml:space="preserve">The </w:t>
      </w:r>
      <w:r w:rsidR="00BB7495" w:rsidRPr="007E5DB8">
        <w:rPr>
          <w:rFonts w:ascii="Book Antiqua" w:hAnsi="Book Antiqua" w:cs="David"/>
          <w:sz w:val="20"/>
          <w:szCs w:val="20"/>
        </w:rPr>
        <w:t xml:space="preserve">green </w:t>
      </w:r>
      <w:r w:rsidRPr="007E5DB8">
        <w:rPr>
          <w:rFonts w:ascii="Book Antiqua" w:hAnsi="Book Antiqua" w:cs="David"/>
          <w:sz w:val="20"/>
          <w:szCs w:val="20"/>
        </w:rPr>
        <w:t>shaded area</w:t>
      </w:r>
      <w:r w:rsidR="00BB7495" w:rsidRPr="007E5DB8">
        <w:rPr>
          <w:rFonts w:ascii="Book Antiqua" w:hAnsi="Book Antiqua" w:cs="David"/>
          <w:sz w:val="20"/>
          <w:szCs w:val="20"/>
        </w:rPr>
        <w:t>s</w:t>
      </w:r>
      <w:r w:rsidRPr="007E5DB8">
        <w:rPr>
          <w:rFonts w:ascii="Book Antiqua" w:hAnsi="Book Antiqua" w:cs="David"/>
          <w:sz w:val="20"/>
          <w:szCs w:val="20"/>
        </w:rPr>
        <w:t xml:space="preserve"> represent</w:t>
      </w:r>
      <w:r w:rsidR="00BB7495" w:rsidRPr="007E5DB8">
        <w:rPr>
          <w:rFonts w:ascii="Book Antiqua" w:hAnsi="Book Antiqua" w:cs="David"/>
          <w:sz w:val="20"/>
          <w:szCs w:val="20"/>
        </w:rPr>
        <w:t xml:space="preserve"> </w:t>
      </w:r>
      <w:r w:rsidR="00957344" w:rsidRPr="007E5DB8">
        <w:rPr>
          <w:rFonts w:ascii="Book Antiqua" w:hAnsi="Book Antiqua" w:cs="David"/>
          <w:sz w:val="20"/>
          <w:szCs w:val="20"/>
        </w:rPr>
        <w:t>the range between the 90</w:t>
      </w:r>
      <w:r w:rsidR="00957344" w:rsidRPr="007E5DB8">
        <w:rPr>
          <w:rFonts w:ascii="Book Antiqua" w:hAnsi="Book Antiqua" w:cs="David"/>
          <w:sz w:val="20"/>
          <w:szCs w:val="20"/>
          <w:vertAlign w:val="superscript"/>
        </w:rPr>
        <w:t>th</w:t>
      </w:r>
      <w:r w:rsidR="00957344" w:rsidRPr="007E5DB8">
        <w:rPr>
          <w:rFonts w:ascii="Book Antiqua" w:hAnsi="Book Antiqua" w:cs="David"/>
          <w:sz w:val="20"/>
          <w:szCs w:val="20"/>
        </w:rPr>
        <w:t xml:space="preserve"> percentile and the 10</w:t>
      </w:r>
      <w:r w:rsidR="00957344" w:rsidRPr="007E5DB8">
        <w:rPr>
          <w:rFonts w:ascii="Book Antiqua" w:hAnsi="Book Antiqua" w:cs="David"/>
          <w:sz w:val="20"/>
          <w:szCs w:val="20"/>
          <w:vertAlign w:val="superscript"/>
        </w:rPr>
        <w:t>th</w:t>
      </w:r>
      <w:r w:rsidR="00957344" w:rsidRPr="007E5DB8">
        <w:rPr>
          <w:rFonts w:ascii="Book Antiqua" w:hAnsi="Book Antiqua" w:cs="David"/>
          <w:sz w:val="20"/>
          <w:szCs w:val="20"/>
        </w:rPr>
        <w:t xml:space="preserve"> percentile and the range between the minimum and maximum each day, respectively.</w:t>
      </w:r>
      <w:r w:rsidR="006D2F74" w:rsidRPr="007E5DB8">
        <w:rPr>
          <w:rFonts w:ascii="Book Antiqua" w:hAnsi="Book Antiqua" w:cs="David"/>
          <w:sz w:val="20"/>
          <w:szCs w:val="20"/>
        </w:rPr>
        <w:t xml:space="preserve"> The level during the baseline period was established based on the median value of the volume of </w:t>
      </w:r>
      <w:r w:rsidR="00083242" w:rsidRPr="007E5DB8">
        <w:rPr>
          <w:rFonts w:ascii="Book Antiqua" w:hAnsi="Book Antiqua" w:cs="David"/>
          <w:sz w:val="20"/>
          <w:szCs w:val="20"/>
        </w:rPr>
        <w:t xml:space="preserve">visits </w:t>
      </w:r>
      <w:r w:rsidRPr="007E5DB8">
        <w:rPr>
          <w:rFonts w:ascii="Book Antiqua" w:hAnsi="Book Antiqua" w:cs="David"/>
          <w:sz w:val="20"/>
          <w:szCs w:val="20"/>
        </w:rPr>
        <w:t>for each day of the week during the period January 3–February 6, 2020.</w:t>
      </w:r>
    </w:p>
    <w:p w:rsidR="00E632E6" w:rsidRPr="007E5DB8" w:rsidRDefault="00E632E6" w:rsidP="007E5DB8">
      <w:pPr>
        <w:tabs>
          <w:tab w:val="center" w:pos="4156"/>
          <w:tab w:val="right" w:pos="8312"/>
        </w:tabs>
        <w:bidi w:val="0"/>
        <w:jc w:val="both"/>
        <w:rPr>
          <w:rFonts w:ascii="Book Antiqua" w:hAnsi="Book Antiqua" w:cs="David"/>
          <w:sz w:val="20"/>
          <w:szCs w:val="20"/>
        </w:rPr>
      </w:pPr>
    </w:p>
    <w:p w:rsidR="00083242" w:rsidRPr="007E5DB8" w:rsidRDefault="00083242" w:rsidP="007E5DB8">
      <w:pPr>
        <w:tabs>
          <w:tab w:val="center" w:pos="4156"/>
          <w:tab w:val="right" w:pos="8312"/>
        </w:tabs>
        <w:bidi w:val="0"/>
        <w:jc w:val="both"/>
        <w:rPr>
          <w:rFonts w:ascii="Book Antiqua" w:hAnsi="Book Antiqua" w:cs="David"/>
          <w:sz w:val="20"/>
          <w:szCs w:val="20"/>
        </w:rPr>
      </w:pPr>
      <w:r w:rsidRPr="007E5DB8">
        <w:rPr>
          <w:rFonts w:ascii="Book Antiqua" w:hAnsi="Book Antiqua" w:cs="David"/>
          <w:sz w:val="20"/>
          <w:szCs w:val="20"/>
        </w:rPr>
        <w:t>SOURCE: Based on Google Community Mobility Report.</w:t>
      </w:r>
    </w:p>
    <w:p w:rsidR="009F6325" w:rsidRPr="007E5DB8" w:rsidRDefault="009F6325" w:rsidP="00CC0C2F">
      <w:pPr>
        <w:tabs>
          <w:tab w:val="center" w:pos="4156"/>
          <w:tab w:val="right" w:pos="8312"/>
        </w:tabs>
        <w:bidi w:val="0"/>
        <w:jc w:val="both"/>
        <w:rPr>
          <w:rFonts w:ascii="Book Antiqua" w:hAnsi="Book Antiqua" w:cs="David"/>
          <w:b/>
          <w:bCs/>
        </w:rPr>
      </w:pPr>
      <w:r w:rsidRPr="007E5DB8">
        <w:rPr>
          <w:rFonts w:ascii="Book Antiqua" w:hAnsi="Book Antiqua" w:cs="David"/>
          <w:b/>
          <w:bCs/>
        </w:rPr>
        <w:lastRenderedPageBreak/>
        <w:t>Figure 3</w:t>
      </w:r>
    </w:p>
    <w:p w:rsidR="009F6325" w:rsidRPr="007E5DB8" w:rsidRDefault="009F6325" w:rsidP="009F6325">
      <w:pPr>
        <w:tabs>
          <w:tab w:val="center" w:pos="4156"/>
          <w:tab w:val="right" w:pos="8312"/>
        </w:tabs>
        <w:bidi w:val="0"/>
        <w:jc w:val="both"/>
        <w:rPr>
          <w:rFonts w:ascii="Book Antiqua" w:hAnsi="Book Antiqua" w:cs="David"/>
          <w:b/>
          <w:bCs/>
        </w:rPr>
      </w:pPr>
      <w:r w:rsidRPr="007E5DB8">
        <w:rPr>
          <w:rFonts w:ascii="Book Antiqua" w:hAnsi="Book Antiqua" w:cs="David"/>
          <w:b/>
          <w:bCs/>
        </w:rPr>
        <w:t>Google mobility indices, selected countries</w:t>
      </w:r>
    </w:p>
    <w:p w:rsidR="009F6325" w:rsidRPr="007E5DB8" w:rsidRDefault="009F6325" w:rsidP="009F6325">
      <w:pPr>
        <w:tabs>
          <w:tab w:val="center" w:pos="4156"/>
          <w:tab w:val="right" w:pos="8312"/>
        </w:tabs>
        <w:bidi w:val="0"/>
        <w:jc w:val="both"/>
        <w:rPr>
          <w:rFonts w:ascii="Book Antiqua" w:hAnsi="Book Antiqua" w:cs="David"/>
          <w:b/>
          <w:bCs/>
        </w:rPr>
      </w:pPr>
    </w:p>
    <w:p w:rsidR="0005229D" w:rsidRPr="007E5DB8" w:rsidRDefault="00674C45">
      <w:pPr>
        <w:pStyle w:val="a3"/>
        <w:numPr>
          <w:ilvl w:val="0"/>
          <w:numId w:val="3"/>
        </w:numPr>
        <w:tabs>
          <w:tab w:val="center" w:pos="4156"/>
          <w:tab w:val="right" w:pos="8312"/>
        </w:tabs>
        <w:bidi w:val="0"/>
        <w:jc w:val="center"/>
        <w:rPr>
          <w:rFonts w:ascii="Book Antiqua" w:hAnsi="Book Antiqua" w:cs="David"/>
        </w:rPr>
      </w:pPr>
      <w:r w:rsidRPr="007E5DB8">
        <w:rPr>
          <w:rFonts w:ascii="Book Antiqua" w:hAnsi="Book Antiqua" w:cs="David"/>
        </w:rPr>
        <w:t>Workplace</w:t>
      </w:r>
    </w:p>
    <w:p w:rsidR="0005229D" w:rsidRPr="007E5DB8" w:rsidRDefault="0005229D">
      <w:pPr>
        <w:tabs>
          <w:tab w:val="center" w:pos="4156"/>
          <w:tab w:val="right" w:pos="8312"/>
        </w:tabs>
        <w:bidi w:val="0"/>
        <w:jc w:val="center"/>
        <w:rPr>
          <w:rFonts w:ascii="Book Antiqua" w:hAnsi="Book Antiqua" w:cs="David"/>
        </w:rPr>
      </w:pPr>
    </w:p>
    <w:p w:rsidR="0005229D" w:rsidRPr="007E5DB8" w:rsidRDefault="00D129F8">
      <w:pPr>
        <w:tabs>
          <w:tab w:val="center" w:pos="4156"/>
          <w:tab w:val="right" w:pos="8312"/>
        </w:tabs>
        <w:bidi w:val="0"/>
        <w:jc w:val="center"/>
        <w:rPr>
          <w:rFonts w:ascii="Book Antiqua" w:hAnsi="Book Antiqua" w:cs="David"/>
        </w:rPr>
      </w:pPr>
      <w:r w:rsidRPr="007E5DB8">
        <w:rPr>
          <w:rFonts w:ascii="Book Antiqua" w:hAnsi="Book Antiqua" w:cs="David"/>
          <w:noProof/>
        </w:rPr>
        <w:drawing>
          <wp:inline distT="0" distB="0" distL="0" distR="0">
            <wp:extent cx="5652000" cy="267685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652000" cy="2676850"/>
                    </a:xfrm>
                    <a:prstGeom prst="rect">
                      <a:avLst/>
                    </a:prstGeom>
                  </pic:spPr>
                </pic:pic>
              </a:graphicData>
            </a:graphic>
          </wp:inline>
        </w:drawing>
      </w:r>
    </w:p>
    <w:p w:rsidR="0005229D" w:rsidRPr="007E5DB8" w:rsidRDefault="00674C45">
      <w:pPr>
        <w:pStyle w:val="a3"/>
        <w:numPr>
          <w:ilvl w:val="0"/>
          <w:numId w:val="3"/>
        </w:numPr>
        <w:tabs>
          <w:tab w:val="center" w:pos="4156"/>
          <w:tab w:val="right" w:pos="8312"/>
        </w:tabs>
        <w:bidi w:val="0"/>
        <w:jc w:val="center"/>
        <w:rPr>
          <w:rFonts w:ascii="Book Antiqua" w:hAnsi="Book Antiqua" w:cs="David"/>
        </w:rPr>
      </w:pPr>
      <w:r w:rsidRPr="007E5DB8">
        <w:rPr>
          <w:rFonts w:ascii="Book Antiqua" w:hAnsi="Book Antiqua" w:cs="David"/>
        </w:rPr>
        <w:t>Retail and recreation</w:t>
      </w:r>
    </w:p>
    <w:p w:rsidR="0005229D" w:rsidRPr="007E5DB8" w:rsidRDefault="0005229D">
      <w:pPr>
        <w:tabs>
          <w:tab w:val="center" w:pos="4156"/>
          <w:tab w:val="right" w:pos="8312"/>
        </w:tabs>
        <w:bidi w:val="0"/>
        <w:jc w:val="center"/>
        <w:rPr>
          <w:rFonts w:ascii="Book Antiqua" w:hAnsi="Book Antiqua" w:cs="David"/>
        </w:rPr>
      </w:pPr>
    </w:p>
    <w:p w:rsidR="0005229D" w:rsidRPr="007E5DB8" w:rsidRDefault="00D129F8">
      <w:pPr>
        <w:tabs>
          <w:tab w:val="center" w:pos="4156"/>
          <w:tab w:val="right" w:pos="8312"/>
        </w:tabs>
        <w:bidi w:val="0"/>
        <w:jc w:val="center"/>
        <w:rPr>
          <w:rFonts w:ascii="Book Antiqua" w:hAnsi="Book Antiqua" w:cs="David"/>
        </w:rPr>
      </w:pPr>
      <w:r w:rsidRPr="007E5DB8">
        <w:rPr>
          <w:rFonts w:ascii="Book Antiqua" w:hAnsi="Book Antiqua" w:cs="David"/>
          <w:noProof/>
        </w:rPr>
        <w:drawing>
          <wp:inline distT="0" distB="0" distL="0" distR="0">
            <wp:extent cx="5652000" cy="2710664"/>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52000" cy="2710664"/>
                    </a:xfrm>
                    <a:prstGeom prst="rect">
                      <a:avLst/>
                    </a:prstGeom>
                  </pic:spPr>
                </pic:pic>
              </a:graphicData>
            </a:graphic>
          </wp:inline>
        </w:drawing>
      </w:r>
    </w:p>
    <w:p w:rsidR="0005229D" w:rsidRPr="007E5DB8" w:rsidRDefault="0005229D">
      <w:pPr>
        <w:tabs>
          <w:tab w:val="center" w:pos="4156"/>
          <w:tab w:val="right" w:pos="8312"/>
        </w:tabs>
        <w:bidi w:val="0"/>
        <w:jc w:val="both"/>
        <w:rPr>
          <w:rFonts w:ascii="Book Antiqua" w:hAnsi="Book Antiqua" w:cs="David"/>
          <w:rtl/>
        </w:rPr>
      </w:pPr>
    </w:p>
    <w:p w:rsidR="009F6325" w:rsidRPr="007E5DB8" w:rsidRDefault="009F6325" w:rsidP="003B0379">
      <w:pPr>
        <w:tabs>
          <w:tab w:val="center" w:pos="4156"/>
          <w:tab w:val="right" w:pos="8312"/>
        </w:tabs>
        <w:bidi w:val="0"/>
        <w:jc w:val="both"/>
        <w:rPr>
          <w:rFonts w:ascii="Book Antiqua" w:hAnsi="Book Antiqua" w:cs="David"/>
          <w:sz w:val="20"/>
          <w:szCs w:val="20"/>
        </w:rPr>
      </w:pPr>
      <w:r w:rsidRPr="007E5DB8">
        <w:rPr>
          <w:rFonts w:ascii="Book Antiqua" w:hAnsi="Book Antiqua" w:cs="David"/>
          <w:sz w:val="20"/>
          <w:szCs w:val="20"/>
        </w:rPr>
        <w:t xml:space="preserve">Notes: This figure depicts the ratio between mobility to workplaces (above) and to retail and recreation (below) at all points in time and the </w:t>
      </w:r>
      <w:r w:rsidR="00CC0C2F" w:rsidRPr="007E5DB8">
        <w:rPr>
          <w:rFonts w:ascii="Book Antiqua" w:hAnsi="Book Antiqua" w:cs="David"/>
          <w:sz w:val="20"/>
          <w:szCs w:val="20"/>
        </w:rPr>
        <w:t xml:space="preserve">mobility </w:t>
      </w:r>
      <w:r w:rsidRPr="007E5DB8">
        <w:rPr>
          <w:rFonts w:ascii="Book Antiqua" w:hAnsi="Book Antiqua" w:cs="David"/>
          <w:sz w:val="20"/>
          <w:szCs w:val="20"/>
        </w:rPr>
        <w:t xml:space="preserve">level during the baseline period (7-day moving average). The line represents the </w:t>
      </w:r>
      <w:r w:rsidR="00231698" w:rsidRPr="007E5DB8">
        <w:rPr>
          <w:rFonts w:ascii="Book Antiqua" w:hAnsi="Book Antiqua" w:cs="David"/>
          <w:sz w:val="20"/>
          <w:szCs w:val="20"/>
        </w:rPr>
        <w:t>mobility index for each country</w:t>
      </w:r>
      <w:r w:rsidR="00CC0C2F" w:rsidRPr="007E5DB8">
        <w:rPr>
          <w:rFonts w:ascii="Book Antiqua" w:hAnsi="Book Antiqua" w:cs="David"/>
          <w:sz w:val="20"/>
          <w:szCs w:val="20"/>
        </w:rPr>
        <w:t>. T</w:t>
      </w:r>
      <w:r w:rsidRPr="007E5DB8">
        <w:rPr>
          <w:rFonts w:ascii="Book Antiqua" w:hAnsi="Book Antiqua" w:cs="David"/>
          <w:sz w:val="20"/>
          <w:szCs w:val="20"/>
        </w:rPr>
        <w:t xml:space="preserve">he </w:t>
      </w:r>
      <w:r w:rsidR="00CC0C2F" w:rsidRPr="007E5DB8">
        <w:rPr>
          <w:rFonts w:ascii="Book Antiqua" w:hAnsi="Book Antiqua" w:cs="David"/>
          <w:sz w:val="20"/>
          <w:szCs w:val="20"/>
        </w:rPr>
        <w:t xml:space="preserve">color of the </w:t>
      </w:r>
      <w:r w:rsidRPr="007E5DB8">
        <w:rPr>
          <w:rFonts w:ascii="Book Antiqua" w:hAnsi="Book Antiqua" w:cs="David"/>
          <w:sz w:val="20"/>
          <w:szCs w:val="20"/>
        </w:rPr>
        <w:t xml:space="preserve">line represents the </w:t>
      </w:r>
      <w:r w:rsidR="00CC0C2F" w:rsidRPr="007E5DB8">
        <w:rPr>
          <w:rFonts w:ascii="Book Antiqua" w:hAnsi="Book Antiqua" w:cs="David"/>
          <w:sz w:val="20"/>
          <w:szCs w:val="20"/>
        </w:rPr>
        <w:t xml:space="preserve">daily change in the number of infected people (7-day moving average). </w:t>
      </w:r>
      <w:r w:rsidRPr="007E5DB8">
        <w:rPr>
          <w:rFonts w:ascii="Book Antiqua" w:hAnsi="Book Antiqua" w:cs="David"/>
          <w:sz w:val="20"/>
          <w:szCs w:val="20"/>
        </w:rPr>
        <w:t>The level during the baseline period was established based on the median value of the volume of visits for each day of the week during the period January 3–February 6, 2020.</w:t>
      </w:r>
    </w:p>
    <w:p w:rsidR="009F6325" w:rsidRPr="007E5DB8" w:rsidRDefault="009F6325" w:rsidP="009F6325">
      <w:pPr>
        <w:tabs>
          <w:tab w:val="center" w:pos="4156"/>
          <w:tab w:val="right" w:pos="8312"/>
        </w:tabs>
        <w:bidi w:val="0"/>
        <w:jc w:val="both"/>
        <w:rPr>
          <w:rFonts w:ascii="Book Antiqua" w:hAnsi="Book Antiqua" w:cs="David"/>
          <w:sz w:val="20"/>
          <w:szCs w:val="20"/>
        </w:rPr>
      </w:pPr>
    </w:p>
    <w:p w:rsidR="00D129F8" w:rsidRPr="007E5DB8" w:rsidRDefault="009F6325">
      <w:pPr>
        <w:tabs>
          <w:tab w:val="center" w:pos="4156"/>
          <w:tab w:val="right" w:pos="8312"/>
        </w:tabs>
        <w:bidi w:val="0"/>
        <w:jc w:val="both"/>
        <w:rPr>
          <w:rFonts w:ascii="Book Antiqua" w:hAnsi="Book Antiqua" w:cs="David"/>
          <w:sz w:val="20"/>
          <w:szCs w:val="20"/>
        </w:rPr>
      </w:pPr>
      <w:r w:rsidRPr="007E5DB8">
        <w:rPr>
          <w:rFonts w:ascii="Book Antiqua" w:hAnsi="Book Antiqua" w:cs="David"/>
          <w:sz w:val="20"/>
          <w:szCs w:val="20"/>
        </w:rPr>
        <w:t>SOURCE: Based on Google Community Mobility Report</w:t>
      </w:r>
      <w:r w:rsidR="00C11D42" w:rsidRPr="007E5DB8">
        <w:rPr>
          <w:rFonts w:ascii="Book Antiqua" w:hAnsi="Book Antiqua" w:cs="David"/>
          <w:sz w:val="20"/>
          <w:szCs w:val="20"/>
        </w:rPr>
        <w:t xml:space="preserve"> and Johns Hopkins University CSSE</w:t>
      </w:r>
      <w:r w:rsidRPr="007E5DB8">
        <w:rPr>
          <w:rFonts w:ascii="Book Antiqua" w:hAnsi="Book Antiqua" w:cs="David"/>
          <w:sz w:val="20"/>
          <w:szCs w:val="20"/>
        </w:rPr>
        <w:t>.</w:t>
      </w:r>
    </w:p>
    <w:sectPr w:rsidR="00D129F8" w:rsidRPr="007E5DB8" w:rsidSect="00665E8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A4C" w:rsidRDefault="00337A4C" w:rsidP="00904A5B">
      <w:r>
        <w:separator/>
      </w:r>
    </w:p>
  </w:endnote>
  <w:endnote w:type="continuationSeparator" w:id="0">
    <w:p w:rsidR="00337A4C" w:rsidRDefault="00337A4C" w:rsidP="00904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3329831"/>
      <w:docPartObj>
        <w:docPartGallery w:val="Page Numbers (Bottom of Page)"/>
        <w:docPartUnique/>
      </w:docPartObj>
    </w:sdtPr>
    <w:sdtEndPr>
      <w:rPr>
        <w:cs/>
      </w:rPr>
    </w:sdtEndPr>
    <w:sdtContent>
      <w:p w:rsidR="007E5DB8" w:rsidRDefault="007E5DB8">
        <w:pPr>
          <w:pStyle w:val="ac"/>
          <w:jc w:val="center"/>
          <w:rPr>
            <w:cs/>
          </w:rPr>
        </w:pPr>
        <w:r>
          <w:fldChar w:fldCharType="begin"/>
        </w:r>
        <w:r>
          <w:rPr>
            <w:cs/>
          </w:rPr>
          <w:instrText>PAGE   \* MERGEFORMAT</w:instrText>
        </w:r>
        <w:r>
          <w:fldChar w:fldCharType="separate"/>
        </w:r>
        <w:r w:rsidR="00A51CBC" w:rsidRPr="00A51CBC">
          <w:rPr>
            <w:noProof/>
            <w:rtl/>
            <w:lang w:val="he-IL"/>
          </w:rPr>
          <w:t>1</w:t>
        </w:r>
        <w:r>
          <w:fldChar w:fldCharType="end"/>
        </w:r>
      </w:p>
    </w:sdtContent>
  </w:sdt>
  <w:p w:rsidR="007E5DB8" w:rsidRDefault="007E5DB8">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A4C" w:rsidRDefault="00337A4C" w:rsidP="00904A5B">
      <w:r>
        <w:separator/>
      </w:r>
    </w:p>
  </w:footnote>
  <w:footnote w:type="continuationSeparator" w:id="0">
    <w:p w:rsidR="00337A4C" w:rsidRDefault="00337A4C" w:rsidP="00904A5B">
      <w:r>
        <w:continuationSeparator/>
      </w:r>
    </w:p>
  </w:footnote>
  <w:footnote w:id="1">
    <w:p w:rsidR="0005229D" w:rsidRDefault="00904A5B">
      <w:pPr>
        <w:pStyle w:val="a4"/>
        <w:bidi w:val="0"/>
      </w:pPr>
      <w:r>
        <w:rPr>
          <w:rStyle w:val="a6"/>
        </w:rPr>
        <w:footnoteRef/>
      </w:r>
      <w:r w:rsidR="003A799A">
        <w:rPr>
          <w:rFonts w:hint="cs"/>
          <w:rtl/>
        </w:rPr>
        <w:t xml:space="preserve"> </w:t>
      </w:r>
      <w:r>
        <w:t xml:space="preserve">The code for recreating the analysis that appears in this paper is at </w:t>
      </w:r>
      <w:r w:rsidRPr="00602E0C">
        <w:t xml:space="preserve"> </w:t>
      </w:r>
      <w:hyperlink r:id="rId1" w:history="1">
        <w:r>
          <w:rPr>
            <w:rStyle w:val="Hyperlink"/>
          </w:rPr>
          <w:t>https://github.com/itamarcaspi/mobility-reports-boi</w:t>
        </w:r>
      </w:hyperlink>
      <w:r>
        <w:t>.</w:t>
      </w:r>
    </w:p>
  </w:footnote>
  <w:footnote w:id="2">
    <w:p w:rsidR="004B6285" w:rsidRPr="00BA5CB1" w:rsidRDefault="004B6285" w:rsidP="003A799A">
      <w:pPr>
        <w:pStyle w:val="a4"/>
        <w:bidi w:val="0"/>
        <w:jc w:val="both"/>
        <w:rPr>
          <w:rFonts w:ascii="David" w:hAnsi="David"/>
        </w:rPr>
      </w:pPr>
      <w:r>
        <w:rPr>
          <w:rStyle w:val="a6"/>
        </w:rPr>
        <w:footnoteRef/>
      </w:r>
      <w:r>
        <w:rPr>
          <w:rtl/>
        </w:rPr>
        <w:t xml:space="preserve"> </w:t>
      </w:r>
      <w:r>
        <w:t xml:space="preserve">For expanded discussion on Google’s mobility index, see </w:t>
      </w:r>
      <w:hyperlink r:id="rId2" w:history="1">
        <w:r>
          <w:rPr>
            <w:rStyle w:val="Hyperlink"/>
          </w:rPr>
          <w:t>https://www.google.com/covid19/mobility/</w:t>
        </w:r>
      </w:hyperlink>
      <w:r>
        <w:rPr>
          <w:rFonts w:ascii="David" w:hAnsi="David" w:hint="cs"/>
          <w:rtl/>
        </w:rPr>
        <w:t>.</w:t>
      </w:r>
    </w:p>
  </w:footnote>
  <w:footnote w:id="3">
    <w:p w:rsidR="00A824BE" w:rsidRDefault="00A824BE" w:rsidP="002457C2">
      <w:pPr>
        <w:pStyle w:val="a4"/>
        <w:bidi w:val="0"/>
        <w:jc w:val="both"/>
      </w:pPr>
      <w:r>
        <w:rPr>
          <w:rStyle w:val="a6"/>
        </w:rPr>
        <w:footnoteRef/>
      </w:r>
      <w:r>
        <w:rPr>
          <w:rtl/>
        </w:rPr>
        <w:t xml:space="preserve"> </w:t>
      </w:r>
      <w:r>
        <w:t>For expanded discussion on Apple’s mobility index, see</w:t>
      </w:r>
      <w:hyperlink r:id="rId3" w:history="1">
        <w:r w:rsidRPr="00275463">
          <w:rPr>
            <w:rStyle w:val="Hyperlink"/>
            <w:rFonts w:ascii="David" w:hAnsi="David"/>
          </w:rPr>
          <w:t>https://www.apple.com/covid19/mobility</w:t>
        </w:r>
      </w:hyperlink>
      <w:r w:rsidRPr="00275463">
        <w:rPr>
          <w:rFonts w:ascii="David" w:hAnsi="David"/>
          <w:rtl/>
        </w:rPr>
        <w:t>.</w:t>
      </w:r>
    </w:p>
  </w:footnote>
  <w:footnote w:id="4">
    <w:p w:rsidR="0005229D" w:rsidRDefault="00686A89">
      <w:pPr>
        <w:pStyle w:val="a4"/>
        <w:bidi w:val="0"/>
        <w:jc w:val="both"/>
      </w:pPr>
      <w:r>
        <w:rPr>
          <w:rStyle w:val="a6"/>
        </w:rPr>
        <w:footnoteRef/>
      </w:r>
      <w:r>
        <w:rPr>
          <w:rtl/>
        </w:rPr>
        <w:t xml:space="preserve"> </w:t>
      </w:r>
      <w:r>
        <w:t xml:space="preserve">Google data on which the analysis in this note is based include data up to </w:t>
      </w:r>
      <w:r w:rsidR="003A799A">
        <w:t>May 2</w:t>
      </w:r>
      <w:r>
        <w:t xml:space="preserve">, Apple data are up to May </w:t>
      </w:r>
      <w:r w:rsidR="003A799A">
        <w:t>5</w:t>
      </w:r>
      <w:r>
        <w:t>.</w:t>
      </w:r>
    </w:p>
  </w:footnote>
  <w:footnote w:id="5">
    <w:p w:rsidR="00885DCA" w:rsidRDefault="00885DCA" w:rsidP="001C1939">
      <w:pPr>
        <w:pStyle w:val="a4"/>
        <w:bidi w:val="0"/>
        <w:jc w:val="both"/>
      </w:pPr>
      <w:r>
        <w:rPr>
          <w:rStyle w:val="a6"/>
        </w:rPr>
        <w:footnoteRef/>
      </w:r>
      <w:r>
        <w:rPr>
          <w:rtl/>
        </w:rPr>
        <w:t xml:space="preserve"> </w:t>
      </w:r>
      <w:r>
        <w:t xml:space="preserve">In contrast, Apple data are more limited and include only data on the volume of routing queries by Apple users, segmented into 3 categories: driving, walking, and </w:t>
      </w:r>
      <w:r w:rsidR="001C1939">
        <w:t>transit</w:t>
      </w:r>
      <w:r>
        <w:t xml:space="preserve">. The </w:t>
      </w:r>
      <w:r w:rsidR="001C1939">
        <w:t>latter</w:t>
      </w:r>
      <w:r>
        <w:t xml:space="preserve"> </w:t>
      </w:r>
      <w:r w:rsidR="001C1939">
        <w:t xml:space="preserve">is </w:t>
      </w:r>
      <w:r>
        <w:t xml:space="preserve">not </w:t>
      </w:r>
      <w:r w:rsidR="001C1939">
        <w:t xml:space="preserve">available </w:t>
      </w:r>
      <w:r>
        <w:t>for Israel.</w:t>
      </w:r>
    </w:p>
  </w:footnote>
  <w:footnote w:id="6">
    <w:p w:rsidR="00C6264E" w:rsidRDefault="00C6264E" w:rsidP="002457C2">
      <w:pPr>
        <w:pStyle w:val="a4"/>
        <w:bidi w:val="0"/>
        <w:jc w:val="both"/>
      </w:pPr>
      <w:r>
        <w:rPr>
          <w:rStyle w:val="a6"/>
        </w:rPr>
        <w:footnoteRef/>
      </w:r>
      <w:r>
        <w:rPr>
          <w:rtl/>
        </w:rPr>
        <w:t xml:space="preserve"> </w:t>
      </w:r>
      <w:r>
        <w:t>It is reasonable to assume that part of the decline that we see in mobility to workplaces and to retail and recreation</w:t>
      </w:r>
      <w:r w:rsidR="002152EB">
        <w:t xml:space="preserve"> was offset by phenomena that cannot be seen in the graphs, such as work from home and online purchases and deliveries.</w:t>
      </w:r>
    </w:p>
  </w:footnote>
  <w:footnote w:id="7">
    <w:p w:rsidR="0005229D" w:rsidRDefault="006345DB">
      <w:pPr>
        <w:pStyle w:val="a4"/>
        <w:bidi w:val="0"/>
        <w:jc w:val="both"/>
      </w:pPr>
      <w:r>
        <w:rPr>
          <w:rStyle w:val="a6"/>
        </w:rPr>
        <w:footnoteRef/>
      </w:r>
      <w:r>
        <w:rPr>
          <w:rtl/>
        </w:rPr>
        <w:t xml:space="preserve"> </w:t>
      </w:r>
      <w:r>
        <w:t xml:space="preserve"> Data regarding Apple’s 3</w:t>
      </w:r>
      <w:r w:rsidRPr="006345DB">
        <w:rPr>
          <w:vertAlign w:val="superscript"/>
        </w:rPr>
        <w:t>rd</w:t>
      </w:r>
      <w:r>
        <w:t xml:space="preserve"> category, “trans</w:t>
      </w:r>
      <w:r w:rsidR="00940F58">
        <w:t>it</w:t>
      </w:r>
      <w:r>
        <w:t>” are not available for Israel.</w:t>
      </w:r>
    </w:p>
  </w:footnote>
  <w:footnote w:id="8">
    <w:p w:rsidR="00EA3AC3" w:rsidRDefault="00EA3AC3" w:rsidP="002457C2">
      <w:pPr>
        <w:pStyle w:val="a4"/>
        <w:bidi w:val="0"/>
        <w:jc w:val="both"/>
      </w:pPr>
      <w:r>
        <w:rPr>
          <w:rStyle w:val="a6"/>
        </w:rPr>
        <w:footnoteRef/>
      </w:r>
      <w:r>
        <w:rPr>
          <w:rtl/>
        </w:rPr>
        <w:t xml:space="preserve"> </w:t>
      </w:r>
      <w:r>
        <w:t xml:space="preserve"> As will be seen below, this phenomenon is not unique to Israel.</w:t>
      </w:r>
    </w:p>
  </w:footnote>
  <w:footnote w:id="9">
    <w:p w:rsidR="0074597B" w:rsidRDefault="0074597B" w:rsidP="00D96A82">
      <w:pPr>
        <w:pStyle w:val="a4"/>
        <w:bidi w:val="0"/>
        <w:jc w:val="both"/>
      </w:pPr>
      <w:r>
        <w:rPr>
          <w:rStyle w:val="a6"/>
        </w:rPr>
        <w:footnoteRef/>
      </w:r>
      <w:r>
        <w:rPr>
          <w:rtl/>
        </w:rPr>
        <w:t xml:space="preserve"> </w:t>
      </w:r>
      <w:r>
        <w:t xml:space="preserve">According to Google, accuracy of measuring location and the categorization of places into work, retail, and recreation, public transit, etc. varies among countries, so some caution is required when comparing data among countries with different features (such as countries characterized more by rural areas compared to countries with large </w:t>
      </w:r>
      <w:r w:rsidR="003A799A">
        <w:t xml:space="preserve">and dense </w:t>
      </w:r>
      <w:r>
        <w:t>urban areas</w:t>
      </w:r>
      <w:r w:rsidR="006D1172">
        <w:t>)</w:t>
      </w:r>
      <w:r>
        <w:t>.</w:t>
      </w:r>
    </w:p>
  </w:footnote>
  <w:footnote w:id="10">
    <w:p w:rsidR="002D0AD7" w:rsidRDefault="002D0AD7" w:rsidP="00C819B1">
      <w:pPr>
        <w:pStyle w:val="a4"/>
        <w:bidi w:val="0"/>
      </w:pPr>
      <w:r>
        <w:rPr>
          <w:rStyle w:val="a6"/>
        </w:rPr>
        <w:footnoteRef/>
      </w:r>
      <w:r>
        <w:rPr>
          <w:rtl/>
        </w:rPr>
        <w:t xml:space="preserve"> </w:t>
      </w:r>
      <w:r>
        <w:t xml:space="preserve"> The OECD </w:t>
      </w:r>
      <w:r w:rsidR="00C819B1">
        <w:t xml:space="preserve">median </w:t>
      </w:r>
      <w:r>
        <w:t>that appears in the figure is defined as the 7-day moving average of the median value of the mobility indices for the OECD for each day.</w:t>
      </w:r>
    </w:p>
  </w:footnote>
  <w:footnote w:id="11">
    <w:p w:rsidR="0005229D" w:rsidRDefault="00162096">
      <w:pPr>
        <w:pStyle w:val="a4"/>
        <w:bidi w:val="0"/>
      </w:pPr>
      <w:r>
        <w:rPr>
          <w:rStyle w:val="a6"/>
        </w:rPr>
        <w:footnoteRef/>
      </w:r>
      <w:r>
        <w:rPr>
          <w:rtl/>
        </w:rPr>
        <w:t xml:space="preserve"> </w:t>
      </w:r>
      <w:r>
        <w:t xml:space="preserve">The decline in the data in Israel at the end of the sample reflects the effect of the </w:t>
      </w:r>
      <w:r w:rsidR="003A799A">
        <w:t xml:space="preserve">lockdown </w:t>
      </w:r>
      <w:r>
        <w:t>during the Memorial Day-Independence Day period.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681A"/>
    <w:multiLevelType w:val="hybridMultilevel"/>
    <w:tmpl w:val="7A2C8C88"/>
    <w:lvl w:ilvl="0" w:tplc="16D8D5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83F7F"/>
    <w:multiLevelType w:val="hybridMultilevel"/>
    <w:tmpl w:val="7A2C8C88"/>
    <w:lvl w:ilvl="0" w:tplc="16D8D5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C2AE8"/>
    <w:multiLevelType w:val="hybridMultilevel"/>
    <w:tmpl w:val="600E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0547"/>
    <w:multiLevelType w:val="hybridMultilevel"/>
    <w:tmpl w:val="7A2C8C88"/>
    <w:lvl w:ilvl="0" w:tplc="16D8D5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A1116"/>
    <w:multiLevelType w:val="hybridMultilevel"/>
    <w:tmpl w:val="13284262"/>
    <w:lvl w:ilvl="0" w:tplc="B84EFD4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zs7QwNzKzMLC0MDJV0lEKTi0uzszPAykwrgUAlGqDgCwAAAA="/>
  </w:docVars>
  <w:rsids>
    <w:rsidRoot w:val="00CB3869"/>
    <w:rsid w:val="000002D3"/>
    <w:rsid w:val="000059F9"/>
    <w:rsid w:val="00013998"/>
    <w:rsid w:val="0005229D"/>
    <w:rsid w:val="00073B9C"/>
    <w:rsid w:val="00083242"/>
    <w:rsid w:val="000F1A7F"/>
    <w:rsid w:val="00145A59"/>
    <w:rsid w:val="00162096"/>
    <w:rsid w:val="001710E4"/>
    <w:rsid w:val="00193F78"/>
    <w:rsid w:val="001C1939"/>
    <w:rsid w:val="001D5588"/>
    <w:rsid w:val="001E5F19"/>
    <w:rsid w:val="001E7548"/>
    <w:rsid w:val="001F3EA8"/>
    <w:rsid w:val="001F43C1"/>
    <w:rsid w:val="0020464A"/>
    <w:rsid w:val="00206F37"/>
    <w:rsid w:val="00211092"/>
    <w:rsid w:val="002152EB"/>
    <w:rsid w:val="00230879"/>
    <w:rsid w:val="00231698"/>
    <w:rsid w:val="0023373F"/>
    <w:rsid w:val="00237D98"/>
    <w:rsid w:val="0024395B"/>
    <w:rsid w:val="00245441"/>
    <w:rsid w:val="002457C2"/>
    <w:rsid w:val="00267F9A"/>
    <w:rsid w:val="00284F69"/>
    <w:rsid w:val="002B1D7E"/>
    <w:rsid w:val="002C1BA2"/>
    <w:rsid w:val="002D06E5"/>
    <w:rsid w:val="002D0AD7"/>
    <w:rsid w:val="002D696F"/>
    <w:rsid w:val="00311CEA"/>
    <w:rsid w:val="00337A4C"/>
    <w:rsid w:val="00376CC0"/>
    <w:rsid w:val="003A799A"/>
    <w:rsid w:val="003B0379"/>
    <w:rsid w:val="003E2F48"/>
    <w:rsid w:val="00416841"/>
    <w:rsid w:val="00431DF6"/>
    <w:rsid w:val="00435D46"/>
    <w:rsid w:val="00440349"/>
    <w:rsid w:val="004556AC"/>
    <w:rsid w:val="00466807"/>
    <w:rsid w:val="00483520"/>
    <w:rsid w:val="00486A72"/>
    <w:rsid w:val="004B1C3C"/>
    <w:rsid w:val="004B6285"/>
    <w:rsid w:val="004F144A"/>
    <w:rsid w:val="0050267E"/>
    <w:rsid w:val="00517A3F"/>
    <w:rsid w:val="00522017"/>
    <w:rsid w:val="0052465C"/>
    <w:rsid w:val="00525726"/>
    <w:rsid w:val="005350D8"/>
    <w:rsid w:val="00544369"/>
    <w:rsid w:val="00547590"/>
    <w:rsid w:val="0055494D"/>
    <w:rsid w:val="00557A20"/>
    <w:rsid w:val="00564F88"/>
    <w:rsid w:val="00572B5C"/>
    <w:rsid w:val="00575873"/>
    <w:rsid w:val="00580B61"/>
    <w:rsid w:val="005A2376"/>
    <w:rsid w:val="005C694B"/>
    <w:rsid w:val="005F64AB"/>
    <w:rsid w:val="0062452C"/>
    <w:rsid w:val="00632C7F"/>
    <w:rsid w:val="006345DB"/>
    <w:rsid w:val="00665E8D"/>
    <w:rsid w:val="00674C45"/>
    <w:rsid w:val="00686A89"/>
    <w:rsid w:val="006C2289"/>
    <w:rsid w:val="006D1172"/>
    <w:rsid w:val="006D2F74"/>
    <w:rsid w:val="006E198F"/>
    <w:rsid w:val="0070309A"/>
    <w:rsid w:val="00713BDA"/>
    <w:rsid w:val="00714B54"/>
    <w:rsid w:val="0073270A"/>
    <w:rsid w:val="0074597B"/>
    <w:rsid w:val="00754437"/>
    <w:rsid w:val="00782E11"/>
    <w:rsid w:val="007832DD"/>
    <w:rsid w:val="00784B4E"/>
    <w:rsid w:val="00787F2E"/>
    <w:rsid w:val="00792595"/>
    <w:rsid w:val="007A3423"/>
    <w:rsid w:val="007A37FE"/>
    <w:rsid w:val="007C7506"/>
    <w:rsid w:val="007E2908"/>
    <w:rsid w:val="007E5DB8"/>
    <w:rsid w:val="007F5960"/>
    <w:rsid w:val="00812281"/>
    <w:rsid w:val="00860447"/>
    <w:rsid w:val="0086100C"/>
    <w:rsid w:val="00885DCA"/>
    <w:rsid w:val="0089661B"/>
    <w:rsid w:val="008A20C3"/>
    <w:rsid w:val="008B726C"/>
    <w:rsid w:val="008C0883"/>
    <w:rsid w:val="008E020D"/>
    <w:rsid w:val="00901C13"/>
    <w:rsid w:val="00904A5B"/>
    <w:rsid w:val="00923363"/>
    <w:rsid w:val="00937A73"/>
    <w:rsid w:val="00940F58"/>
    <w:rsid w:val="00957344"/>
    <w:rsid w:val="00972F67"/>
    <w:rsid w:val="00973CA6"/>
    <w:rsid w:val="00987B8B"/>
    <w:rsid w:val="009A2490"/>
    <w:rsid w:val="009C2CC3"/>
    <w:rsid w:val="009C3605"/>
    <w:rsid w:val="009D058F"/>
    <w:rsid w:val="009D0E5E"/>
    <w:rsid w:val="009D6E85"/>
    <w:rsid w:val="009E4355"/>
    <w:rsid w:val="009F6325"/>
    <w:rsid w:val="00A01951"/>
    <w:rsid w:val="00A51CBC"/>
    <w:rsid w:val="00A52575"/>
    <w:rsid w:val="00A66503"/>
    <w:rsid w:val="00A7057D"/>
    <w:rsid w:val="00A73573"/>
    <w:rsid w:val="00A824BE"/>
    <w:rsid w:val="00A833EC"/>
    <w:rsid w:val="00A85711"/>
    <w:rsid w:val="00A92408"/>
    <w:rsid w:val="00A95820"/>
    <w:rsid w:val="00AA091B"/>
    <w:rsid w:val="00B0444D"/>
    <w:rsid w:val="00B33626"/>
    <w:rsid w:val="00B43F7D"/>
    <w:rsid w:val="00B43FA7"/>
    <w:rsid w:val="00B765AC"/>
    <w:rsid w:val="00B85121"/>
    <w:rsid w:val="00B8779D"/>
    <w:rsid w:val="00B9246B"/>
    <w:rsid w:val="00BA5CB1"/>
    <w:rsid w:val="00BB7495"/>
    <w:rsid w:val="00BB766D"/>
    <w:rsid w:val="00BC6DD5"/>
    <w:rsid w:val="00BD1E3F"/>
    <w:rsid w:val="00BD7C9E"/>
    <w:rsid w:val="00BE21F0"/>
    <w:rsid w:val="00BF2065"/>
    <w:rsid w:val="00BF56CF"/>
    <w:rsid w:val="00C11D42"/>
    <w:rsid w:val="00C25A95"/>
    <w:rsid w:val="00C31BB3"/>
    <w:rsid w:val="00C448CB"/>
    <w:rsid w:val="00C50F0D"/>
    <w:rsid w:val="00C6264E"/>
    <w:rsid w:val="00C701C1"/>
    <w:rsid w:val="00C75FD3"/>
    <w:rsid w:val="00C819B1"/>
    <w:rsid w:val="00C85562"/>
    <w:rsid w:val="00CA6FCC"/>
    <w:rsid w:val="00CB3869"/>
    <w:rsid w:val="00CC0C2F"/>
    <w:rsid w:val="00CE5E53"/>
    <w:rsid w:val="00CF5D1D"/>
    <w:rsid w:val="00D129F8"/>
    <w:rsid w:val="00D27A48"/>
    <w:rsid w:val="00D37891"/>
    <w:rsid w:val="00D4580A"/>
    <w:rsid w:val="00D75C0B"/>
    <w:rsid w:val="00D7788F"/>
    <w:rsid w:val="00D96A82"/>
    <w:rsid w:val="00DC52FB"/>
    <w:rsid w:val="00DC53C1"/>
    <w:rsid w:val="00DE3792"/>
    <w:rsid w:val="00E04EBF"/>
    <w:rsid w:val="00E14C07"/>
    <w:rsid w:val="00E15162"/>
    <w:rsid w:val="00E17CE8"/>
    <w:rsid w:val="00E50D34"/>
    <w:rsid w:val="00E632E6"/>
    <w:rsid w:val="00E81D1F"/>
    <w:rsid w:val="00EA02A8"/>
    <w:rsid w:val="00EA3AC3"/>
    <w:rsid w:val="00EB238B"/>
    <w:rsid w:val="00EC646C"/>
    <w:rsid w:val="00ED399D"/>
    <w:rsid w:val="00EE0F47"/>
    <w:rsid w:val="00F04823"/>
    <w:rsid w:val="00F20DD4"/>
    <w:rsid w:val="00F636AD"/>
    <w:rsid w:val="00F85279"/>
    <w:rsid w:val="00F9271D"/>
    <w:rsid w:val="00F9654B"/>
    <w:rsid w:val="00FA234E"/>
    <w:rsid w:val="00FA6F00"/>
    <w:rsid w:val="00FC4F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DE72D-A97C-4922-B7B3-B1063CCC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3869"/>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gpar">
    <w:name w:val="regpar"/>
    <w:basedOn w:val="a"/>
    <w:rsid w:val="00CB3869"/>
    <w:pPr>
      <w:bidi w:val="0"/>
      <w:spacing w:line="300" w:lineRule="exact"/>
      <w:ind w:firstLine="240"/>
      <w:jc w:val="both"/>
    </w:pPr>
    <w:rPr>
      <w:rFonts w:ascii="Times" w:hAnsi="Times" w:cs="Times"/>
    </w:rPr>
  </w:style>
  <w:style w:type="paragraph" w:styleId="a3">
    <w:name w:val="List Paragraph"/>
    <w:basedOn w:val="a"/>
    <w:uiPriority w:val="34"/>
    <w:qFormat/>
    <w:rsid w:val="00544369"/>
    <w:pPr>
      <w:ind w:left="720"/>
      <w:contextualSpacing/>
    </w:pPr>
  </w:style>
  <w:style w:type="paragraph" w:styleId="a4">
    <w:name w:val="footnote text"/>
    <w:basedOn w:val="a"/>
    <w:link w:val="a5"/>
    <w:uiPriority w:val="99"/>
    <w:semiHidden/>
    <w:unhideWhenUsed/>
    <w:rsid w:val="00904A5B"/>
    <w:rPr>
      <w:sz w:val="20"/>
      <w:szCs w:val="20"/>
    </w:rPr>
  </w:style>
  <w:style w:type="character" w:customStyle="1" w:styleId="a5">
    <w:name w:val="טקסט הערת שוליים תו"/>
    <w:basedOn w:val="a0"/>
    <w:link w:val="a4"/>
    <w:uiPriority w:val="99"/>
    <w:semiHidden/>
    <w:rsid w:val="00904A5B"/>
    <w:rPr>
      <w:rFonts w:ascii="Times New Roman" w:eastAsia="Times New Roman" w:hAnsi="Times New Roman" w:cs="Times New Roman"/>
      <w:sz w:val="20"/>
      <w:szCs w:val="20"/>
    </w:rPr>
  </w:style>
  <w:style w:type="character" w:styleId="a6">
    <w:name w:val="footnote reference"/>
    <w:basedOn w:val="a0"/>
    <w:uiPriority w:val="99"/>
    <w:semiHidden/>
    <w:unhideWhenUsed/>
    <w:rsid w:val="00904A5B"/>
    <w:rPr>
      <w:vertAlign w:val="superscript"/>
    </w:rPr>
  </w:style>
  <w:style w:type="character" w:styleId="Hyperlink">
    <w:name w:val="Hyperlink"/>
    <w:basedOn w:val="a0"/>
    <w:uiPriority w:val="99"/>
    <w:unhideWhenUsed/>
    <w:rsid w:val="00904A5B"/>
    <w:rPr>
      <w:color w:val="0000FF"/>
      <w:u w:val="single"/>
    </w:rPr>
  </w:style>
  <w:style w:type="paragraph" w:styleId="a7">
    <w:name w:val="Balloon Text"/>
    <w:basedOn w:val="a"/>
    <w:link w:val="a8"/>
    <w:uiPriority w:val="99"/>
    <w:semiHidden/>
    <w:unhideWhenUsed/>
    <w:rsid w:val="00BD7C9E"/>
    <w:rPr>
      <w:rFonts w:ascii="Tahoma" w:hAnsi="Tahoma" w:cs="Tahoma"/>
      <w:sz w:val="18"/>
      <w:szCs w:val="18"/>
    </w:rPr>
  </w:style>
  <w:style w:type="character" w:customStyle="1" w:styleId="a8">
    <w:name w:val="טקסט בלונים תו"/>
    <w:basedOn w:val="a0"/>
    <w:link w:val="a7"/>
    <w:uiPriority w:val="99"/>
    <w:semiHidden/>
    <w:rsid w:val="00BD7C9E"/>
    <w:rPr>
      <w:rFonts w:ascii="Tahoma" w:eastAsia="Times New Roman" w:hAnsi="Tahoma" w:cs="Tahoma"/>
      <w:sz w:val="18"/>
      <w:szCs w:val="18"/>
    </w:rPr>
  </w:style>
  <w:style w:type="table" w:styleId="a9">
    <w:name w:val="Table Grid"/>
    <w:basedOn w:val="a1"/>
    <w:uiPriority w:val="39"/>
    <w:rsid w:val="00013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7E5DB8"/>
    <w:pPr>
      <w:tabs>
        <w:tab w:val="center" w:pos="4153"/>
        <w:tab w:val="right" w:pos="8306"/>
      </w:tabs>
    </w:pPr>
  </w:style>
  <w:style w:type="character" w:customStyle="1" w:styleId="ab">
    <w:name w:val="כותרת עליונה תו"/>
    <w:basedOn w:val="a0"/>
    <w:link w:val="aa"/>
    <w:uiPriority w:val="99"/>
    <w:rsid w:val="007E5DB8"/>
    <w:rPr>
      <w:rFonts w:ascii="Times New Roman" w:eastAsia="Times New Roman" w:hAnsi="Times New Roman" w:cs="Times New Roman"/>
      <w:sz w:val="24"/>
      <w:szCs w:val="24"/>
    </w:rPr>
  </w:style>
  <w:style w:type="paragraph" w:styleId="ac">
    <w:name w:val="footer"/>
    <w:basedOn w:val="a"/>
    <w:link w:val="ad"/>
    <w:uiPriority w:val="99"/>
    <w:unhideWhenUsed/>
    <w:rsid w:val="007E5DB8"/>
    <w:pPr>
      <w:tabs>
        <w:tab w:val="center" w:pos="4153"/>
        <w:tab w:val="right" w:pos="8306"/>
      </w:tabs>
    </w:pPr>
  </w:style>
  <w:style w:type="character" w:customStyle="1" w:styleId="ad">
    <w:name w:val="כותרת תחתונה תו"/>
    <w:basedOn w:val="a0"/>
    <w:link w:val="ac"/>
    <w:uiPriority w:val="99"/>
    <w:rsid w:val="007E5DB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apple.com/covid19/mobility" TargetMode="External"/><Relationship Id="rId2" Type="http://schemas.openxmlformats.org/officeDocument/2006/relationships/hyperlink" Target="https://www.google.com/covid19/mobility/" TargetMode="External"/><Relationship Id="rId1" Type="http://schemas.openxmlformats.org/officeDocument/2006/relationships/hyperlink" Target="https://github.com/itamarcaspi/mobility-reports-b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DE2CBB-EDE7-490B-BD72-E6277E37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2273</Words>
  <Characters>11367</Characters>
  <Application>Microsoft Office Word</Application>
  <DocSecurity>0</DocSecurity>
  <Lines>94</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איתמר כספי</cp:lastModifiedBy>
  <cp:revision>2</cp:revision>
  <dcterms:created xsi:type="dcterms:W3CDTF">2020-05-12T08:35:00Z</dcterms:created>
  <dcterms:modified xsi:type="dcterms:W3CDTF">2020-05-12T08:35:00Z</dcterms:modified>
</cp:coreProperties>
</file>