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2"/>
          <w:rtl/>
        </w:rPr>
        <w:t>דוח ביקורת כולל: שמות ומקומות, וניסוח</w:t>
      </w:r>
    </w:p>
    <w:p>
      <w:pPr>
        <w:bidi/>
        <w:jc w:val="right"/>
      </w:pPr>
      <w:r>
        <w:rPr>
          <w:b w:val="0"/>
          <w:rtl/>
        </w:rPr>
        <w:t>שני סוכנים עברו על כל הספר בקטעים של כ-20 עמודים (83 קטעים, 166 בדיקות). הסוכנים עבדו ללא חיפוש ברשת, ולכן כל הממצאים הם הצעות לא מאומתות. הממצאים המלאים נמצאים בתשעת דוחות הביניים (ביקורת-ביניים-01 עד 09), ובהם הציטוט המדויק, מספר הפסקה והצעה לכל ממצא.</w:t>
      </w:r>
    </w:p>
    <w:p>
      <w:pPr>
        <w:bidi/>
        <w:jc w:val="right"/>
      </w:pPr>
      <w:r>
        <w:rPr>
          <w:b/>
          <w:sz w:val="26"/>
          <w:rtl/>
        </w:rPr>
        <w:t>1. סיכום מספרי</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נתיב</w:t>
            </w:r>
          </w:p>
        </w:tc>
        <w:tc>
          <w:tcPr>
            <w:tcW w:type="dxa" w:w="1440"/>
          </w:tcPr>
          <w:p>
            <w:pPr>
              <w:bidi/>
              <w:jc w:val="right"/>
            </w:pPr>
            <w:r/>
            <w:r>
              <w:rPr>
                <w:b/>
              </w:rPr>
              <w:t>ממצאים</w:t>
            </w:r>
          </w:p>
        </w:tc>
        <w:tc>
          <w:tcPr>
            <w:tcW w:type="dxa" w:w="1440"/>
          </w:tcPr>
          <w:p>
            <w:pPr>
              <w:bidi/>
              <w:jc w:val="right"/>
            </w:pPr>
            <w:r/>
            <w:r>
              <w:rPr>
                <w:b/>
              </w:rPr>
              <w:t>חובה</w:t>
            </w:r>
          </w:p>
        </w:tc>
        <w:tc>
          <w:tcPr>
            <w:tcW w:type="dxa" w:w="1440"/>
          </w:tcPr>
          <w:p>
            <w:pPr>
              <w:bidi/>
              <w:jc w:val="right"/>
            </w:pPr>
            <w:r/>
            <w:r>
              <w:rPr>
                <w:b/>
              </w:rPr>
              <w:t>כדאי</w:t>
            </w:r>
          </w:p>
        </w:tc>
        <w:tc>
          <w:tcPr>
            <w:tcW w:type="dxa" w:w="1440"/>
          </w:tcPr>
          <w:p>
            <w:pPr>
              <w:bidi/>
              <w:jc w:val="right"/>
            </w:pPr>
            <w:r/>
            <w:r>
              <w:rPr>
                <w:b/>
              </w:rPr>
              <w:t>אופציונלי</w:t>
            </w:r>
          </w:p>
        </w:tc>
        <w:tc>
          <w:tcPr>
            <w:tcW w:type="dxa" w:w="1440"/>
          </w:tcPr>
          <w:p>
            <w:pPr>
              <w:bidi/>
              <w:jc w:val="right"/>
            </w:pPr>
            <w:r/>
            <w:r>
              <w:rPr>
                <w:b/>
              </w:rPr>
              <w:t>ודאות גבוהה</w:t>
            </w:r>
          </w:p>
        </w:tc>
      </w:tr>
      <w:tr>
        <w:tc>
          <w:tcPr>
            <w:tcW w:type="dxa" w:w="1440"/>
          </w:tcPr>
          <w:p>
            <w:pPr>
              <w:bidi/>
              <w:jc w:val="right"/>
            </w:pPr>
            <w:r/>
            <w:r>
              <w:t>שמות ומקומות</w:t>
            </w:r>
          </w:p>
        </w:tc>
        <w:tc>
          <w:tcPr>
            <w:tcW w:type="dxa" w:w="1440"/>
          </w:tcPr>
          <w:p>
            <w:pPr>
              <w:bidi/>
              <w:jc w:val="right"/>
            </w:pPr>
            <w:r/>
            <w:r>
              <w:t>383</w:t>
            </w:r>
          </w:p>
        </w:tc>
        <w:tc>
          <w:tcPr>
            <w:tcW w:type="dxa" w:w="1440"/>
          </w:tcPr>
          <w:p>
            <w:pPr>
              <w:bidi/>
              <w:jc w:val="right"/>
            </w:pPr>
            <w:r/>
            <w:r>
              <w:t>21</w:t>
            </w:r>
          </w:p>
        </w:tc>
        <w:tc>
          <w:tcPr>
            <w:tcW w:type="dxa" w:w="1440"/>
          </w:tcPr>
          <w:p>
            <w:pPr>
              <w:bidi/>
              <w:jc w:val="right"/>
            </w:pPr>
            <w:r/>
            <w:r>
              <w:t>141</w:t>
            </w:r>
          </w:p>
        </w:tc>
        <w:tc>
          <w:tcPr>
            <w:tcW w:type="dxa" w:w="1440"/>
          </w:tcPr>
          <w:p>
            <w:pPr>
              <w:bidi/>
              <w:jc w:val="right"/>
            </w:pPr>
            <w:r/>
            <w:r>
              <w:t>221</w:t>
            </w:r>
          </w:p>
        </w:tc>
        <w:tc>
          <w:tcPr>
            <w:tcW w:type="dxa" w:w="1440"/>
          </w:tcPr>
          <w:p>
            <w:pPr>
              <w:bidi/>
              <w:jc w:val="right"/>
            </w:pPr>
            <w:r/>
            <w:r>
              <w:t>52</w:t>
            </w:r>
          </w:p>
        </w:tc>
      </w:tr>
      <w:tr>
        <w:tc>
          <w:tcPr>
            <w:tcW w:type="dxa" w:w="1440"/>
          </w:tcPr>
          <w:p>
            <w:pPr>
              <w:bidi/>
              <w:jc w:val="right"/>
            </w:pPr>
            <w:r/>
            <w:r>
              <w:t>ניסוח</w:t>
            </w:r>
          </w:p>
        </w:tc>
        <w:tc>
          <w:tcPr>
            <w:tcW w:type="dxa" w:w="1440"/>
          </w:tcPr>
          <w:p>
            <w:pPr>
              <w:bidi/>
              <w:jc w:val="right"/>
            </w:pPr>
            <w:r/>
            <w:r>
              <w:t>1740</w:t>
            </w:r>
          </w:p>
        </w:tc>
        <w:tc>
          <w:tcPr>
            <w:tcW w:type="dxa" w:w="1440"/>
          </w:tcPr>
          <w:p>
            <w:pPr>
              <w:bidi/>
              <w:jc w:val="right"/>
            </w:pPr>
            <w:r/>
            <w:r>
              <w:t>47</w:t>
            </w:r>
          </w:p>
        </w:tc>
        <w:tc>
          <w:tcPr>
            <w:tcW w:type="dxa" w:w="1440"/>
          </w:tcPr>
          <w:p>
            <w:pPr>
              <w:bidi/>
              <w:jc w:val="right"/>
            </w:pPr>
            <w:r/>
            <w:r>
              <w:t>1137</w:t>
            </w:r>
          </w:p>
        </w:tc>
        <w:tc>
          <w:tcPr>
            <w:tcW w:type="dxa" w:w="1440"/>
          </w:tcPr>
          <w:p>
            <w:pPr>
              <w:bidi/>
              <w:jc w:val="right"/>
            </w:pPr>
            <w:r/>
            <w:r>
              <w:t>556</w:t>
            </w:r>
          </w:p>
        </w:tc>
        <w:tc>
          <w:tcPr>
            <w:tcW w:type="dxa" w:w="1440"/>
          </w:tcPr>
          <w:p>
            <w:pPr>
              <w:bidi/>
              <w:jc w:val="right"/>
            </w:pPr>
            <w:r/>
            <w:r>
              <w:t>239</w:t>
            </w:r>
          </w:p>
        </w:tc>
      </w:tr>
    </w:tbl>
    <w:p>
      <w:pPr>
        <w:bidi/>
        <w:jc w:val="right"/>
      </w:pPr>
      <w:r>
        <w:rPr>
          <w:b w:val="0"/>
          <w:rtl/>
        </w:rPr>
        <w:t>דפוסים בולטים בניסוח: משפטים כבדים או מקוננים (כ-700 ממצאים), "תרגמת" מפורשת (137), סדר מילים אנגלי (78), מבנה סביל מיותר (58), כינוי שייכות מיותר (31), אי־התאמה דקדוקית (20). הבעיות מרוכזות בהערות השוליים הארוכות ובתיאורי רקע היסטוריים עם מוסגרים בין מקפים. הטקסט הרציף קריא בדרך כלל.</w:t>
      </w:r>
    </w:p>
    <w:p>
      <w:pPr>
        <w:bidi/>
        <w:jc w:val="right"/>
      </w:pPr>
      <w:r>
        <w:rPr>
          <w:b/>
          <w:sz w:val="26"/>
          <w:rtl/>
        </w:rPr>
        <w:t>2. בדיקת הסוכנים מול הרשת (ויקיפדיה וויקישיבה)</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
              <w:rPr>
                <w:b/>
              </w:rPr>
              <w:t>הצעת הסוכן</w:t>
            </w:r>
          </w:p>
        </w:tc>
        <w:tc>
          <w:tcPr>
            <w:tcW w:type="dxa" w:w="4320"/>
          </w:tcPr>
          <w:p>
            <w:pPr>
              <w:bidi/>
              <w:jc w:val="right"/>
            </w:pPr>
            <w:r/>
            <w:r>
              <w:rPr>
                <w:b/>
              </w:rPr>
              <w:t>תוצאה</w:t>
            </w:r>
          </w:p>
        </w:tc>
      </w:tr>
      <w:tr>
        <w:tc>
          <w:tcPr>
            <w:tcW w:type="dxa" w:w="4320"/>
          </w:tcPr>
          <w:p>
            <w:pPr>
              <w:bidi/>
              <w:jc w:val="right"/>
            </w:pPr>
            <w:r/>
            <w:r>
              <w:t>פוליצ׳ק ← פולצ׳ק</w:t>
            </w:r>
          </w:p>
        </w:tc>
        <w:tc>
          <w:tcPr>
            <w:tcW w:type="dxa" w:w="4320"/>
          </w:tcPr>
          <w:p>
            <w:pPr>
              <w:bidi/>
              <w:jc w:val="right"/>
            </w:pPr>
            <w:r/>
            <w:r>
              <w:t>שגוי. ויקיפדיה כותבת "שלמה פוליצ׳ק". הכתיב בספר תקין, ואין לשנות.</w:t>
            </w:r>
          </w:p>
        </w:tc>
      </w:tr>
      <w:tr>
        <w:tc>
          <w:tcPr>
            <w:tcW w:type="dxa" w:w="4320"/>
          </w:tcPr>
          <w:p>
            <w:pPr>
              <w:bidi/>
              <w:jc w:val="right"/>
            </w:pPr>
            <w:r/>
            <w:r>
              <w:t>שופרן ← שופרון</w:t>
            </w:r>
          </w:p>
        </w:tc>
        <w:tc>
          <w:tcPr>
            <w:tcW w:type="dxa" w:w="4320"/>
          </w:tcPr>
          <w:p>
            <w:pPr>
              <w:bidi/>
              <w:jc w:val="right"/>
            </w:pPr>
            <w:r/>
            <w:r>
              <w:t>נכון. ויקיפדיה: "שופרון".</w:t>
            </w:r>
          </w:p>
        </w:tc>
      </w:tr>
      <w:tr>
        <w:tc>
          <w:tcPr>
            <w:tcW w:type="dxa" w:w="4320"/>
          </w:tcPr>
          <w:p>
            <w:pPr>
              <w:bidi/>
              <w:jc w:val="right"/>
            </w:pPr>
            <w:r/>
            <w:r>
              <w:t>סמיאטיץ ← סמיאטיץ׳</w:t>
            </w:r>
          </w:p>
        </w:tc>
        <w:tc>
          <w:tcPr>
            <w:tcW w:type="dxa" w:w="4320"/>
          </w:tcPr>
          <w:p>
            <w:pPr>
              <w:bidi/>
              <w:jc w:val="right"/>
            </w:pPr>
            <w:r/>
            <w:r>
              <w:t>נכון. ויקיפדיה: "סמיאטיץ׳" (עם גרש).</w:t>
            </w:r>
          </w:p>
        </w:tc>
      </w:tr>
      <w:tr>
        <w:tc>
          <w:tcPr>
            <w:tcW w:type="dxa" w:w="4320"/>
          </w:tcPr>
          <w:p>
            <w:pPr>
              <w:bidi/>
              <w:jc w:val="right"/>
            </w:pPr>
            <w:r/>
            <w:r>
              <w:t>אליאסברג ← אליאשברג</w:t>
            </w:r>
          </w:p>
        </w:tc>
        <w:tc>
          <w:tcPr>
            <w:tcW w:type="dxa" w:w="4320"/>
          </w:tcPr>
          <w:p>
            <w:pPr>
              <w:bidi/>
              <w:jc w:val="right"/>
            </w:pPr>
            <w:r/>
            <w:r>
              <w:t>נכון. ויקיפדיה: "מרדכי אליאשברג". נשארו מופעים בכתיב "אליאסברג" (עם א׳ בתחילה) ו"עליאסברג" בכותר מצוטט.</w:t>
            </w:r>
          </w:p>
        </w:tc>
      </w:tr>
      <w:tr>
        <w:tc>
          <w:tcPr>
            <w:tcW w:type="dxa" w:w="4320"/>
          </w:tcPr>
          <w:p>
            <w:pPr>
              <w:bidi/>
              <w:jc w:val="right"/>
            </w:pPr>
            <w:r/>
            <w:r>
              <w:t>מוהילבר ← מוהליבר</w:t>
            </w:r>
          </w:p>
        </w:tc>
        <w:tc>
          <w:tcPr>
            <w:tcW w:type="dxa" w:w="4320"/>
          </w:tcPr>
          <w:p>
            <w:pPr>
              <w:bidi/>
              <w:jc w:val="right"/>
            </w:pPr>
            <w:r/>
            <w:r>
              <w:t>נכון. ויקיפדיה: "שמואל מוהליבר".</w:t>
            </w:r>
          </w:p>
        </w:tc>
      </w:tr>
      <w:tr>
        <w:tc>
          <w:tcPr>
            <w:tcW w:type="dxa" w:w="4320"/>
          </w:tcPr>
          <w:p>
            <w:pPr>
              <w:bidi/>
              <w:jc w:val="right"/>
            </w:pPr>
            <w:r/>
            <w:r>
              <w:t>אלקסוט ← אלכסוט (18 מופעים)</w:t>
            </w:r>
          </w:p>
        </w:tc>
        <w:tc>
          <w:tcPr>
            <w:tcW w:type="dxa" w:w="4320"/>
          </w:tcPr>
          <w:p>
            <w:pPr>
              <w:bidi/>
              <w:jc w:val="right"/>
            </w:pPr>
            <w:r/>
            <w:r>
              <w:t>לא אומת. אין מקור לצורה "אלכסוט"; ויקיפדיה מקשרת ל"אלקסוטס". להשאיר.</w:t>
            </w:r>
          </w:p>
        </w:tc>
      </w:tr>
      <w:tr>
        <w:tc>
          <w:tcPr>
            <w:tcW w:type="dxa" w:w="4320"/>
          </w:tcPr>
          <w:p>
            <w:pPr>
              <w:bidi/>
              <w:jc w:val="right"/>
            </w:pPr>
            <w:r/>
            <w:r>
              <w:t>פרוז׳ני ← פרוז׳אנה</w:t>
            </w:r>
          </w:p>
        </w:tc>
        <w:tc>
          <w:tcPr>
            <w:tcW w:type="dxa" w:w="4320"/>
          </w:tcPr>
          <w:p>
            <w:pPr>
              <w:bidi/>
              <w:jc w:val="right"/>
            </w:pPr>
            <w:r/>
            <w:r>
              <w:t>לא אומת.</w:t>
            </w:r>
          </w:p>
        </w:tc>
      </w:tr>
      <w:tr>
        <w:tc>
          <w:tcPr>
            <w:tcW w:type="dxa" w:w="4320"/>
          </w:tcPr>
          <w:p>
            <w:pPr>
              <w:bidi/>
              <w:jc w:val="right"/>
            </w:pPr>
            <w:r/>
            <w:r>
              <w:t>פוסבולר ← פוסוולר</w:t>
            </w:r>
          </w:p>
        </w:tc>
        <w:tc>
          <w:tcPr>
            <w:tcW w:type="dxa" w:w="4320"/>
          </w:tcPr>
          <w:p>
            <w:pPr>
              <w:bidi/>
              <w:jc w:val="right"/>
            </w:pPr>
            <w:r/>
            <w:r>
              <w:t>לא אומת ברשת (Jewish Encyclopedia: Posveller). כדאי לאחד, והכיוון פתוח.</w:t>
            </w:r>
          </w:p>
        </w:tc>
      </w:tr>
    </w:tbl>
    <w:p>
      <w:pPr>
        <w:bidi/>
        <w:jc w:val="right"/>
      </w:pPr>
      <w:r>
        <w:rPr>
          <w:b/>
          <w:sz w:val="26"/>
          <w:rtl/>
        </w:rPr>
        <w:t>3. תיקונים שאני ממליץ ליישם (אחרי אישור שלך)</w:t>
      </w:r>
    </w:p>
    <w:p>
      <w:pPr>
        <w:bidi/>
        <w:jc w:val="right"/>
      </w:pPr>
      <w:r>
        <w:rPr>
          <w:b w:val="0"/>
          <w:rtl/>
        </w:rPr>
        <w:t>עקביים ובטוחים יחסית, וברובם אפשר לבצע החלפה גורפת:</w:t>
      </w:r>
    </w:p>
    <w:p>
      <w:pPr>
        <w:bidi/>
        <w:jc w:val="right"/>
      </w:pPr>
      <w:r>
        <w:rPr>
          <w:b w:val="0"/>
          <w:rtl/>
        </w:rPr>
        <w:t>• ר׳ יוסף דב ← ר׳ יוסף־דב (97 מופעים), ו"יוסף־דוב" ← "יוסף־דב" (90). הספר כותב שמות כפולים עם מקף (ברוך־בער, יצחק־אלחנן), ויש בו בלבול בין דב ודוב. בוויקיפדיה: "יוסף דב הלוי סולובייצ׳יק".</w:t>
      </w:r>
    </w:p>
    <w:p>
      <w:pPr>
        <w:bidi/>
        <w:jc w:val="right"/>
      </w:pPr>
      <w:r>
        <w:rPr>
          <w:b w:val="0"/>
          <w:rtl/>
        </w:rPr>
        <w:t>• ר׳ יצחק זאב ← ר׳ יצחק־זאב (107 מופעים; 7 כבר כך).</w:t>
      </w:r>
    </w:p>
    <w:p>
      <w:pPr>
        <w:bidi/>
        <w:jc w:val="right"/>
      </w:pPr>
      <w:r>
        <w:rPr>
          <w:b w:val="0"/>
          <w:rtl/>
        </w:rPr>
        <w:t>• ווילנאי/הווילנאי ← וילנאי/הוילנאי (12), בהתאם להחלפה הקודמת.</w:t>
      </w:r>
    </w:p>
    <w:p>
      <w:pPr>
        <w:bidi/>
        <w:jc w:val="right"/>
      </w:pPr>
      <w:r>
        <w:rPr>
          <w:b w:val="0"/>
          <w:rtl/>
        </w:rPr>
        <w:t>• ניו יארק/ניו־יארק/נוא יארק ← ניו יורק (15). אל תיגע במה שמודפס כך בכותר מצוטט.</w:t>
      </w:r>
    </w:p>
    <w:p>
      <w:pPr>
        <w:bidi/>
        <w:jc w:val="right"/>
      </w:pPr>
      <w:r>
        <w:rPr>
          <w:b w:val="0"/>
          <w:rtl/>
        </w:rPr>
        <w:t>• ר’ ← ר׳ (18) וה‘ת ← ה׳ת (7): גרש לטיני או גרש יחיד פותח במקום גרש עברי.</w:t>
      </w:r>
    </w:p>
    <w:p>
      <w:pPr>
        <w:bidi/>
        <w:jc w:val="right"/>
      </w:pPr>
      <w:r>
        <w:rPr>
          <w:b w:val="0"/>
          <w:rtl/>
        </w:rPr>
        <w:t>• שופרן ← שופרון, סמיאטיץ ← סמיאטיץ׳, מוהילבר ← מוהליבר, מלר ← מילר, חולירע ← כולרה, שנגחאי ← שנחאי, יוהניסבורג ← יוהנסבורג, וובסטר/וייטצ׳פל: תיקוני כתיב נקודתיים.</w:t>
      </w:r>
    </w:p>
    <w:p>
      <w:pPr>
        <w:bidi/>
        <w:jc w:val="right"/>
      </w:pPr>
      <w:r>
        <w:rPr>
          <w:b w:val="0"/>
          <w:rtl/>
        </w:rPr>
        <w:t>• אחידות פנימית: פופאטוב ← פוטאפוב (כמו בהערה 4810), בוגודורסק ← בוגורודסק (כמו בציטוט בפסקה 2024), מורהפטיג ← מוורהפטיג, ויינברג/וינברג בכותר מצוטט נשאר.</w:t>
      </w:r>
    </w:p>
    <w:p>
      <w:pPr>
        <w:bidi/>
        <w:jc w:val="right"/>
      </w:pPr>
      <w:r>
        <w:rPr>
          <w:b w:val="0"/>
          <w:rtl/>
        </w:rPr>
        <w:t>• הערה: כל ההחלפות הגורפות אינן נוגעות בציטוטים ובכותרים של ספרים, ואותם בודק אדם.</w:t>
      </w:r>
    </w:p>
    <w:p>
      <w:pPr>
        <w:bidi/>
        <w:jc w:val="right"/>
      </w:pPr>
      <w:r>
        <w:rPr>
          <w:b/>
          <w:sz w:val="26"/>
          <w:rtl/>
        </w:rPr>
        <w:t>4. נושאים שדורשים הכרעה שלך</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
              <w:rPr>
                <w:b/>
              </w:rPr>
              <w:t>נושא</w:t>
            </w:r>
          </w:p>
        </w:tc>
        <w:tc>
          <w:tcPr>
            <w:tcW w:type="dxa" w:w="2880"/>
          </w:tcPr>
          <w:p>
            <w:pPr>
              <w:bidi/>
              <w:jc w:val="right"/>
            </w:pPr>
            <w:r/>
            <w:r>
              <w:rPr>
                <w:b/>
              </w:rPr>
              <w:t>מופעים</w:t>
            </w:r>
          </w:p>
        </w:tc>
        <w:tc>
          <w:tcPr>
            <w:tcW w:type="dxa" w:w="2880"/>
          </w:tcPr>
          <w:p>
            <w:pPr>
              <w:bidi/>
              <w:jc w:val="right"/>
            </w:pPr>
            <w:r/>
            <w:r>
              <w:rPr>
                <w:b/>
              </w:rPr>
              <w:t>הערה</w:t>
            </w:r>
          </w:p>
        </w:tc>
      </w:tr>
      <w:tr>
        <w:tc>
          <w:tcPr>
            <w:tcW w:type="dxa" w:w="2880"/>
          </w:tcPr>
          <w:p>
            <w:pPr>
              <w:bidi/>
              <w:jc w:val="right"/>
            </w:pPr>
            <w:r/>
            <w:r>
              <w:t>קמינצקי או קמנצקי</w:t>
            </w:r>
          </w:p>
        </w:tc>
        <w:tc>
          <w:tcPr>
            <w:tcW w:type="dxa" w:w="2880"/>
          </w:tcPr>
          <w:p>
            <w:pPr>
              <w:bidi/>
              <w:jc w:val="right"/>
            </w:pPr>
            <w:r/>
            <w:r>
              <w:t>85 קמינצקי, אפס קמנצקי</w:t>
            </w:r>
          </w:p>
        </w:tc>
        <w:tc>
          <w:tcPr>
            <w:tcW w:type="dxa" w:w="2880"/>
          </w:tcPr>
          <w:p>
            <w:pPr>
              <w:bidi/>
              <w:jc w:val="right"/>
            </w:pPr>
            <w:r/>
            <w:r>
              <w:t>כתיב המשפחה של המחבר (על השער: נתן קמינצקי). בוויקיפדיה ובספרות הישיבות הגיבור הוא "יעקב קמנצקי". הסוכנים הציעו קמנצקי כמעט בכל קטע. זו בחירה של המשפחה, ולכן אל תשנה בלי החלטה.</w:t>
            </w:r>
          </w:p>
        </w:tc>
      </w:tr>
      <w:tr>
        <w:tc>
          <w:tcPr>
            <w:tcW w:type="dxa" w:w="2880"/>
          </w:tcPr>
          <w:p>
            <w:pPr>
              <w:bidi/>
              <w:jc w:val="right"/>
            </w:pPr>
            <w:r/>
            <w:r>
              <w:t>שנות הת״ר־X׳ מול התר״X</w:t>
            </w:r>
          </w:p>
        </w:tc>
        <w:tc>
          <w:tcPr>
            <w:tcW w:type="dxa" w:w="2880"/>
          </w:tcPr>
          <w:p>
            <w:pPr>
              <w:bidi/>
              <w:jc w:val="right"/>
            </w:pPr>
            <w:r/>
            <w:r>
              <w:t>60 מול 22</w:t>
            </w:r>
          </w:p>
        </w:tc>
        <w:tc>
          <w:tcPr>
            <w:tcW w:type="dxa" w:w="2880"/>
          </w:tcPr>
          <w:p>
            <w:pPr>
              <w:bidi/>
              <w:jc w:val="right"/>
            </w:pPr>
            <w:r/>
            <w:r>
              <w:t>שני כתיבים לעשורים עבריים. מומלץ לאחד לצורה "התר״נ" (22 מופעים כבר כך).</w:t>
            </w:r>
          </w:p>
        </w:tc>
      </w:tr>
      <w:tr>
        <w:tc>
          <w:tcPr>
            <w:tcW w:type="dxa" w:w="2880"/>
          </w:tcPr>
          <w:p>
            <w:pPr>
              <w:bidi/>
              <w:jc w:val="right"/>
            </w:pPr>
            <w:r/>
            <w:r>
              <w:t>קרלינסקי או קארלינסקי</w:t>
            </w:r>
          </w:p>
        </w:tc>
        <w:tc>
          <w:tcPr>
            <w:tcW w:type="dxa" w:w="2880"/>
          </w:tcPr>
          <w:p>
            <w:pPr>
              <w:bidi/>
              <w:jc w:val="right"/>
            </w:pPr>
            <w:r/>
            <w:r>
              <w:t>26 מול 2</w:t>
            </w:r>
          </w:p>
        </w:tc>
        <w:tc>
          <w:tcPr>
            <w:tcW w:type="dxa" w:w="2880"/>
          </w:tcPr>
          <w:p>
            <w:pPr>
              <w:bidi/>
              <w:jc w:val="right"/>
            </w:pPr>
            <w:r/>
            <w:r>
              <w:t>מומלץ קרלינסקי.</w:t>
            </w:r>
          </w:p>
        </w:tc>
      </w:tr>
      <w:tr>
        <w:tc>
          <w:tcPr>
            <w:tcW w:type="dxa" w:w="2880"/>
          </w:tcPr>
          <w:p>
            <w:pPr>
              <w:bidi/>
              <w:jc w:val="right"/>
            </w:pPr>
            <w:r/>
            <w:r>
              <w:t>אלקסוט או אלכסוט</w:t>
            </w:r>
          </w:p>
        </w:tc>
        <w:tc>
          <w:tcPr>
            <w:tcW w:type="dxa" w:w="2880"/>
          </w:tcPr>
          <w:p>
            <w:pPr>
              <w:bidi/>
              <w:jc w:val="right"/>
            </w:pPr>
            <w:r/>
            <w:r>
              <w:t>18</w:t>
            </w:r>
          </w:p>
        </w:tc>
        <w:tc>
          <w:tcPr>
            <w:tcW w:type="dxa" w:w="2880"/>
          </w:tcPr>
          <w:p>
            <w:pPr>
              <w:bidi/>
              <w:jc w:val="right"/>
            </w:pPr>
            <w:r/>
            <w:r>
              <w:t>לא אומת; להשאיר אלא אם יש מקור.</w:t>
            </w:r>
          </w:p>
        </w:tc>
      </w:tr>
      <w:tr>
        <w:tc>
          <w:tcPr>
            <w:tcW w:type="dxa" w:w="2880"/>
          </w:tcPr>
          <w:p>
            <w:pPr>
              <w:bidi/>
              <w:jc w:val="right"/>
            </w:pPr>
            <w:r/>
            <w:r>
              <w:t>שומרים או אשמת שומרון (מאפו)</w:t>
            </w:r>
          </w:p>
        </w:tc>
        <w:tc>
          <w:tcPr>
            <w:tcW w:type="dxa" w:w="2880"/>
          </w:tcPr>
          <w:p>
            <w:pPr>
              <w:bidi/>
              <w:jc w:val="right"/>
            </w:pPr>
            <w:r/>
            <w:r>
              <w:t>2</w:t>
            </w:r>
          </w:p>
        </w:tc>
        <w:tc>
          <w:tcPr>
            <w:tcW w:type="dxa" w:w="2880"/>
          </w:tcPr>
          <w:p>
            <w:pPr>
              <w:bidi/>
              <w:jc w:val="right"/>
            </w:pPr>
            <w:r/>
            <w:r>
              <w:t>שגיאת מקור אפשרית. נדרשת הערת מתרגם, כבר בדוח האימות.</w:t>
            </w:r>
          </w:p>
        </w:tc>
      </w:tr>
    </w:tbl>
    <w:p>
      <w:pPr>
        <w:bidi/>
        <w:jc w:val="right"/>
      </w:pPr>
      <w:r>
        <w:rPr>
          <w:b/>
          <w:sz w:val="26"/>
          <w:rtl/>
        </w:rPr>
        <w:t>5. ממצאי "חובה" בשמות (21)</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jc w:val="right"/>
            </w:pPr>
            <w:r/>
            <w:r>
              <w:rPr>
                <w:b/>
              </w:rPr>
              <w:t>¶</w:t>
            </w:r>
          </w:p>
        </w:tc>
        <w:tc>
          <w:tcPr>
            <w:tcW w:type="dxa" w:w="2160"/>
          </w:tcPr>
          <w:p>
            <w:pPr>
              <w:bidi/>
              <w:jc w:val="right"/>
            </w:pPr>
            <w:r/>
            <w:r>
              <w:rPr>
                <w:b/>
              </w:rPr>
              <w:t>בספר</w:t>
            </w:r>
          </w:p>
        </w:tc>
        <w:tc>
          <w:tcPr>
            <w:tcW w:type="dxa" w:w="2160"/>
          </w:tcPr>
          <w:p>
            <w:pPr>
              <w:bidi/>
              <w:jc w:val="right"/>
            </w:pPr>
            <w:r/>
            <w:r>
              <w:rPr>
                <w:b/>
              </w:rPr>
              <w:t>הבעיה</w:t>
            </w:r>
          </w:p>
        </w:tc>
        <w:tc>
          <w:tcPr>
            <w:tcW w:type="dxa" w:w="2160"/>
          </w:tcPr>
          <w:p>
            <w:pPr>
              <w:bidi/>
              <w:jc w:val="right"/>
            </w:pPr>
            <w:r/>
            <w:r>
              <w:rPr>
                <w:b/>
              </w:rPr>
              <w:t>הצעה</w:t>
            </w:r>
          </w:p>
        </w:tc>
      </w:tr>
      <w:tr>
        <w:tc>
          <w:tcPr>
            <w:tcW w:type="dxa" w:w="2160"/>
          </w:tcPr>
          <w:p>
            <w:pPr>
              <w:bidi/>
              <w:jc w:val="right"/>
            </w:pPr>
            <w:r/>
            <w:r>
              <w:t>137</w:t>
            </w:r>
          </w:p>
        </w:tc>
        <w:tc>
          <w:tcPr>
            <w:tcW w:type="dxa" w:w="2160"/>
          </w:tcPr>
          <w:p>
            <w:pPr>
              <w:bidi/>
              <w:jc w:val="right"/>
            </w:pPr>
            <w:r/>
            <w:r>
              <w:t>ר׳ מרדכי אליאסברג, שלמד אז בוולוז׳ין כנשוי טרי בן ארבע־עשרה.</w:t>
            </w:r>
          </w:p>
        </w:tc>
        <w:tc>
          <w:tcPr>
            <w:tcW w:type="dxa" w:w="2160"/>
          </w:tcPr>
          <w:p>
            <w:pPr>
              <w:bidi/>
              <w:jc w:val="right"/>
            </w:pPr>
            <w:r/>
            <w:r>
              <w:t>כתיב שם המשפחה אינו תואם את ההכרעה (אליאשברג); מופיע פעמיים בהערות 6 ו-7</w:t>
            </w:r>
          </w:p>
        </w:tc>
        <w:tc>
          <w:tcPr>
            <w:tcW w:type="dxa" w:w="2160"/>
          </w:tcPr>
          <w:p>
            <w:pPr>
              <w:bidi/>
              <w:jc w:val="right"/>
            </w:pPr>
            <w:r/>
            <w:r>
              <w:t>ר׳ מרדכי אליאשברג (וכן בהערה 7: ר׳ יהונתן אליאשברג; כותר הספר המצוטט “עליאסבערג” נשאר כפי שהוא)</w:t>
            </w:r>
          </w:p>
        </w:tc>
      </w:tr>
      <w:tr>
        <w:tc>
          <w:tcPr>
            <w:tcW w:type="dxa" w:w="2160"/>
          </w:tcPr>
          <w:p>
            <w:pPr>
              <w:bidi/>
              <w:jc w:val="right"/>
            </w:pPr>
            <w:r/>
            <w:r>
              <w:t>713</w:t>
            </w:r>
          </w:p>
        </w:tc>
        <w:tc>
          <w:tcPr>
            <w:tcW w:type="dxa" w:w="2160"/>
          </w:tcPr>
          <w:p>
            <w:pPr>
              <w:bidi/>
              <w:jc w:val="right"/>
            </w:pPr>
            <w:r/>
            <w:r>
              <w:t>ר׳ שמואל־הירש – או שמידט – הוורשה להשאיר בידו חלק קטן מן האחוזה</w:t>
            </w:r>
          </w:p>
        </w:tc>
        <w:tc>
          <w:tcPr>
            <w:tcW w:type="dxa" w:w="2160"/>
          </w:tcPr>
          <w:p>
            <w:pPr>
              <w:bidi/>
              <w:jc w:val="right"/>
            </w:pPr>
            <w:r/>
            <w:r>
              <w:t>שגיאת הקלדה: ״הוורשה״ במקום ״הורשה״ (נתאפשר לו). עלולה להתבלבל עם ״ורשה״.</w:t>
            </w:r>
          </w:p>
        </w:tc>
        <w:tc>
          <w:tcPr>
            <w:tcW w:type="dxa" w:w="2160"/>
          </w:tcPr>
          <w:p>
            <w:pPr>
              <w:bidi/>
              <w:jc w:val="right"/>
            </w:pPr>
            <w:r/>
            <w:r>
              <w:t>הורשה להשאיר בידו חלק קטן מן האחוזה</w:t>
            </w:r>
          </w:p>
        </w:tc>
      </w:tr>
      <w:tr>
        <w:tc>
          <w:tcPr>
            <w:tcW w:type="dxa" w:w="2160"/>
          </w:tcPr>
          <w:p>
            <w:pPr>
              <w:bidi/>
              <w:jc w:val="right"/>
            </w:pPr>
            <w:r/>
            <w:r>
              <w:t>966</w:t>
            </w:r>
          </w:p>
        </w:tc>
        <w:tc>
          <w:tcPr>
            <w:tcW w:type="dxa" w:w="2160"/>
          </w:tcPr>
          <w:p>
            <w:pPr>
              <w:bidi/>
              <w:jc w:val="right"/>
            </w:pPr>
            <w:r/>
            <w:r>
              <w:t>ב. ולאדק מניו יורק</w:t>
            </w:r>
          </w:p>
        </w:tc>
        <w:tc>
          <w:tcPr>
            <w:tcW w:type="dxa" w:w="2160"/>
          </w:tcPr>
          <w:p>
            <w:pPr>
              <w:bidi/>
              <w:jc w:val="right"/>
            </w:pPr>
            <w:r/>
            <w:r>
              <w:t>שם הסופר Vladeck מופיע בשלושה כתיבים בפסקאות סמוכות (ולאדק / וולאדק); חוסר אחידות. הכתיב המקובל: ולדק</w:t>
            </w:r>
          </w:p>
        </w:tc>
        <w:tc>
          <w:tcPr>
            <w:tcW w:type="dxa" w:w="2160"/>
          </w:tcPr>
          <w:p>
            <w:pPr>
              <w:bidi/>
              <w:jc w:val="right"/>
            </w:pPr>
            <w:r/>
            <w:r>
              <w:t>לאחד בכל המקומות (¶966 ו־¶967) לכתיב אחד, רצוי 'ולדק' (או 'ולאדק' בעקביות)</w:t>
            </w:r>
          </w:p>
        </w:tc>
      </w:tr>
      <w:tr>
        <w:tc>
          <w:tcPr>
            <w:tcW w:type="dxa" w:w="2160"/>
          </w:tcPr>
          <w:p>
            <w:pPr>
              <w:bidi/>
              <w:jc w:val="right"/>
            </w:pPr>
            <w:r/>
            <w:r>
              <w:t>966</w:t>
            </w:r>
          </w:p>
        </w:tc>
        <w:tc>
          <w:tcPr>
            <w:tcW w:type="dxa" w:w="2160"/>
          </w:tcPr>
          <w:p>
            <w:pPr>
              <w:bidi/>
              <w:jc w:val="right"/>
            </w:pPr>
            <w:r/>
            <w:r>
              <w:t>ביקרו זכאי וולאדק אצל ראש ישיבתם</w:t>
            </w:r>
          </w:p>
        </w:tc>
        <w:tc>
          <w:tcPr>
            <w:tcW w:type="dxa" w:w="2160"/>
          </w:tcPr>
          <w:p>
            <w:pPr>
              <w:bidi/>
              <w:jc w:val="right"/>
            </w:pPr>
            <w:r/>
            <w:r>
              <w:t>כתיב 'וולאדק' שונה מ'ולאדק' באותה פסקה</w:t>
            </w:r>
          </w:p>
        </w:tc>
        <w:tc>
          <w:tcPr>
            <w:tcW w:type="dxa" w:w="2160"/>
          </w:tcPr>
          <w:p>
            <w:pPr>
              <w:bidi/>
              <w:jc w:val="right"/>
            </w:pPr>
            <w:r/>
            <w:r>
              <w:t>ביקרו זכאי וולדק (ובהתאם ביתר המקומות)</w:t>
            </w:r>
          </w:p>
        </w:tc>
      </w:tr>
      <w:tr>
        <w:tc>
          <w:tcPr>
            <w:tcW w:type="dxa" w:w="2160"/>
          </w:tcPr>
          <w:p>
            <w:pPr>
              <w:bidi/>
              <w:jc w:val="right"/>
            </w:pPr>
            <w:r/>
            <w:r>
              <w:t>967</w:t>
            </w:r>
          </w:p>
        </w:tc>
        <w:tc>
          <w:tcPr>
            <w:tcW w:type="dxa" w:w="2160"/>
          </w:tcPr>
          <w:p>
            <w:pPr>
              <w:bidi/>
              <w:jc w:val="right"/>
            </w:pPr>
            <w:r/>
            <w:r>
              <w:t>וולאדק שש שנים קודם לכן</w:t>
            </w:r>
          </w:p>
        </w:tc>
        <w:tc>
          <w:tcPr>
            <w:tcW w:type="dxa" w:w="2160"/>
          </w:tcPr>
          <w:p>
            <w:pPr>
              <w:bidi/>
              <w:jc w:val="right"/>
            </w:pPr>
            <w:r/>
            <w:r>
              <w:t>אותו שם בכתיב שלישי/שונה מקודמיו</w:t>
            </w:r>
          </w:p>
        </w:tc>
        <w:tc>
          <w:tcPr>
            <w:tcW w:type="dxa" w:w="2160"/>
          </w:tcPr>
          <w:p>
            <w:pPr>
              <w:bidi/>
              <w:jc w:val="right"/>
            </w:pPr>
            <w:r/>
            <w:r>
              <w:t>לאחד לכתיב אחד: ולדק</w:t>
            </w:r>
          </w:p>
        </w:tc>
      </w:tr>
      <w:tr>
        <w:tc>
          <w:tcPr>
            <w:tcW w:type="dxa" w:w="2160"/>
          </w:tcPr>
          <w:p>
            <w:pPr>
              <w:bidi/>
              <w:jc w:val="right"/>
            </w:pPr>
            <w:r/>
            <w:r>
              <w:t>1002</w:t>
            </w:r>
          </w:p>
        </w:tc>
        <w:tc>
          <w:tcPr>
            <w:tcW w:type="dxa" w:w="2160"/>
          </w:tcPr>
          <w:p>
            <w:pPr>
              <w:bidi/>
              <w:jc w:val="right"/>
            </w:pPr>
            <w:r/>
            <w:r>
              <w:t>ר׳ מאיר אורבך (תקע״ה–תרל״ח), לשעבר רבה של קאליש</w:t>
            </w:r>
          </w:p>
        </w:tc>
        <w:tc>
          <w:tcPr>
            <w:tcW w:type="dxa" w:w="2160"/>
          </w:tcPr>
          <w:p>
            <w:pPr>
              <w:bidi/>
              <w:jc w:val="right"/>
            </w:pPr>
            <w:r/>
            <w:r>
              <w:t>כתיב שם המשפחה אורבך סותר את ההכרעה הכללית (אוירבך); ר׳ מאיר אוירבך הוא רבה של קאליש ומחבר 'אמרי בינה'</w:t>
            </w:r>
          </w:p>
        </w:tc>
        <w:tc>
          <w:tcPr>
            <w:tcW w:type="dxa" w:w="2160"/>
          </w:tcPr>
          <w:p>
            <w:pPr>
              <w:bidi/>
              <w:jc w:val="right"/>
            </w:pPr>
            <w:r/>
            <w:r>
              <w:t>ר׳ מאיר אוירבך</w:t>
            </w:r>
          </w:p>
        </w:tc>
      </w:tr>
      <w:tr>
        <w:tc>
          <w:tcPr>
            <w:tcW w:type="dxa" w:w="2160"/>
          </w:tcPr>
          <w:p>
            <w:pPr>
              <w:bidi/>
              <w:jc w:val="right"/>
            </w:pPr>
            <w:r/>
            <w:r>
              <w:t>1008</w:t>
            </w:r>
          </w:p>
        </w:tc>
        <w:tc>
          <w:tcPr>
            <w:tcW w:type="dxa" w:w="2160"/>
          </w:tcPr>
          <w:p>
            <w:pPr>
              <w:bidi/>
              <w:jc w:val="right"/>
            </w:pPr>
            <w:r/>
            <w:r>
              <w:t>ששלושת הילדים הבכורים במשפחת קמינצקי</w:t>
            </w:r>
          </w:p>
        </w:tc>
        <w:tc>
          <w:tcPr>
            <w:tcW w:type="dxa" w:w="2160"/>
          </w:tcPr>
          <w:p>
            <w:pPr>
              <w:bidi/>
              <w:jc w:val="right"/>
            </w:pPr>
            <w:r/>
            <w:r>
              <w:t>כתיב שם המשפחה 'קמינצקי' חורג מהכתיב המקובל והנהוג בספר (קמנצקי)</w:t>
            </w:r>
          </w:p>
        </w:tc>
        <w:tc>
          <w:tcPr>
            <w:tcW w:type="dxa" w:w="2160"/>
          </w:tcPr>
          <w:p>
            <w:pPr>
              <w:bidi/>
              <w:jc w:val="right"/>
            </w:pPr>
            <w:r/>
            <w:r>
              <w:t>במשפחת קמנצקי</w:t>
            </w:r>
          </w:p>
        </w:tc>
      </w:tr>
      <w:tr>
        <w:tc>
          <w:tcPr>
            <w:tcW w:type="dxa" w:w="2160"/>
          </w:tcPr>
          <w:p>
            <w:pPr>
              <w:bidi/>
              <w:jc w:val="right"/>
            </w:pPr>
            <w:r/>
            <w:r>
              <w:t>1031</w:t>
            </w:r>
          </w:p>
        </w:tc>
        <w:tc>
          <w:tcPr>
            <w:tcW w:type="dxa" w:w="2160"/>
          </w:tcPr>
          <w:p>
            <w:pPr>
              <w:bidi/>
              <w:jc w:val="right"/>
            </w:pPr>
            <w:r/>
            <w:r>
              <w:t>כגון “אהבת ציון” ו“שומרים” של אברהם מאפו</w:t>
            </w:r>
          </w:p>
        </w:tc>
        <w:tc>
          <w:tcPr>
            <w:tcW w:type="dxa" w:w="2160"/>
          </w:tcPr>
          <w:p>
            <w:pPr>
              <w:bidi/>
              <w:jc w:val="right"/>
            </w:pPr>
            <w:r/>
            <w:r>
              <w:t>הרומן השני של מאפו הוא 'אשמת שומרון'; 'שומרים' כנראה שיבוש או קיצור שגוי של הכותר (הערה 602 מדברת על שני הרומנים)</w:t>
            </w:r>
          </w:p>
        </w:tc>
        <w:tc>
          <w:tcPr>
            <w:tcW w:type="dxa" w:w="2160"/>
          </w:tcPr>
          <w:p>
            <w:pPr>
              <w:bidi/>
              <w:jc w:val="right"/>
            </w:pPr>
            <w:r/>
            <w:r>
              <w:t>“אהבת ציון” ו“אשמת שומרון” של אברהם מאפו</w:t>
            </w:r>
          </w:p>
        </w:tc>
      </w:tr>
      <w:tr>
        <w:tc>
          <w:tcPr>
            <w:tcW w:type="dxa" w:w="2160"/>
          </w:tcPr>
          <w:p>
            <w:pPr>
              <w:bidi/>
              <w:jc w:val="right"/>
            </w:pPr>
            <w:r/>
            <w:r>
              <w:t>1050</w:t>
            </w:r>
          </w:p>
        </w:tc>
        <w:tc>
          <w:tcPr>
            <w:tcW w:type="dxa" w:w="2160"/>
          </w:tcPr>
          <w:p>
            <w:pPr>
              <w:bidi/>
              <w:jc w:val="right"/>
            </w:pPr>
            <w:r/>
            <w:r>
              <w:t>אפילו ילדיה הצעירים של משפחת קמינצקי ידעו</w:t>
            </w:r>
          </w:p>
        </w:tc>
        <w:tc>
          <w:tcPr>
            <w:tcW w:type="dxa" w:w="2160"/>
          </w:tcPr>
          <w:p>
            <w:pPr>
              <w:bidi/>
              <w:jc w:val="right"/>
            </w:pPr>
            <w:r/>
            <w:r>
              <w:t>אותו כתיב חריג של שם המשפחה (קמינצקי); יש לאחד לקמנצקי לאורך הספר, וכן בהמשך הפסקה 'בבית משפחת קמינצקי'</w:t>
            </w:r>
          </w:p>
        </w:tc>
        <w:tc>
          <w:tcPr>
            <w:tcW w:type="dxa" w:w="2160"/>
          </w:tcPr>
          <w:p>
            <w:pPr>
              <w:bidi/>
              <w:jc w:val="right"/>
            </w:pPr>
            <w:r/>
            <w:r>
              <w:t>של משפחת קמנצקי (וכן 'בבית משפחת קמנצקי')</w:t>
            </w:r>
          </w:p>
        </w:tc>
      </w:tr>
      <w:tr>
        <w:tc>
          <w:tcPr>
            <w:tcW w:type="dxa" w:w="2160"/>
          </w:tcPr>
          <w:p>
            <w:pPr>
              <w:bidi/>
              <w:jc w:val="right"/>
            </w:pPr>
            <w:r/>
            <w:r>
              <w:t>1184</w:t>
            </w:r>
          </w:p>
        </w:tc>
        <w:tc>
          <w:tcPr>
            <w:tcW w:type="dxa" w:w="2160"/>
          </w:tcPr>
          <w:p>
            <w:pPr>
              <w:bidi/>
              <w:jc w:val="right"/>
            </w:pPr>
            <w:r/>
            <w:r>
              <w:t>יצחק־בער לוינזון מווהלין</w:t>
            </w:r>
          </w:p>
        </w:tc>
        <w:tc>
          <w:tcPr>
            <w:tcW w:type="dxa" w:w="2160"/>
          </w:tcPr>
          <w:p>
            <w:pPr>
              <w:bidi/>
              <w:jc w:val="right"/>
            </w:pPr>
            <w:r/>
            <w:r>
              <w:t>תעתיק חריג של שם המחוז Volhynia; הכתיב המקובל הוא וולהין</w:t>
            </w:r>
          </w:p>
        </w:tc>
        <w:tc>
          <w:tcPr>
            <w:tcW w:type="dxa" w:w="2160"/>
          </w:tcPr>
          <w:p>
            <w:pPr>
              <w:bidi/>
              <w:jc w:val="right"/>
            </w:pPr>
            <w:r/>
            <w:r>
              <w:t>יצחק־בער לוינזון מוולהין</w:t>
            </w:r>
          </w:p>
        </w:tc>
      </w:tr>
      <w:tr>
        <w:tc>
          <w:tcPr>
            <w:tcW w:type="dxa" w:w="2160"/>
          </w:tcPr>
          <w:p>
            <w:pPr>
              <w:bidi/>
              <w:jc w:val="right"/>
            </w:pPr>
            <w:r/>
            <w:r>
              <w:t>1282</w:t>
            </w:r>
          </w:p>
        </w:tc>
        <w:tc>
          <w:tcPr>
            <w:tcW w:type="dxa" w:w="2160"/>
          </w:tcPr>
          <w:p>
            <w:pPr>
              <w:bidi/>
              <w:jc w:val="right"/>
            </w:pPr>
            <w:r/>
            <w:r>
              <w:t>ווייז גמל לו כשהביא את ליליינטל לסינסינטי כעבור שמונה שנים</w:t>
            </w:r>
          </w:p>
        </w:tc>
        <w:tc>
          <w:tcPr>
            <w:tcW w:type="dxa" w:w="2160"/>
          </w:tcPr>
          <w:p>
            <w:pPr>
              <w:bidi/>
              <w:jc w:val="right"/>
            </w:pPr>
            <w:r/>
            <w:r>
              <w:t>אותו שם (יצחק־מאיר וייז) מופיע באותה פסקה בשתי צורות: ״וייז״ ו״ווייז״</w:t>
            </w:r>
          </w:p>
        </w:tc>
        <w:tc>
          <w:tcPr>
            <w:tcW w:type="dxa" w:w="2160"/>
          </w:tcPr>
          <w:p>
            <w:pPr>
              <w:bidi/>
              <w:jc w:val="right"/>
            </w:pPr>
            <w:r/>
            <w:r>
              <w:t>לאחד ל״וייז״: ״ווייז גמל לו״ ← ״וייז גמל לו״</w:t>
            </w:r>
          </w:p>
        </w:tc>
      </w:tr>
      <w:tr>
        <w:tc>
          <w:tcPr>
            <w:tcW w:type="dxa" w:w="2160"/>
          </w:tcPr>
          <w:p>
            <w:pPr>
              <w:bidi/>
              <w:jc w:val="right"/>
            </w:pPr>
            <w:r/>
            <w:r>
              <w:t>2182</w:t>
            </w:r>
          </w:p>
        </w:tc>
        <w:tc>
          <w:tcPr>
            <w:tcW w:type="dxa" w:w="2160"/>
          </w:tcPr>
          <w:p>
            <w:pPr>
              <w:bidi/>
              <w:jc w:val="right"/>
            </w:pPr>
            <w:r/>
            <w:r>
              <w:t>כשנפטר ר׳ יהונתן אליאסברג בגיל צעיר*</w:t>
            </w:r>
          </w:p>
        </w:tc>
        <w:tc>
          <w:tcPr>
            <w:tcW w:type="dxa" w:w="2160"/>
          </w:tcPr>
          <w:p>
            <w:pPr>
              <w:bidi/>
              <w:jc w:val="right"/>
            </w:pPr>
            <w:r/>
            <w:r>
              <w:t>כתיב השם אינו לפי ההכרעה (אליאשברג); מופיע גם בהערת המתרגם 1957</w:t>
            </w:r>
          </w:p>
        </w:tc>
        <w:tc>
          <w:tcPr>
            <w:tcW w:type="dxa" w:w="2160"/>
          </w:tcPr>
          <w:p>
            <w:pPr>
              <w:bidi/>
              <w:jc w:val="right"/>
            </w:pPr>
            <w:r/>
            <w:r>
              <w:t>ר׳ יהונתן אליאשברג (וכן בהערת שוליים 1957)</w:t>
            </w:r>
          </w:p>
        </w:tc>
      </w:tr>
      <w:tr>
        <w:tc>
          <w:tcPr>
            <w:tcW w:type="dxa" w:w="2160"/>
          </w:tcPr>
          <w:p>
            <w:pPr>
              <w:bidi/>
              <w:jc w:val="right"/>
            </w:pPr>
            <w:r/>
            <w:r>
              <w:t>2673</w:t>
            </w:r>
          </w:p>
        </w:tc>
        <w:tc>
          <w:tcPr>
            <w:tcW w:type="dxa" w:w="2160"/>
          </w:tcPr>
          <w:p>
            <w:pPr>
              <w:bidi/>
              <w:jc w:val="right"/>
            </w:pPr>
            <w:r/>
            <w:r>
              <w:t>הפרעה כפייתית. את ההפרעה ייחס למצבו הגופני הירוד, שגם בו האשים את בית הספר. רק בעקבות ה“עמ</w:t>
            </w:r>
          </w:p>
        </w:tc>
        <w:tc>
          <w:tcPr>
            <w:tcW w:type="dxa" w:w="2160"/>
          </w:tcPr>
          <w:p>
            <w:pPr>
              <w:bidi/>
              <w:jc w:val="right"/>
            </w:pPr>
            <w:r/>
            <w:r>
              <w:t>הפועל ״הורשה״ נכתב בטעות ״הוורשה״ (נראה כתוצאה של החלפה גורפת ״ורשה״ ← ״וורשה״ שפגעה בפועל).</w:t>
            </w:r>
          </w:p>
        </w:tc>
        <w:tc>
          <w:tcPr>
            <w:tcW w:type="dxa" w:w="2160"/>
          </w:tcPr>
          <w:p>
            <w:pPr>
              <w:bidi/>
              <w:jc w:val="right"/>
            </w:pPr>
            <w:r/>
            <w:r>
              <w:t>ר׳ שמחה־זיסל הורשה לחזור (לתקן ״הוורשה״ ל״הורשה״; לבדוק בכל הספר חיפוש של ״הוורשה״)</w:t>
            </w:r>
          </w:p>
        </w:tc>
      </w:tr>
      <w:tr>
        <w:tc>
          <w:tcPr>
            <w:tcW w:type="dxa" w:w="2160"/>
          </w:tcPr>
          <w:p>
            <w:pPr>
              <w:bidi/>
              <w:jc w:val="right"/>
            </w:pPr>
            <w:r/>
            <w:r>
              <w:t>2699</w:t>
            </w:r>
          </w:p>
        </w:tc>
        <w:tc>
          <w:tcPr>
            <w:tcW w:type="dxa" w:w="2160"/>
          </w:tcPr>
          <w:p>
            <w:pPr>
              <w:bidi/>
              <w:jc w:val="right"/>
            </w:pPr>
            <w:r/>
            <w:r>
              <w:t>אולי לא הוורשה לחמן להינשא; איני יודע.</w:t>
            </w:r>
          </w:p>
        </w:tc>
        <w:tc>
          <w:tcPr>
            <w:tcW w:type="dxa" w:w="2160"/>
          </w:tcPr>
          <w:p>
            <w:pPr>
              <w:bidi/>
              <w:jc w:val="right"/>
            </w:pPr>
            <w:r/>
            <w:r>
              <w:t>אותה שגיאה: ״הוורשה״ במקום ״הורשה״ (הפועל, לא העיר ורשה).</w:t>
            </w:r>
          </w:p>
        </w:tc>
        <w:tc>
          <w:tcPr>
            <w:tcW w:type="dxa" w:w="2160"/>
          </w:tcPr>
          <w:p>
            <w:pPr>
              <w:bidi/>
              <w:jc w:val="right"/>
            </w:pPr>
            <w:r/>
            <w:r>
              <w:t>אולי לא הורשה לחמן להינשא; איני יודע.</w:t>
            </w:r>
          </w:p>
        </w:tc>
      </w:tr>
      <w:tr>
        <w:tc>
          <w:tcPr>
            <w:tcW w:type="dxa" w:w="2160"/>
          </w:tcPr>
          <w:p>
            <w:pPr>
              <w:bidi/>
              <w:jc w:val="right"/>
            </w:pPr>
            <w:r/>
            <w:r>
              <w:t>2906</w:t>
            </w:r>
          </w:p>
        </w:tc>
        <w:tc>
          <w:tcPr>
            <w:tcW w:type="dxa" w:w="2160"/>
          </w:tcPr>
          <w:p>
            <w:pPr>
              <w:bidi/>
              <w:jc w:val="right"/>
            </w:pPr>
            <w:r/>
            <w:r>
              <w:t>דייוויד ה. העלר מסיים את מכתבו</w:t>
            </w:r>
          </w:p>
        </w:tc>
        <w:tc>
          <w:tcPr>
            <w:tcW w:type="dxa" w:w="2160"/>
          </w:tcPr>
          <w:p>
            <w:pPr>
              <w:bidi/>
              <w:jc w:val="right"/>
            </w:pPr>
            <w:r/>
            <w:r>
              <w:t>הכתיב העלר מנוגד להכרעה (הלר); גם בהערה 2866 "יוג׳ין העלר"</w:t>
            </w:r>
          </w:p>
        </w:tc>
        <w:tc>
          <w:tcPr>
            <w:tcW w:type="dxa" w:w="2160"/>
          </w:tcPr>
          <w:p>
            <w:pPr>
              <w:bidi/>
              <w:jc w:val="right"/>
            </w:pPr>
            <w:r/>
            <w:r>
              <w:t>דייוויד ה. הלר; בהערה 2866: יוג׳ין הלר</w:t>
            </w:r>
          </w:p>
        </w:tc>
      </w:tr>
      <w:tr>
        <w:tc>
          <w:tcPr>
            <w:tcW w:type="dxa" w:w="2160"/>
          </w:tcPr>
          <w:p>
            <w:pPr>
              <w:bidi/>
              <w:jc w:val="right"/>
            </w:pPr>
            <w:r/>
            <w:r>
              <w:t>2917</w:t>
            </w:r>
          </w:p>
        </w:tc>
        <w:tc>
          <w:tcPr>
            <w:tcW w:type="dxa" w:w="2160"/>
          </w:tcPr>
          <w:p>
            <w:pPr>
              <w:bidi/>
              <w:jc w:val="right"/>
            </w:pPr>
            <w:r/>
            <w:r>
              <w:t>יוג׳ין העלר נולד בתרפ״ב</w:t>
            </w:r>
          </w:p>
        </w:tc>
        <w:tc>
          <w:tcPr>
            <w:tcW w:type="dxa" w:w="2160"/>
          </w:tcPr>
          <w:p>
            <w:pPr>
              <w:bidi/>
              <w:jc w:val="right"/>
            </w:pPr>
            <w:r/>
            <w:r>
              <w:t>כתיב העלר במקום הלר</w:t>
            </w:r>
          </w:p>
        </w:tc>
        <w:tc>
          <w:tcPr>
            <w:tcW w:type="dxa" w:w="2160"/>
          </w:tcPr>
          <w:p>
            <w:pPr>
              <w:bidi/>
              <w:jc w:val="right"/>
            </w:pPr>
            <w:r/>
            <w:r>
              <w:t>יוג׳ין הלר נולד בתרפ״ב</w:t>
            </w:r>
          </w:p>
        </w:tc>
      </w:tr>
      <w:tr>
        <w:tc>
          <w:tcPr>
            <w:tcW w:type="dxa" w:w="2160"/>
          </w:tcPr>
          <w:p>
            <w:pPr>
              <w:bidi/>
              <w:jc w:val="right"/>
            </w:pPr>
            <w:r/>
            <w:r>
              <w:t>2922</w:t>
            </w:r>
          </w:p>
        </w:tc>
        <w:tc>
          <w:tcPr>
            <w:tcW w:type="dxa" w:w="2160"/>
          </w:tcPr>
          <w:p>
            <w:pPr>
              <w:bidi/>
              <w:jc w:val="right"/>
            </w:pPr>
            <w:r/>
            <w:r>
              <w:t>באגרתו הנזכרת לעיל גילה ד״ר העלר גם את הדברים הבאים</w:t>
            </w:r>
          </w:p>
        </w:tc>
        <w:tc>
          <w:tcPr>
            <w:tcW w:type="dxa" w:w="2160"/>
          </w:tcPr>
          <w:p>
            <w:pPr>
              <w:bidi/>
              <w:jc w:val="right"/>
            </w:pPr>
            <w:r/>
            <w:r>
              <w:t>כתיב העלר במקום הלר (חוזר פעמיים בפסקה: גם "רוח הגילוי של ד״ר העלר")</w:t>
            </w:r>
          </w:p>
        </w:tc>
        <w:tc>
          <w:tcPr>
            <w:tcW w:type="dxa" w:w="2160"/>
          </w:tcPr>
          <w:p>
            <w:pPr>
              <w:bidi/>
              <w:jc w:val="right"/>
            </w:pPr>
            <w:r/>
            <w:r>
              <w:t>ד״ר הלר (בשני המקומות)</w:t>
            </w:r>
          </w:p>
        </w:tc>
      </w:tr>
      <w:tr>
        <w:tc>
          <w:tcPr>
            <w:tcW w:type="dxa" w:w="2160"/>
          </w:tcPr>
          <w:p>
            <w:pPr>
              <w:bidi/>
              <w:jc w:val="right"/>
            </w:pPr>
            <w:r/>
            <w:r>
              <w:t>3326</w:t>
            </w:r>
          </w:p>
        </w:tc>
        <w:tc>
          <w:tcPr>
            <w:tcW w:type="dxa" w:w="2160"/>
          </w:tcPr>
          <w:p>
            <w:pPr>
              <w:bidi/>
              <w:jc w:val="right"/>
            </w:pPr>
            <w:r/>
            <w:r>
              <w:t>ולציטוט מורהפטיג בתחילת הערה 110</w:t>
            </w:r>
          </w:p>
        </w:tc>
        <w:tc>
          <w:tcPr>
            <w:tcW w:type="dxa" w:w="2160"/>
          </w:tcPr>
          <w:p>
            <w:pPr>
              <w:bidi/>
              <w:jc w:val="right"/>
            </w:pPr>
            <w:r/>
            <w:r>
              <w:t>שם המחבר נכתב ״מורהפטיג״ בעוד שבכל מקום אחר בקטע (פסקה 3314 והערת שוליים 3357) הוא ״ורהפטיג״. נראה כטעות הקלדה (מ׳ מיותרת, אולי מ״ורהפטיג״).</w:t>
            </w:r>
          </w:p>
        </w:tc>
        <w:tc>
          <w:tcPr>
            <w:tcW w:type="dxa" w:w="2160"/>
          </w:tcPr>
          <w:p>
            <w:pPr>
              <w:bidi/>
              <w:jc w:val="right"/>
            </w:pPr>
            <w:r/>
            <w:r>
              <w:t>ולציטוט מורהפטיג =&gt; ולציטוט מוורהפטיג (או: ולציטוט של ורהפטיג), בהתאם לכתיב ״ורהפטיג״</w:t>
            </w:r>
          </w:p>
        </w:tc>
      </w:tr>
      <w:tr>
        <w:tc>
          <w:tcPr>
            <w:tcW w:type="dxa" w:w="2160"/>
          </w:tcPr>
          <w:p>
            <w:pPr>
              <w:bidi/>
              <w:jc w:val="right"/>
            </w:pPr>
            <w:r/>
            <w:r>
              <w:t>3695</w:t>
            </w:r>
          </w:p>
        </w:tc>
        <w:tc>
          <w:tcPr>
            <w:tcW w:type="dxa" w:w="2160"/>
          </w:tcPr>
          <w:p>
            <w:pPr>
              <w:bidi/>
              <w:jc w:val="right"/>
            </w:pPr>
            <w:r/>
            <w:r>
              <w:t>מתלמידיו הקרובים של ר׳ אלינקה ראגולר (תקנ״ד–תר״י)</w:t>
            </w:r>
          </w:p>
        </w:tc>
        <w:tc>
          <w:tcPr>
            <w:tcW w:type="dxa" w:w="2160"/>
          </w:tcPr>
          <w:p>
            <w:pPr>
              <w:bidi/>
              <w:jc w:val="right"/>
            </w:pPr>
            <w:r/>
            <w:r>
              <w:t>כתיב שם משפחה שהוכרע ביישום: רגולר, לא ראגולר</w:t>
            </w:r>
          </w:p>
        </w:tc>
        <w:tc>
          <w:tcPr>
            <w:tcW w:type="dxa" w:w="2160"/>
          </w:tcPr>
          <w:p>
            <w:pPr>
              <w:bidi/>
              <w:jc w:val="right"/>
            </w:pPr>
            <w:r/>
            <w:r>
              <w:t>ר׳ אלינקה רגולר</w:t>
            </w:r>
          </w:p>
        </w:tc>
      </w:tr>
      <w:tr>
        <w:tc>
          <w:tcPr>
            <w:tcW w:type="dxa" w:w="2160"/>
          </w:tcPr>
          <w:p>
            <w:pPr>
              <w:bidi/>
              <w:jc w:val="right"/>
            </w:pPr>
            <w:r/>
            <w:r>
              <w:t>3759</w:t>
            </w:r>
          </w:p>
        </w:tc>
        <w:tc>
          <w:tcPr>
            <w:tcW w:type="dxa" w:w="2160"/>
          </w:tcPr>
          <w:p>
            <w:pPr>
              <w:bidi/>
              <w:jc w:val="right"/>
            </w:pPr>
            <w:r/>
            <w:r>
              <w:t>עד שהוורשה לחזור לישיבה כעבור שלוש שנים (!)</w:t>
            </w:r>
          </w:p>
        </w:tc>
        <w:tc>
          <w:tcPr>
            <w:tcW w:type="dxa" w:w="2160"/>
          </w:tcPr>
          <w:p>
            <w:pPr>
              <w:bidi/>
              <w:jc w:val="right"/>
            </w:pPr>
            <w:r/>
            <w:r>
              <w:t>שגיאת הקלדה: "הוורשה" (נראית כשם העיר ורשה) במקום הפועל "הורשה"</w:t>
            </w:r>
          </w:p>
        </w:tc>
        <w:tc>
          <w:tcPr>
            <w:tcW w:type="dxa" w:w="2160"/>
          </w:tcPr>
          <w:p>
            <w:pPr>
              <w:bidi/>
              <w:jc w:val="right"/>
            </w:pPr>
            <w:r/>
            <w:r>
              <w:t>עד שהורשה לחזור לישיבה כעבור שלוש שנים (!)</w:t>
            </w:r>
          </w:p>
        </w:tc>
      </w:tr>
      <w:tr>
        <w:tc>
          <w:tcPr>
            <w:tcW w:type="dxa" w:w="2160"/>
          </w:tcPr>
          <w:p>
            <w:pPr>
              <w:bidi/>
              <w:jc w:val="right"/>
            </w:pPr>
            <w:r/>
            <w:r>
              <w:t>4459</w:t>
            </w:r>
          </w:p>
        </w:tc>
        <w:tc>
          <w:tcPr>
            <w:tcW w:type="dxa" w:w="2160"/>
          </w:tcPr>
          <w:p>
            <w:pPr>
              <w:bidi/>
              <w:jc w:val="right"/>
            </w:pPr>
            <w:r/>
            <w:r>
              <w:t>לגנרל פופאטוב*, מושל פלך וילנה</w:t>
            </w:r>
          </w:p>
        </w:tc>
        <w:tc>
          <w:tcPr>
            <w:tcW w:type="dxa" w:w="2160"/>
          </w:tcPr>
          <w:p>
            <w:pPr>
              <w:bidi/>
              <w:jc w:val="right"/>
            </w:pPr>
            <w:r/>
            <w:r>
              <w:t>שם הגנרל (Potapov) נכתב בגוף הטקסט ״פופאטוב״, ואילו בהערת המתרגם (הערה 4810) נכתב ״פוטאפוב״; אי־אחידות ושגיאת הקלדה (חילוף אותיות)</w:t>
            </w:r>
          </w:p>
        </w:tc>
        <w:tc>
          <w:tcPr>
            <w:tcW w:type="dxa" w:w="2160"/>
          </w:tcPr>
          <w:p>
            <w:pPr>
              <w:bidi/>
              <w:jc w:val="right"/>
            </w:pPr>
            <w:r/>
            <w:r>
              <w:t>לתקן בגוף הטקסט ל״לגנרל פוטאפוב״, בהתאם להערה 4810</w:t>
            </w:r>
          </w:p>
        </w:tc>
      </w:tr>
    </w:tbl>
    <w:p>
      <w:pPr>
        <w:bidi/>
        <w:jc w:val="right"/>
      </w:pPr>
      <w:r>
        <w:rPr>
          <w:b/>
          <w:sz w:val="26"/>
          <w:rtl/>
        </w:rPr>
        <w:t>6. ממצאי "חובה" בניסוח (47)</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jc w:val="right"/>
            </w:pPr>
            <w:r/>
            <w:r>
              <w:rPr>
                <w:b/>
              </w:rPr>
              <w:t>¶</w:t>
            </w:r>
          </w:p>
        </w:tc>
        <w:tc>
          <w:tcPr>
            <w:tcW w:type="dxa" w:w="2160"/>
          </w:tcPr>
          <w:p>
            <w:pPr>
              <w:bidi/>
              <w:jc w:val="right"/>
            </w:pPr>
            <w:r/>
            <w:r>
              <w:rPr>
                <w:b/>
              </w:rPr>
              <w:t>בספר</w:t>
            </w:r>
          </w:p>
        </w:tc>
        <w:tc>
          <w:tcPr>
            <w:tcW w:type="dxa" w:w="2160"/>
          </w:tcPr>
          <w:p>
            <w:pPr>
              <w:bidi/>
              <w:jc w:val="right"/>
            </w:pPr>
            <w:r/>
            <w:r>
              <w:rPr>
                <w:b/>
              </w:rPr>
              <w:t>הבעיה</w:t>
            </w:r>
          </w:p>
        </w:tc>
        <w:tc>
          <w:tcPr>
            <w:tcW w:type="dxa" w:w="2160"/>
          </w:tcPr>
          <w:p>
            <w:pPr>
              <w:bidi/>
              <w:jc w:val="right"/>
            </w:pPr>
            <w:r/>
            <w:r>
              <w:rPr>
                <w:b/>
              </w:rPr>
              <w:t>הצעה</w:t>
            </w:r>
          </w:p>
        </w:tc>
      </w:tr>
      <w:tr>
        <w:tc>
          <w:tcPr>
            <w:tcW w:type="dxa" w:w="2160"/>
          </w:tcPr>
          <w:p>
            <w:pPr>
              <w:bidi/>
              <w:jc w:val="right"/>
            </w:pPr>
            <w:r/>
            <w:r>
              <w:t>166</w:t>
            </w:r>
          </w:p>
        </w:tc>
        <w:tc>
          <w:tcPr>
            <w:tcW w:type="dxa" w:w="2160"/>
          </w:tcPr>
          <w:p>
            <w:pPr>
              <w:bidi/>
              <w:jc w:val="right"/>
            </w:pPr>
            <w:r/>
            <w:r>
              <w:t>הרביתי להשתמש במסקנותיי בביטויים כגון “מציע”, “מעלה”, “סבור” ו“משער”</w:t>
            </w:r>
          </w:p>
        </w:tc>
        <w:tc>
          <w:tcPr>
            <w:tcW w:type="dxa" w:w="2160"/>
          </w:tcPr>
          <w:p>
            <w:pPr>
              <w:bidi/>
              <w:jc w:val="right"/>
            </w:pPr>
            <w:r/>
            <w:r>
              <w:t>שימוש מטעה: משתמשים בביטויים, לא 'במסקנות בביטויים'; תרגום לא מדויק של hedging</w:t>
            </w:r>
          </w:p>
        </w:tc>
        <w:tc>
          <w:tcPr>
            <w:tcW w:type="dxa" w:w="2160"/>
          </w:tcPr>
          <w:p>
            <w:pPr>
              <w:bidi/>
              <w:jc w:val="right"/>
            </w:pPr>
            <w:r/>
            <w:r>
              <w:t>הרביתי לנסח את מסקנותיי בביטויים כגון ״מציע״, ״מעלה״, ״סבור״ ו״משער״</w:t>
            </w:r>
          </w:p>
        </w:tc>
      </w:tr>
      <w:tr>
        <w:tc>
          <w:tcPr>
            <w:tcW w:type="dxa" w:w="2160"/>
          </w:tcPr>
          <w:p>
            <w:pPr>
              <w:bidi/>
              <w:jc w:val="right"/>
            </w:pPr>
            <w:r/>
            <w:r>
              <w:t>169</w:t>
            </w:r>
          </w:p>
        </w:tc>
        <w:tc>
          <w:tcPr>
            <w:tcW w:type="dxa" w:w="2160"/>
          </w:tcPr>
          <w:p>
            <w:pPr>
              <w:bidi/>
              <w:jc w:val="right"/>
            </w:pPr>
            <w:r/>
            <w:r>
              <w:t>הסינון של הדברים שמפרסמים נובעת מן החשש</w:t>
            </w:r>
          </w:p>
        </w:tc>
        <w:tc>
          <w:tcPr>
            <w:tcW w:type="dxa" w:w="2160"/>
          </w:tcPr>
          <w:p>
            <w:pPr>
              <w:bidi/>
              <w:jc w:val="right"/>
            </w:pPr>
            <w:r/>
            <w:r>
              <w:t>אי־התאמה בין נושא (סינון, זכר) לנשוא (נובעת, נקבה)</w:t>
            </w:r>
          </w:p>
        </w:tc>
        <w:tc>
          <w:tcPr>
            <w:tcW w:type="dxa" w:w="2160"/>
          </w:tcPr>
          <w:p>
            <w:pPr>
              <w:bidi/>
              <w:jc w:val="right"/>
            </w:pPr>
            <w:r/>
            <w:r>
              <w:t>הסינון של הדברים שמפרסמים נובע מן החשש</w:t>
            </w:r>
          </w:p>
        </w:tc>
      </w:tr>
      <w:tr>
        <w:tc>
          <w:tcPr>
            <w:tcW w:type="dxa" w:w="2160"/>
          </w:tcPr>
          <w:p>
            <w:pPr>
              <w:bidi/>
              <w:jc w:val="right"/>
            </w:pPr>
            <w:r/>
            <w:r>
              <w:t>230</w:t>
            </w:r>
          </w:p>
        </w:tc>
        <w:tc>
          <w:tcPr>
            <w:tcW w:type="dxa" w:w="2160"/>
          </w:tcPr>
          <w:p>
            <w:pPr>
              <w:bidi/>
              <w:jc w:val="right"/>
            </w:pPr>
            <w:r/>
            <w:r>
              <w:t>בעמ׳ 1 ו־1–1</w:t>
            </w:r>
          </w:p>
        </w:tc>
        <w:tc>
          <w:tcPr>
            <w:tcW w:type="dxa" w:w="2160"/>
          </w:tcPr>
          <w:p>
            <w:pPr>
              <w:bidi/>
              <w:jc w:val="right"/>
            </w:pPr>
            <w:r/>
            <w:r>
              <w:t>מספרי עמודים חלופיים (placeholder) שלא הושלמו בהפניה הפנימית</w:t>
            </w:r>
          </w:p>
        </w:tc>
        <w:tc>
          <w:tcPr>
            <w:tcW w:type="dxa" w:w="2160"/>
          </w:tcPr>
          <w:p>
            <w:pPr>
              <w:bidi/>
              <w:jc w:val="right"/>
            </w:pPr>
            <w:r/>
            <w:r>
              <w:t>להשלים את מספרי העמודים האמיתיים בהפניה, או להשמיט את ההפניה לעמודים ולהסתפק בציון הפרק והפסקה.</w:t>
            </w:r>
          </w:p>
        </w:tc>
      </w:tr>
      <w:tr>
        <w:tc>
          <w:tcPr>
            <w:tcW w:type="dxa" w:w="2160"/>
          </w:tcPr>
          <w:p>
            <w:pPr>
              <w:bidi/>
              <w:jc w:val="right"/>
            </w:pPr>
            <w:r/>
            <w:r>
              <w:t>236</w:t>
            </w:r>
          </w:p>
        </w:tc>
        <w:tc>
          <w:tcPr>
            <w:tcW w:type="dxa" w:w="2160"/>
          </w:tcPr>
          <w:p>
            <w:pPr>
              <w:bidi/>
              <w:jc w:val="right"/>
            </w:pPr>
            <w:r/>
            <w:r>
              <w:t>העולם השתנה פעמיים1. מאז, והמקום עבר מיד ליד</w:t>
            </w:r>
          </w:p>
        </w:tc>
        <w:tc>
          <w:tcPr>
            <w:tcW w:type="dxa" w:w="2160"/>
          </w:tcPr>
          <w:p>
            <w:pPr>
              <w:bidi/>
              <w:jc w:val="right"/>
            </w:pPr>
            <w:r/>
            <w:r>
              <w:t>תחביר משובש: "מאז" תלוי באוויר, וסימן ההערה מוצמד באמצע המשפט; קשה להבין את המשפט הפותח</w:t>
            </w:r>
          </w:p>
        </w:tc>
        <w:tc>
          <w:tcPr>
            <w:tcW w:type="dxa" w:w="2160"/>
          </w:tcPr>
          <w:p>
            <w:pPr>
              <w:bidi/>
              <w:jc w:val="right"/>
            </w:pPr>
            <w:r/>
            <w:r>
              <w:t>העולם השתנה פעמיים מאז,1 והמקום עבר מיד ליד – מרוסיה לפולין ושוב לרוסיה.2 (או: "מאז השתנה העולם פעמיים, והמקום עבר מיד ליד..."). כדאי גם להצמיד את סימני ההערה א</w:t>
            </w:r>
          </w:p>
        </w:tc>
      </w:tr>
      <w:tr>
        <w:tc>
          <w:tcPr>
            <w:tcW w:type="dxa" w:w="2160"/>
          </w:tcPr>
          <w:p>
            <w:pPr>
              <w:bidi/>
              <w:jc w:val="right"/>
            </w:pPr>
            <w:r/>
            <w:r>
              <w:t>290</w:t>
            </w:r>
          </w:p>
        </w:tc>
        <w:tc>
          <w:tcPr>
            <w:tcW w:type="dxa" w:w="2160"/>
          </w:tcPr>
          <w:p>
            <w:pPr>
              <w:bidi/>
              <w:jc w:val="right"/>
            </w:pPr>
            <w:r/>
            <w:r>
              <w:t>כל ימי חייו הוקיר אבי את שנות התעצבותו בדולהינוב</w:t>
            </w:r>
          </w:p>
        </w:tc>
        <w:tc>
          <w:tcPr>
            <w:tcW w:type="dxa" w:w="2160"/>
          </w:tcPr>
          <w:p>
            <w:pPr>
              <w:bidi/>
              <w:jc w:val="right"/>
            </w:pPr>
            <w:r/>
            <w:r>
              <w:t>״התעצבות״ פירושה עצב; כאן כנראה תרגום מוטעה של formative years</w:t>
            </w:r>
          </w:p>
        </w:tc>
        <w:tc>
          <w:tcPr>
            <w:tcW w:type="dxa" w:w="2160"/>
          </w:tcPr>
          <w:p>
            <w:pPr>
              <w:bidi/>
              <w:jc w:val="right"/>
            </w:pPr>
            <w:r/>
            <w:r>
              <w:t>כל ימי חייו הוקיר אבי את שנות עיצובו בדולהינוב (או: את שנות ילדותו המעצבות בדולהינוב)</w:t>
            </w:r>
          </w:p>
        </w:tc>
      </w:tr>
      <w:tr>
        <w:tc>
          <w:tcPr>
            <w:tcW w:type="dxa" w:w="2160"/>
          </w:tcPr>
          <w:p>
            <w:pPr>
              <w:bidi/>
              <w:jc w:val="right"/>
            </w:pPr>
            <w:r/>
            <w:r>
              <w:t>336</w:t>
            </w:r>
          </w:p>
        </w:tc>
        <w:tc>
          <w:tcPr>
            <w:tcW w:type="dxa" w:w="2160"/>
          </w:tcPr>
          <w:p>
            <w:pPr>
              <w:bidi/>
              <w:jc w:val="right"/>
            </w:pPr>
            <w:r/>
            <w:r>
              <w:t>מוחו פעל בלי הפסק בשנות התעצבותו אלה</w:t>
            </w:r>
          </w:p>
        </w:tc>
        <w:tc>
          <w:tcPr>
            <w:tcW w:type="dxa" w:w="2160"/>
          </w:tcPr>
          <w:p>
            <w:pPr>
              <w:bidi/>
              <w:jc w:val="right"/>
            </w:pPr>
            <w:r/>
            <w:r>
              <w:t>״התעצבותו״ בעברית משמעותה עצב (sadness); זו תרגמת של formative years</w:t>
            </w:r>
          </w:p>
        </w:tc>
        <w:tc>
          <w:tcPr>
            <w:tcW w:type="dxa" w:w="2160"/>
          </w:tcPr>
          <w:p>
            <w:pPr>
              <w:bidi/>
              <w:jc w:val="right"/>
            </w:pPr>
            <w:r/>
            <w:r>
              <w:t>ומוחו פעל בלי הפסק בשנות עיצובו ההתפתחותי אלה / בשנות התגבשותו אלה</w:t>
            </w:r>
          </w:p>
        </w:tc>
      </w:tr>
      <w:tr>
        <w:tc>
          <w:tcPr>
            <w:tcW w:type="dxa" w:w="2160"/>
          </w:tcPr>
          <w:p>
            <w:pPr>
              <w:bidi/>
              <w:jc w:val="right"/>
            </w:pPr>
            <w:r/>
            <w:r>
              <w:t>364</w:t>
            </w:r>
          </w:p>
        </w:tc>
        <w:tc>
          <w:tcPr>
            <w:tcW w:type="dxa" w:w="2160"/>
          </w:tcPr>
          <w:p>
            <w:pPr>
              <w:bidi/>
              <w:jc w:val="right"/>
            </w:pPr>
            <w:r/>
            <w:r>
              <w:t>עיר גדולה השוכנת בזווית שבמפגש הוויליה, הפונה דרומה־מערבה, עם נהר הנמן הרחב ממנו</w:t>
            </w:r>
          </w:p>
        </w:tc>
        <w:tc>
          <w:tcPr>
            <w:tcW w:type="dxa" w:w="2160"/>
          </w:tcPr>
          <w:p>
            <w:pPr>
              <w:bidi/>
              <w:jc w:val="right"/>
            </w:pPr>
            <w:r/>
            <w:r>
              <w:t>משפט מסורבל ולא ברור: אי אפשר להבין מה פונה דרומה־מערבה, ו״ממנו״ מעורפל; בנוסף ״ראו הנוסעים את העיר״ הוא תרגום של saw the city במקום הגיעו א</w:t>
            </w:r>
          </w:p>
        </w:tc>
        <w:tc>
          <w:tcPr>
            <w:tcW w:type="dxa" w:w="2160"/>
          </w:tcPr>
          <w:p>
            <w:pPr>
              <w:bidi/>
              <w:jc w:val="right"/>
            </w:pPr>
            <w:r/>
            <w:r>
              <w:t>קובנה היא עיר גדולה השוכנת בזווית שנוצרת במפגש נהר הוויליה, הזורם דרומה־מערבה, עם נהר הנמן הרחב ממנו. (ובמקום ״ראו הנוסעים את העיר״: ״הגיעו הנוסעים לעיר״)</w:t>
            </w:r>
          </w:p>
        </w:tc>
      </w:tr>
      <w:tr>
        <w:tc>
          <w:tcPr>
            <w:tcW w:type="dxa" w:w="2160"/>
          </w:tcPr>
          <w:p>
            <w:pPr>
              <w:bidi/>
              <w:jc w:val="right"/>
            </w:pPr>
            <w:r/>
            <w:r>
              <w:t>374</w:t>
            </w:r>
          </w:p>
        </w:tc>
        <w:tc>
          <w:tcPr>
            <w:tcW w:type="dxa" w:w="2160"/>
          </w:tcPr>
          <w:p>
            <w:pPr>
              <w:bidi/>
              <w:jc w:val="right"/>
            </w:pPr>
            <w:r/>
            <w:r>
              <w:t>הופרה בתגובה לקנאותם של ר׳ איצל׳ה בלאזר והסבא מסלבודקה לשמירת לימוד המוסר</w:t>
            </w:r>
          </w:p>
        </w:tc>
        <w:tc>
          <w:tcPr>
            <w:tcW w:type="dxa" w:w="2160"/>
          </w:tcPr>
          <w:p>
            <w:pPr>
              <w:bidi/>
              <w:jc w:val="right"/>
            </w:pPr>
            <w:r/>
            <w:r>
              <w:t>״בתגובה ל־״ שגוי (in response to) - הקנאות היא הסיבה, לא מה שמגיבים עליו; ״לשמירת״ מטעה; משפט כבד</w:t>
            </w:r>
          </w:p>
        </w:tc>
        <w:tc>
          <w:tcPr>
            <w:tcW w:type="dxa" w:w="2160"/>
          </w:tcPr>
          <w:p>
            <w:pPr>
              <w:bidi/>
              <w:jc w:val="right"/>
            </w:pPr>
            <w:r/>
            <w:r>
              <w:t>אבל שלוותה של הישיבה, שגדלה במהירות, הופרה בגלל קנאותם של ר׳ איצל׳ה בלאזר והסבא מסלבודקה להבטיח שלימוד המוסר יישאר מרכיב חשוב בתוכנית הלימודים</w:t>
            </w:r>
          </w:p>
        </w:tc>
      </w:tr>
      <w:tr>
        <w:tc>
          <w:tcPr>
            <w:tcW w:type="dxa" w:w="2160"/>
          </w:tcPr>
          <w:p>
            <w:pPr>
              <w:bidi/>
              <w:jc w:val="right"/>
            </w:pPr>
            <w:r/>
            <w:r>
              <w:t>382</w:t>
            </w:r>
          </w:p>
        </w:tc>
        <w:tc>
          <w:tcPr>
            <w:tcW w:type="dxa" w:w="2160"/>
          </w:tcPr>
          <w:p>
            <w:pPr>
              <w:bidi/>
              <w:jc w:val="right"/>
            </w:pPr>
            <w:r/>
            <w:r>
              <w:t>כנסת ישראל, לעומתה, בעלת הדפוס הייחודי ליצירת “תלמיד הסבא מסלבודקה” גאה ומתבונן, נכנסה</w:t>
            </w:r>
          </w:p>
        </w:tc>
        <w:tc>
          <w:tcPr>
            <w:tcW w:type="dxa" w:w="2160"/>
          </w:tcPr>
          <w:p>
            <w:pPr>
              <w:bidi/>
              <w:jc w:val="right"/>
            </w:pPr>
            <w:r/>
            <w:r>
              <w:t>״בעלת הדפוס הייחודי ליצירת״ - הרכבת ״בעל X של Y״ לא טבעית; המשפט כבד, והתיאור ״גאה ומתבונן״ תלוי באוויר</w:t>
            </w:r>
          </w:p>
        </w:tc>
        <w:tc>
          <w:tcPr>
            <w:tcW w:type="dxa" w:w="2160"/>
          </w:tcPr>
          <w:p>
            <w:pPr>
              <w:bidi/>
              <w:jc w:val="right"/>
            </w:pPr>
            <w:r/>
            <w:r>
              <w:t>כנסת ישראל, לעומתה, שהתמחתה ביצירת הטיפוס הייחודי של “תלמיד הסבא מסלבודקה”, גאה ומתבונן, נכנסה</w:t>
            </w:r>
          </w:p>
        </w:tc>
      </w:tr>
      <w:tr>
        <w:tc>
          <w:tcPr>
            <w:tcW w:type="dxa" w:w="2160"/>
          </w:tcPr>
          <w:p>
            <w:pPr>
              <w:bidi/>
              <w:jc w:val="right"/>
            </w:pPr>
            <w:r/>
            <w:r>
              <w:t>477</w:t>
            </w:r>
          </w:p>
        </w:tc>
        <w:tc>
          <w:tcPr>
            <w:tcW w:type="dxa" w:w="2160"/>
          </w:tcPr>
          <w:p>
            <w:pPr>
              <w:bidi/>
              <w:jc w:val="right"/>
            </w:pPr>
            <w:r/>
            <w:r>
              <w:t>מעניין שמחבר בירושלים הוציא לאור מחדש את “בשמים ראש” בשנת תשמ״ד, 190 שנה אחרי הופעתו הראשונה, והציע הגנה על המ</w:t>
            </w:r>
          </w:p>
        </w:tc>
        <w:tc>
          <w:tcPr>
            <w:tcW w:type="dxa" w:w="2160"/>
          </w:tcPr>
          <w:p>
            <w:pPr>
              <w:bidi/>
              <w:jc w:val="right"/>
            </w:pPr>
            <w:r/>
            <w:r>
              <w:t>"מחבר בירושלים" ללא היידוע – תרגום מילולי של "an author in Jerusalem"; "הציע הגנה" אינו עברית טבעית</w:t>
            </w:r>
          </w:p>
        </w:tc>
        <w:tc>
          <w:tcPr>
            <w:tcW w:type="dxa" w:w="2160"/>
          </w:tcPr>
          <w:p>
            <w:pPr>
              <w:bidi/>
              <w:jc w:val="right"/>
            </w:pPr>
            <w:r/>
            <w:r>
              <w:t>מעניין שאחד המחברים בירושלים הוציא לאור מחדש את “בשמים ראש” בשנת תשמ״ד, 190 שנה אחרי הופעתו הראשונה, וניסה להצדיק את המחבר הנבזה</w:t>
            </w:r>
          </w:p>
        </w:tc>
      </w:tr>
      <w:tr>
        <w:tc>
          <w:tcPr>
            <w:tcW w:type="dxa" w:w="2160"/>
          </w:tcPr>
          <w:p>
            <w:pPr>
              <w:bidi/>
              <w:jc w:val="right"/>
            </w:pPr>
            <w:r/>
            <w:r>
              <w:t>497</w:t>
            </w:r>
          </w:p>
        </w:tc>
        <w:tc>
          <w:tcPr>
            <w:tcW w:type="dxa" w:w="2160"/>
          </w:tcPr>
          <w:p>
            <w:pPr>
              <w:bidi/>
              <w:jc w:val="right"/>
            </w:pPr>
            <w:r/>
            <w:r>
              <w:t>מלבד עשרות התלמידים הרבות שגדשו את החדר הגדול</w:t>
            </w:r>
          </w:p>
        </w:tc>
        <w:tc>
          <w:tcPr>
            <w:tcW w:type="dxa" w:w="2160"/>
          </w:tcPr>
          <w:p>
            <w:pPr>
              <w:bidi/>
              <w:jc w:val="right"/>
            </w:pPr>
            <w:r/>
            <w:r>
              <w:t>אי־התאמה במין: "התלמידים" בלשון זכר והתואר "הרבות" בנקבה; וכן "עשרות ... שגדשו" בנקבה רבים בעוד "עד שבא ר׳ ברוך־בער" מתאר ציר זמן מסורבל</w:t>
            </w:r>
          </w:p>
        </w:tc>
        <w:tc>
          <w:tcPr>
            <w:tcW w:type="dxa" w:w="2160"/>
          </w:tcPr>
          <w:p>
            <w:pPr>
              <w:bidi/>
              <w:jc w:val="right"/>
            </w:pPr>
            <w:r/>
            <w:r>
              <w:t>מלבד עשרות התלמידים הרבים שגדשו את החדר הגדול עד שבא ר׳ ברוך־בער,</w:t>
            </w:r>
          </w:p>
        </w:tc>
      </w:tr>
      <w:tr>
        <w:tc>
          <w:tcPr>
            <w:tcW w:type="dxa" w:w="2160"/>
          </w:tcPr>
          <w:p>
            <w:pPr>
              <w:bidi/>
              <w:jc w:val="right"/>
            </w:pPr>
            <w:r/>
            <w:r>
              <w:t>611</w:t>
            </w:r>
          </w:p>
        </w:tc>
        <w:tc>
          <w:tcPr>
            <w:tcW w:type="dxa" w:w="2160"/>
          </w:tcPr>
          <w:p>
            <w:pPr>
              <w:bidi/>
              <w:jc w:val="right"/>
            </w:pPr>
            <w:r/>
            <w:r>
              <w:t>והשווה גם “מורשת סולובייצ׳יק” ש“חסלוויץ׳ הייתה עיירה חסידית ברובה”</w:t>
            </w:r>
          </w:p>
        </w:tc>
        <w:tc>
          <w:tcPr>
            <w:tcW w:type="dxa" w:w="2160"/>
          </w:tcPr>
          <w:p>
            <w:pPr>
              <w:bidi/>
              <w:jc w:val="right"/>
            </w:pPr>
            <w:r/>
            <w:r>
              <w:t>משפט שבור תחבירית: "והשווה גם X ש..." אינו תקין</w:t>
            </w:r>
          </w:p>
        </w:tc>
        <w:tc>
          <w:tcPr>
            <w:tcW w:type="dxa" w:w="2160"/>
          </w:tcPr>
          <w:p>
            <w:pPr>
              <w:bidi/>
              <w:jc w:val="right"/>
            </w:pPr>
            <w:r/>
            <w:r>
              <w:t>והשווה גם “מורשת סולובייצ׳יק”, שם נאמר ש“חסלוויץ׳ הייתה עיירה חסידית ברובה”</w:t>
            </w:r>
          </w:p>
        </w:tc>
      </w:tr>
      <w:tr>
        <w:tc>
          <w:tcPr>
            <w:tcW w:type="dxa" w:w="2160"/>
          </w:tcPr>
          <w:p>
            <w:pPr>
              <w:bidi/>
              <w:jc w:val="right"/>
            </w:pPr>
            <w:r/>
            <w:r>
              <w:t>733</w:t>
            </w:r>
          </w:p>
        </w:tc>
        <w:tc>
          <w:tcPr>
            <w:tcW w:type="dxa" w:w="2160"/>
          </w:tcPr>
          <w:p>
            <w:pPr>
              <w:bidi/>
              <w:jc w:val="right"/>
            </w:pPr>
            <w:r/>
            <w:r>
              <w:t>מזל טוב היה לבחור כשנפל בחלקו</w:t>
            </w:r>
          </w:p>
        </w:tc>
        <w:tc>
          <w:tcPr>
            <w:tcW w:type="dxa" w:w="2160"/>
          </w:tcPr>
          <w:p>
            <w:pPr>
              <w:bidi/>
              <w:jc w:val="right"/>
            </w:pPr>
            <w:r/>
            <w:r>
              <w:t>'מזל טוב' בעברית פירושו ברכה ולא 'good luck'; גם סדר המילים אנגלי ('lucky was the boy').</w:t>
            </w:r>
          </w:p>
        </w:tc>
        <w:tc>
          <w:tcPr>
            <w:tcW w:type="dxa" w:w="2160"/>
          </w:tcPr>
          <w:p>
            <w:pPr>
              <w:bidi/>
              <w:jc w:val="right"/>
            </w:pPr>
            <w:r/>
            <w:r>
              <w:t>בר מזל היה הבחור שנפל בחלקו ‘טאג’ אצל משפחה אמידה יותר, שבה קמו מן השולחן שבעים גם המארחים וגם האורח.</w:t>
            </w:r>
          </w:p>
        </w:tc>
      </w:tr>
      <w:tr>
        <w:tc>
          <w:tcPr>
            <w:tcW w:type="dxa" w:w="2160"/>
          </w:tcPr>
          <w:p>
            <w:pPr>
              <w:bidi/>
              <w:jc w:val="right"/>
            </w:pPr>
            <w:r/>
            <w:r>
              <w:t>778</w:t>
            </w:r>
          </w:p>
        </w:tc>
        <w:tc>
          <w:tcPr>
            <w:tcW w:type="dxa" w:w="2160"/>
          </w:tcPr>
          <w:p>
            <w:pPr>
              <w:bidi/>
              <w:jc w:val="right"/>
            </w:pPr>
            <w:r/>
            <w:r>
              <w:t>היה בן דודו של ר׳ אליהו בדרגה השלישית</w:t>
            </w:r>
          </w:p>
        </w:tc>
        <w:tc>
          <w:tcPr>
            <w:tcW w:type="dxa" w:w="2160"/>
          </w:tcPr>
          <w:p>
            <w:pPr>
              <w:bidi/>
              <w:jc w:val="right"/>
            </w:pPr>
            <w:r/>
            <w:r>
              <w:t>'בדרגה השלישית' הוא תרגום מילולי של 'third cousin' / 'third degree'; בעברית אומרים 'בן דוד שלישי'.</w:t>
            </w:r>
          </w:p>
        </w:tc>
        <w:tc>
          <w:tcPr>
            <w:tcW w:type="dxa" w:w="2160"/>
          </w:tcPr>
          <w:p>
            <w:pPr>
              <w:bidi/>
              <w:jc w:val="right"/>
            </w:pPr>
            <w:r/>
            <w:r>
              <w:t>היה בן דודו השלישי של ר׳ אליהו.</w:t>
            </w:r>
          </w:p>
        </w:tc>
      </w:tr>
      <w:tr>
        <w:tc>
          <w:tcPr>
            <w:tcW w:type="dxa" w:w="2160"/>
          </w:tcPr>
          <w:p>
            <w:pPr>
              <w:bidi/>
              <w:jc w:val="right"/>
            </w:pPr>
            <w:r/>
            <w:r>
              <w:t>914</w:t>
            </w:r>
          </w:p>
        </w:tc>
        <w:tc>
          <w:tcPr>
            <w:tcW w:type="dxa" w:w="2160"/>
          </w:tcPr>
          <w:p>
            <w:pPr>
              <w:bidi/>
              <w:jc w:val="right"/>
            </w:pPr>
            <w:r/>
            <w:r>
              <w:t>סירב להורות לא כמנהג ההיתר המקומי ולא נגדו, ונאלצו להעביר</w:t>
            </w:r>
          </w:p>
        </w:tc>
        <w:tc>
          <w:tcPr>
            <w:tcW w:type="dxa" w:w="2160"/>
          </w:tcPr>
          <w:p>
            <w:pPr>
              <w:bidi/>
              <w:jc w:val="right"/>
            </w:pPr>
            <w:r/>
            <w:r>
              <w:t>"לא...ולא" אחרי "סירב להורות" אינו תקני (תרגום של neither...nor), והפועל "נאלצו" בלי נושא מפורש</w:t>
            </w:r>
          </w:p>
        </w:tc>
        <w:tc>
          <w:tcPr>
            <w:tcW w:type="dxa" w:w="2160"/>
          </w:tcPr>
          <w:p>
            <w:pPr>
              <w:bidi/>
              <w:jc w:val="right"/>
            </w:pPr>
            <w:r/>
            <w:r>
              <w:t>סירב להורות הן כמנהג ההיתר המקומי הן נגדו, ולכן נאלצו בני העיירה להעביר את השאלה ההלכתית להכרעת רבני וילנה</w:t>
            </w:r>
          </w:p>
        </w:tc>
      </w:tr>
      <w:tr>
        <w:tc>
          <w:tcPr>
            <w:tcW w:type="dxa" w:w="2160"/>
          </w:tcPr>
          <w:p>
            <w:pPr>
              <w:bidi/>
              <w:jc w:val="right"/>
            </w:pPr>
            <w:r/>
            <w:r>
              <w:t>1242</w:t>
            </w:r>
          </w:p>
        </w:tc>
        <w:tc>
          <w:tcPr>
            <w:tcW w:type="dxa" w:w="2160"/>
          </w:tcPr>
          <w:p>
            <w:pPr>
              <w:bidi/>
              <w:jc w:val="right"/>
            </w:pPr>
            <w:r/>
            <w:r>
              <w:t>חוסר הסובלנות כלפי דעות אחרים מאפיין את היחס השורר עד ימינו</w:t>
            </w:r>
          </w:p>
        </w:tc>
        <w:tc>
          <w:tcPr>
            <w:tcW w:type="dxa" w:w="2160"/>
          </w:tcPr>
          <w:p>
            <w:pPr>
              <w:bidi/>
              <w:jc w:val="right"/>
            </w:pPr>
            <w:r/>
            <w:r>
              <w:t>'דעות אחרים' אינה תקנית, והמשפט כבד (שרשרת סמיכויות וחוגים שהולידו יורשיהם)</w:t>
            </w:r>
          </w:p>
        </w:tc>
        <w:tc>
          <w:tcPr>
            <w:tcW w:type="dxa" w:w="2160"/>
          </w:tcPr>
          <w:p>
            <w:pPr>
              <w:bidi/>
              <w:jc w:val="right"/>
            </w:pPr>
            <w:r/>
            <w:r>
              <w:t>חוסר הסובלנות כלפי דעות אחרות מאפיין עד ימינו את החוגים הפוליטיים והאידיאולוגיים שצמחו מיורשיהם הרוחניים של המשכילים.</w:t>
            </w:r>
          </w:p>
        </w:tc>
      </w:tr>
      <w:tr>
        <w:tc>
          <w:tcPr>
            <w:tcW w:type="dxa" w:w="2160"/>
          </w:tcPr>
          <w:p>
            <w:pPr>
              <w:bidi/>
              <w:jc w:val="right"/>
            </w:pPr>
            <w:r/>
            <w:r>
              <w:t>1326</w:t>
            </w:r>
          </w:p>
        </w:tc>
        <w:tc>
          <w:tcPr>
            <w:tcW w:type="dxa" w:w="2160"/>
          </w:tcPr>
          <w:p>
            <w:pPr>
              <w:bidi/>
              <w:jc w:val="right"/>
            </w:pPr>
            <w:r/>
            <w:r>
              <w:t>מתי יורטה חליפת המכתבים</w:t>
            </w:r>
          </w:p>
        </w:tc>
        <w:tc>
          <w:tcPr>
            <w:tcW w:type="dxa" w:w="2160"/>
          </w:tcPr>
          <w:p>
            <w:pPr>
              <w:bidi/>
              <w:jc w:val="right"/>
            </w:pPr>
            <w:r/>
            <w:r>
              <w:t>הפועל "יורטה" אינו מתאים (נראה שתרגום שגוי של "began/was initiated")</w:t>
            </w:r>
          </w:p>
        </w:tc>
        <w:tc>
          <w:tcPr>
            <w:tcW w:type="dxa" w:w="2160"/>
          </w:tcPr>
          <w:p>
            <w:pPr>
              <w:bidi/>
              <w:jc w:val="right"/>
            </w:pPr>
            <w:r/>
            <w:r>
              <w:t>מתי החלה חליפת המכתבים</w:t>
            </w:r>
          </w:p>
        </w:tc>
      </w:tr>
      <w:tr>
        <w:tc>
          <w:tcPr>
            <w:tcW w:type="dxa" w:w="2160"/>
          </w:tcPr>
          <w:p>
            <w:pPr>
              <w:bidi/>
              <w:jc w:val="right"/>
            </w:pPr>
            <w:r/>
            <w:r>
              <w:t>1335</w:t>
            </w:r>
          </w:p>
        </w:tc>
        <w:tc>
          <w:tcPr>
            <w:tcW w:type="dxa" w:w="2160"/>
          </w:tcPr>
          <w:p>
            <w:pPr>
              <w:bidi/>
              <w:jc w:val="right"/>
            </w:pPr>
            <w:r/>
            <w:r>
              <w:t>מוכיח שהתזה שליליינטל עזב את רוסיה מפני שנודע לו על התזכיר הסודי מופרכת</w:t>
            </w:r>
          </w:p>
        </w:tc>
        <w:tc>
          <w:tcPr>
            <w:tcW w:type="dxa" w:w="2160"/>
          </w:tcPr>
          <w:p>
            <w:pPr>
              <w:bidi/>
              <w:jc w:val="right"/>
            </w:pPr>
            <w:r/>
            <w:r>
              <w:t>חסרה מילת קישור ("התזה ש..." בלי "שלפיה"), ומבנה כבד ועמוס ש'</w:t>
            </w:r>
          </w:p>
        </w:tc>
        <w:tc>
          <w:tcPr>
            <w:tcW w:type="dxa" w:w="2160"/>
          </w:tcPr>
          <w:p>
            <w:pPr>
              <w:bidi/>
              <w:jc w:val="right"/>
            </w:pPr>
            <w:r/>
            <w:r>
              <w:t>מוכיח שהתזה שלפיה ליליינטל עזב את רוסיה מפני שנודע לו על התזכיר הסודי מופרכת</w:t>
            </w:r>
          </w:p>
        </w:tc>
      </w:tr>
      <w:tr>
        <w:tc>
          <w:tcPr>
            <w:tcW w:type="dxa" w:w="2160"/>
          </w:tcPr>
          <w:p>
            <w:pPr>
              <w:bidi/>
              <w:jc w:val="right"/>
            </w:pPr>
            <w:r/>
            <w:r>
              <w:t>1347</w:t>
            </w:r>
          </w:p>
        </w:tc>
        <w:tc>
          <w:tcPr>
            <w:tcW w:type="dxa" w:w="2160"/>
          </w:tcPr>
          <w:p>
            <w:pPr>
              <w:bidi/>
              <w:jc w:val="right"/>
            </w:pPr>
            <w:r/>
            <w:r>
              <w:t>ליחס שזוכים לו אחיו היהודים</w:t>
            </w:r>
          </w:p>
        </w:tc>
        <w:tc>
          <w:tcPr>
            <w:tcW w:type="dxa" w:w="2160"/>
          </w:tcPr>
          <w:p>
            <w:pPr>
              <w:bidi/>
              <w:jc w:val="right"/>
            </w:pPr>
            <w:r/>
            <w:r>
              <w:t>מבנה לא תקני וסביל-אנגלי ("יחס שזוכים לו")</w:t>
            </w:r>
          </w:p>
        </w:tc>
        <w:tc>
          <w:tcPr>
            <w:tcW w:type="dxa" w:w="2160"/>
          </w:tcPr>
          <w:p>
            <w:pPr>
              <w:bidi/>
              <w:jc w:val="right"/>
            </w:pPr>
            <w:r/>
            <w:r>
              <w:t>ליחס שמקבלים אחיו היהודים / לגורל אחיו היהודים</w:t>
            </w:r>
          </w:p>
        </w:tc>
      </w:tr>
      <w:tr>
        <w:tc>
          <w:tcPr>
            <w:tcW w:type="dxa" w:w="2160"/>
          </w:tcPr>
          <w:p>
            <w:pPr>
              <w:bidi/>
              <w:jc w:val="right"/>
            </w:pPr>
            <w:r/>
            <w:r>
              <w:t>1408</w:t>
            </w:r>
          </w:p>
        </w:tc>
        <w:tc>
          <w:tcPr>
            <w:tcW w:type="dxa" w:w="2160"/>
          </w:tcPr>
          <w:p>
            <w:pPr>
              <w:bidi/>
              <w:jc w:val="right"/>
            </w:pPr>
            <w:r/>
            <w:r>
              <w:t>הפריצות של החברה והספרות בימינו מחייבת לבדוק בקפידה ספרי חול בני זמננו</w:t>
            </w:r>
          </w:p>
        </w:tc>
        <w:tc>
          <w:tcPr>
            <w:tcW w:type="dxa" w:w="2160"/>
          </w:tcPr>
          <w:p>
            <w:pPr>
              <w:bidi/>
              <w:jc w:val="right"/>
            </w:pPr>
            <w:r/>
            <w:r>
              <w:t>אי־התאמה דקדוקית (״הפריצות… מחייבת״) וסמיכויות עמוסות</w:t>
            </w:r>
          </w:p>
        </w:tc>
        <w:tc>
          <w:tcPr>
            <w:tcW w:type="dxa" w:w="2160"/>
          </w:tcPr>
          <w:p>
            <w:pPr>
              <w:bidi/>
              <w:jc w:val="right"/>
            </w:pPr>
            <w:r/>
            <w:r>
              <w:t>ועוד הוסיף שהפריצות בחברה ובספרות בימינו מחייבות לבדוק בקפידה ספרי חול עכשוויים לפני שמכניסים אותם לרשימת הקריאה המותרת.</w:t>
            </w:r>
          </w:p>
        </w:tc>
      </w:tr>
      <w:tr>
        <w:tc>
          <w:tcPr>
            <w:tcW w:type="dxa" w:w="2160"/>
          </w:tcPr>
          <w:p>
            <w:pPr>
              <w:bidi/>
              <w:jc w:val="right"/>
            </w:pPr>
            <w:r/>
            <w:r>
              <w:t>1414</w:t>
            </w:r>
          </w:p>
        </w:tc>
        <w:tc>
          <w:tcPr>
            <w:tcW w:type="dxa" w:w="2160"/>
          </w:tcPr>
          <w:p>
            <w:pPr>
              <w:bidi/>
              <w:jc w:val="right"/>
            </w:pPr>
            <w:r/>
            <w:r>
              <w:t>לבית המדרש לרבנים המשכילי בווילנה</w:t>
            </w:r>
          </w:p>
        </w:tc>
        <w:tc>
          <w:tcPr>
            <w:tcW w:type="dxa" w:w="2160"/>
          </w:tcPr>
          <w:p>
            <w:pPr>
              <w:bidi/>
              <w:jc w:val="right"/>
            </w:pPr>
            <w:r/>
            <w:r>
              <w:t>טעות דקדוקית: ״המשכילי״ אינו תקין, והשימוש בשם התואר מיותר</w:t>
            </w:r>
          </w:p>
        </w:tc>
        <w:tc>
          <w:tcPr>
            <w:tcW w:type="dxa" w:w="2160"/>
          </w:tcPr>
          <w:p>
            <w:pPr>
              <w:bidi/>
              <w:jc w:val="right"/>
            </w:pPr>
            <w:r/>
            <w:r>
              <w:t>לבית המדרש לרבנים המשכיל בווילנה</w:t>
            </w:r>
          </w:p>
        </w:tc>
      </w:tr>
      <w:tr>
        <w:tc>
          <w:tcPr>
            <w:tcW w:type="dxa" w:w="2160"/>
          </w:tcPr>
          <w:p>
            <w:pPr>
              <w:bidi/>
              <w:jc w:val="right"/>
            </w:pPr>
            <w:r/>
            <w:r>
              <w:t>1539</w:t>
            </w:r>
          </w:p>
        </w:tc>
        <w:tc>
          <w:tcPr>
            <w:tcW w:type="dxa" w:w="2160"/>
          </w:tcPr>
          <w:p>
            <w:pPr>
              <w:bidi/>
              <w:jc w:val="right"/>
            </w:pPr>
            <w:r/>
            <w:r>
              <w:t>זאת אף שהחפץ־חיים לא היה קשור לכולל קובנה, כר׳ אלכסנדר־משה לפידות</w:t>
            </w:r>
          </w:p>
        </w:tc>
        <w:tc>
          <w:tcPr>
            <w:tcW w:type="dxa" w:w="2160"/>
          </w:tcPr>
          <w:p>
            <w:pPr>
              <w:bidi/>
              <w:jc w:val="right"/>
            </w:pPr>
            <w:r/>
            <w:r>
              <w:t>״כר׳ ...״ במובן unlike/as opposed to הוא תרגום מטעה; בעברית משמעו ״כמו״ והמשפט מתהפך</w:t>
            </w:r>
          </w:p>
        </w:tc>
        <w:tc>
          <w:tcPr>
            <w:tcW w:type="dxa" w:w="2160"/>
          </w:tcPr>
          <w:p>
            <w:pPr>
              <w:bidi/>
              <w:jc w:val="right"/>
            </w:pPr>
            <w:r/>
            <w:r>
              <w:t>זאת אף שהחפץ־חיים לא היה קשור לכולל קובנה, בניגוד לר׳ אלכסנדר־משה לפידות</w:t>
            </w:r>
          </w:p>
        </w:tc>
      </w:tr>
      <w:tr>
        <w:tc>
          <w:tcPr>
            <w:tcW w:type="dxa" w:w="2160"/>
          </w:tcPr>
          <w:p>
            <w:pPr>
              <w:bidi/>
              <w:jc w:val="right"/>
            </w:pPr>
            <w:r/>
            <w:r>
              <w:t>1544</w:t>
            </w:r>
          </w:p>
        </w:tc>
        <w:tc>
          <w:tcPr>
            <w:tcW w:type="dxa" w:w="2160"/>
          </w:tcPr>
          <w:p>
            <w:pPr>
              <w:bidi/>
              <w:jc w:val="right"/>
            </w:pPr>
            <w:r/>
            <w:r>
              <w:t>נזדמנה לסבא אפשרות להשיב לחפץ־חיים על עזרתו</w:t>
            </w:r>
          </w:p>
        </w:tc>
        <w:tc>
          <w:tcPr>
            <w:tcW w:type="dxa" w:w="2160"/>
          </w:tcPr>
          <w:p>
            <w:pPr>
              <w:bidi/>
              <w:jc w:val="right"/>
            </w:pPr>
            <w:r/>
            <w:r>
              <w:t>״להשיב על עזרתו״ תרגום מילולי של repay; ״להשיב על״ פירושו לענות</w:t>
            </w:r>
          </w:p>
        </w:tc>
        <w:tc>
          <w:tcPr>
            <w:tcW w:type="dxa" w:w="2160"/>
          </w:tcPr>
          <w:p>
            <w:pPr>
              <w:bidi/>
              <w:jc w:val="right"/>
            </w:pPr>
            <w:r/>
            <w:r>
              <w:t>נזדמנה לסבא הזדמנות לגמול לחפץ־חיים על עזרתו</w:t>
            </w:r>
          </w:p>
        </w:tc>
      </w:tr>
      <w:tr>
        <w:tc>
          <w:tcPr>
            <w:tcW w:type="dxa" w:w="2160"/>
          </w:tcPr>
          <w:p>
            <w:pPr>
              <w:bidi/>
              <w:jc w:val="right"/>
            </w:pPr>
            <w:r/>
            <w:r>
              <w:t>1842</w:t>
            </w:r>
          </w:p>
        </w:tc>
        <w:tc>
          <w:tcPr>
            <w:tcW w:type="dxa" w:w="2160"/>
          </w:tcPr>
          <w:p>
            <w:pPr>
              <w:bidi/>
              <w:jc w:val="right"/>
            </w:pPr>
            <w:r/>
            <w:r>
              <w:t>כשהוא תולה בר׳ ישראל סלנטר את היותו של לחמן ליהודי שומר מצוות</w:t>
            </w:r>
          </w:p>
        </w:tc>
        <w:tc>
          <w:tcPr>
            <w:tcW w:type="dxa" w:w="2160"/>
          </w:tcPr>
          <w:p>
            <w:pPr>
              <w:bidi/>
              <w:jc w:val="right"/>
            </w:pPr>
            <w:r/>
            <w:r>
              <w:t>'היותו ליהודי' – שימוש שגוי: הכוונה להפיכתו (becoming), לא להיותו.</w:t>
            </w:r>
          </w:p>
        </w:tc>
        <w:tc>
          <w:tcPr>
            <w:tcW w:type="dxa" w:w="2160"/>
          </w:tcPr>
          <w:p>
            <w:pPr>
              <w:bidi/>
              <w:jc w:val="right"/>
            </w:pPr>
            <w:r/>
            <w:r>
              <w:t>כשהוא תולה בר׳ ישראל סלנטר את הפיכתו של לחמן ליהודי שומר מצוות</w:t>
            </w:r>
          </w:p>
        </w:tc>
      </w:tr>
      <w:tr>
        <w:tc>
          <w:tcPr>
            <w:tcW w:type="dxa" w:w="2160"/>
          </w:tcPr>
          <w:p>
            <w:pPr>
              <w:bidi/>
              <w:jc w:val="right"/>
            </w:pPr>
            <w:r/>
            <w:r>
              <w:t>1927</w:t>
            </w:r>
          </w:p>
        </w:tc>
        <w:tc>
          <w:tcPr>
            <w:tcW w:type="dxa" w:w="2160"/>
          </w:tcPr>
          <w:p>
            <w:pPr>
              <w:bidi/>
              <w:jc w:val="right"/>
            </w:pPr>
            <w:r/>
            <w:r>
              <w:t>מעשה אחר שסיפר אבי לנכדו, בני ר׳ יוסף, מורה שהיה קרע בין הסבא מקלם לסבא מסלבודקה</w:t>
            </w:r>
          </w:p>
        </w:tc>
        <w:tc>
          <w:tcPr>
            <w:tcW w:type="dxa" w:w="2160"/>
          </w:tcPr>
          <w:p>
            <w:pPr>
              <w:bidi/>
              <w:jc w:val="right"/>
            </w:pPr>
            <w:r/>
            <w:r>
              <w:t>"מורה שהיה קרע" אינו עברית; מבנה תחבירי שבור (תרגום של "shows there was a rift").</w:t>
            </w:r>
          </w:p>
        </w:tc>
        <w:tc>
          <w:tcPr>
            <w:tcW w:type="dxa" w:w="2160"/>
          </w:tcPr>
          <w:p>
            <w:pPr>
              <w:bidi/>
              <w:jc w:val="right"/>
            </w:pPr>
            <w:r/>
            <w:r>
              <w:t>מעשה אחר שסיפר אבי לנכדו, בני ר׳ יוסף, מלמד שהיה קרע בין הסבא מקלם לסבא מסלבודקה.</w:t>
            </w:r>
          </w:p>
        </w:tc>
      </w:tr>
      <w:tr>
        <w:tc>
          <w:tcPr>
            <w:tcW w:type="dxa" w:w="2160"/>
          </w:tcPr>
          <w:p>
            <w:pPr>
              <w:bidi/>
              <w:jc w:val="right"/>
            </w:pPr>
            <w:r/>
            <w:r>
              <w:t>1980</w:t>
            </w:r>
          </w:p>
        </w:tc>
        <w:tc>
          <w:tcPr>
            <w:tcW w:type="dxa" w:w="2160"/>
          </w:tcPr>
          <w:p>
            <w:pPr>
              <w:bidi/>
              <w:jc w:val="right"/>
            </w:pPr>
            <w:r/>
            <w:r>
              <w:t>כפי שהייתה ראויה לפי תיאורו של פרידמן את מעשיה</w:t>
            </w:r>
          </w:p>
        </w:tc>
        <w:tc>
          <w:tcPr>
            <w:tcW w:type="dxa" w:w="2160"/>
          </w:tcPr>
          <w:p>
            <w:pPr>
              <w:bidi/>
              <w:jc w:val="right"/>
            </w:pPr>
            <w:r/>
            <w:r>
              <w:t>סדר מילים אנגלי ומבנה מסורבל: "ראויה לפי תיאורו... את מעשיה" אינו עברית תקינה</w:t>
            </w:r>
          </w:p>
        </w:tc>
        <w:tc>
          <w:tcPr>
            <w:tcW w:type="dxa" w:w="2160"/>
          </w:tcPr>
          <w:p>
            <w:pPr>
              <w:bidi/>
              <w:jc w:val="right"/>
            </w:pPr>
            <w:r/>
            <w:r>
              <w:t>מדוע לא הוכיחו אותה בגלוי, אם מעשיה היו כפי שתיאר פרידמן ראויים לתוכחה?</w:t>
            </w:r>
          </w:p>
        </w:tc>
      </w:tr>
      <w:tr>
        <w:tc>
          <w:tcPr>
            <w:tcW w:type="dxa" w:w="2160"/>
          </w:tcPr>
          <w:p>
            <w:pPr>
              <w:bidi/>
              <w:jc w:val="right"/>
            </w:pPr>
            <w:r/>
            <w:r>
              <w:t>2036</w:t>
            </w:r>
          </w:p>
        </w:tc>
        <w:tc>
          <w:tcPr>
            <w:tcW w:type="dxa" w:w="2160"/>
          </w:tcPr>
          <w:p>
            <w:pPr>
              <w:bidi/>
              <w:jc w:val="right"/>
            </w:pPr>
            <w:r/>
            <w:r>
              <w:t>היה כנראה מורה לחפץ־חיים לשלוח את אברהם ללמוד אצל בנו</w:t>
            </w:r>
          </w:p>
        </w:tc>
        <w:tc>
          <w:tcPr>
            <w:tcW w:type="dxa" w:w="2160"/>
          </w:tcPr>
          <w:p>
            <w:pPr>
              <w:bidi/>
              <w:jc w:val="right"/>
            </w:pPr>
            <w:r/>
            <w:r>
              <w:t>״מורה״ כאן הוא תרגום מטעה (directed/instructed); בעברית ״מורה״ הוא מלמד</w:t>
            </w:r>
          </w:p>
        </w:tc>
        <w:tc>
          <w:tcPr>
            <w:tcW w:type="dxa" w:w="2160"/>
          </w:tcPr>
          <w:p>
            <w:pPr>
              <w:bidi/>
              <w:jc w:val="right"/>
            </w:pPr>
            <w:r/>
            <w:r>
              <w:t>ר׳ יוסף דב עצמו הוא שהורה כנראה לחפץ־חיים לשלוח את אברהם ללמוד אצל בנו (ואולי אף עשה כן!)</w:t>
            </w:r>
          </w:p>
        </w:tc>
      </w:tr>
      <w:tr>
        <w:tc>
          <w:tcPr>
            <w:tcW w:type="dxa" w:w="2160"/>
          </w:tcPr>
          <w:p>
            <w:pPr>
              <w:bidi/>
              <w:jc w:val="right"/>
            </w:pPr>
            <w:r/>
            <w:r>
              <w:t>2090</w:t>
            </w:r>
          </w:p>
        </w:tc>
        <w:tc>
          <w:tcPr>
            <w:tcW w:type="dxa" w:w="2160"/>
          </w:tcPr>
          <w:p>
            <w:pPr>
              <w:bidi/>
              <w:jc w:val="right"/>
            </w:pPr>
            <w:r/>
            <w:r>
              <w:t>היה סיבה למותו של ר׳ יוסף דב</w:t>
            </w:r>
          </w:p>
        </w:tc>
        <w:tc>
          <w:tcPr>
            <w:tcW w:type="dxa" w:w="2160"/>
          </w:tcPr>
          <w:p>
            <w:pPr>
              <w:bidi/>
              <w:jc w:val="right"/>
            </w:pPr>
            <w:r/>
            <w:r>
              <w:t>אי־התאמה בין 'בואו' (זכר) ל'סיבה' (נקבה), וצירוף 'היה סיבה' אינו טבעי (תרגום של was the cause of)</w:t>
            </w:r>
          </w:p>
        </w:tc>
        <w:tc>
          <w:tcPr>
            <w:tcW w:type="dxa" w:w="2160"/>
          </w:tcPr>
          <w:p>
            <w:pPr>
              <w:bidi/>
              <w:jc w:val="right"/>
            </w:pPr>
            <w:r/>
            <w:r>
              <w:t>גרם למותו של ר׳ יוסף דב</w:t>
            </w:r>
          </w:p>
        </w:tc>
      </w:tr>
      <w:tr>
        <w:tc>
          <w:tcPr>
            <w:tcW w:type="dxa" w:w="2160"/>
          </w:tcPr>
          <w:p>
            <w:pPr>
              <w:bidi/>
              <w:jc w:val="right"/>
            </w:pPr>
            <w:r/>
            <w:r>
              <w:t>2127</w:t>
            </w:r>
          </w:p>
        </w:tc>
        <w:tc>
          <w:tcPr>
            <w:tcW w:type="dxa" w:w="2160"/>
          </w:tcPr>
          <w:p>
            <w:pPr>
              <w:bidi/>
              <w:jc w:val="right"/>
            </w:pPr>
            <w:r/>
            <w:r>
              <w:t>הסבא רצה לקבל שני מוסרי שיעורים</w:t>
            </w:r>
          </w:p>
        </w:tc>
        <w:tc>
          <w:tcPr>
            <w:tcW w:type="dxa" w:w="2160"/>
          </w:tcPr>
          <w:p>
            <w:pPr>
              <w:bidi/>
              <w:jc w:val="right"/>
            </w:pPr>
            <w:r/>
            <w:r>
              <w:t>שגיאה/החלפת מילים: "מוסרי שיעורים" במקום "מגידי שיעור".</w:t>
            </w:r>
          </w:p>
        </w:tc>
        <w:tc>
          <w:tcPr>
            <w:tcW w:type="dxa" w:w="2160"/>
          </w:tcPr>
          <w:p>
            <w:pPr>
              <w:bidi/>
              <w:jc w:val="right"/>
            </w:pPr>
            <w:r/>
            <w:r>
              <w:t>הסבא רצה לקבל שני מגידי שיעור</w:t>
            </w:r>
          </w:p>
        </w:tc>
      </w:tr>
      <w:tr>
        <w:tc>
          <w:tcPr>
            <w:tcW w:type="dxa" w:w="2160"/>
          </w:tcPr>
          <w:p>
            <w:pPr>
              <w:bidi/>
              <w:jc w:val="right"/>
            </w:pPr>
            <w:r/>
            <w:r>
              <w:t>2177</w:t>
            </w:r>
          </w:p>
        </w:tc>
        <w:tc>
          <w:tcPr>
            <w:tcW w:type="dxa" w:w="2160"/>
          </w:tcPr>
          <w:p>
            <w:pPr>
              <w:bidi/>
              <w:jc w:val="right"/>
            </w:pPr>
            <w:r/>
            <w:r>
              <w:t>הספר אף מאשים אותו על עצם הצגת מועמדותו למשרה שהייתה שייכת בדין ליורש</w:t>
            </w:r>
          </w:p>
        </w:tc>
        <w:tc>
          <w:tcPr>
            <w:tcW w:type="dxa" w:w="2160"/>
          </w:tcPr>
          <w:p>
            <w:pPr>
              <w:bidi/>
              <w:jc w:val="right"/>
            </w:pPr>
            <w:r/>
            <w:r>
              <w:t>'מאשים על' – מילת יחס מילולית; בעברית מאשימים ב-</w:t>
            </w:r>
          </w:p>
        </w:tc>
        <w:tc>
          <w:tcPr>
            <w:tcW w:type="dxa" w:w="2160"/>
          </w:tcPr>
          <w:p>
            <w:pPr>
              <w:bidi/>
              <w:jc w:val="right"/>
            </w:pPr>
            <w:r/>
            <w:r>
              <w:t>הספר אף מאשים אותו בעצם הצגת מועמדותו למשרה שהייתה שייכת בדין ליורש</w:t>
            </w:r>
          </w:p>
        </w:tc>
      </w:tr>
      <w:tr>
        <w:tc>
          <w:tcPr>
            <w:tcW w:type="dxa" w:w="2160"/>
          </w:tcPr>
          <w:p>
            <w:pPr>
              <w:bidi/>
              <w:jc w:val="right"/>
            </w:pPr>
            <w:r/>
            <w:r>
              <w:t>2179</w:t>
            </w:r>
          </w:p>
        </w:tc>
        <w:tc>
          <w:tcPr>
            <w:tcW w:type="dxa" w:w="2160"/>
          </w:tcPr>
          <w:p>
            <w:pPr>
              <w:bidi/>
              <w:jc w:val="right"/>
            </w:pPr>
            <w:r/>
            <w:r>
              <w:t>“המליץ” מספר על איישישוק, העיירה המפורסמת בת כ־3,000 היהודים, שהתפארה בכך שהיא מפרנסת בכוחות עצמה את מאות הפרו</w:t>
            </w:r>
          </w:p>
        </w:tc>
        <w:tc>
          <w:tcPr>
            <w:tcW w:type="dxa" w:w="2160"/>
          </w:tcPr>
          <w:p>
            <w:pPr>
              <w:bidi/>
              <w:jc w:val="right"/>
            </w:pPr>
            <w:r/>
            <w:r>
              <w:t>משפט כבד מאוד: נושא, תיאור ארוך, סימוני מקף והערה מוסגרת והמשך 'ש“לא הצליחה...' מנותקים זה מזה במרחק רב, וקשה לקרוא בנשימה אחת</w:t>
            </w:r>
          </w:p>
        </w:tc>
        <w:tc>
          <w:tcPr>
            <w:tcW w:type="dxa" w:w="2160"/>
          </w:tcPr>
          <w:p>
            <w:pPr>
              <w:bidi/>
              <w:jc w:val="right"/>
            </w:pPr>
            <w:r/>
            <w:r>
              <w:t>“המליץ” מספר על איישישוק, עיירה מפורסמת בת כ־3,000 יהודים, שהתפארה בכך שהיא מפרנסת בכוחות עצמה את מאות הפרושים שבאו ללמוד בה מעשרות עיירות, ושלא שלחה משולחים לע</w:t>
            </w:r>
          </w:p>
        </w:tc>
      </w:tr>
      <w:tr>
        <w:tc>
          <w:tcPr>
            <w:tcW w:type="dxa" w:w="2160"/>
          </w:tcPr>
          <w:p>
            <w:pPr>
              <w:bidi/>
              <w:jc w:val="right"/>
            </w:pPr>
            <w:r/>
            <w:r>
              <w:t>2240</w:t>
            </w:r>
          </w:p>
        </w:tc>
        <w:tc>
          <w:tcPr>
            <w:tcW w:type="dxa" w:w="2160"/>
          </w:tcPr>
          <w:p>
            <w:pPr>
              <w:bidi/>
              <w:jc w:val="right"/>
            </w:pPr>
            <w:r/>
            <w:r>
              <w:t>קדמו לכך הצהרה קצרה של ר׳ איצל׳ה</w:t>
            </w:r>
          </w:p>
        </w:tc>
        <w:tc>
          <w:tcPr>
            <w:tcW w:type="dxa" w:w="2160"/>
          </w:tcPr>
          <w:p>
            <w:pPr>
              <w:bidi/>
              <w:jc w:val="right"/>
            </w:pPr>
            <w:r/>
            <w:r>
              <w:t>אי־התאמה דקדוקית: נושא נקבה יחיד עם פועל ברבים</w:t>
            </w:r>
          </w:p>
        </w:tc>
        <w:tc>
          <w:tcPr>
            <w:tcW w:type="dxa" w:w="2160"/>
          </w:tcPr>
          <w:p>
            <w:pPr>
              <w:bidi/>
              <w:jc w:val="right"/>
            </w:pPr>
            <w:r/>
            <w:r>
              <w:t>קדמה לכך הצהרה קצרה של ר׳ איצל׳ה</w:t>
            </w:r>
          </w:p>
        </w:tc>
      </w:tr>
      <w:tr>
        <w:tc>
          <w:tcPr>
            <w:tcW w:type="dxa" w:w="2160"/>
          </w:tcPr>
          <w:p>
            <w:pPr>
              <w:bidi/>
              <w:jc w:val="right"/>
            </w:pPr>
            <w:r/>
            <w:r>
              <w:t>2264</w:t>
            </w:r>
          </w:p>
        </w:tc>
        <w:tc>
          <w:tcPr>
            <w:tcW w:type="dxa" w:w="2160"/>
          </w:tcPr>
          <w:p>
            <w:pPr>
              <w:bidi/>
              <w:jc w:val="right"/>
            </w:pPr>
            <w:r/>
            <w:r>
              <w:t>כפי שהחילו אבי על המלעיז על ר׳ יצחק־יעקב ריינס</w:t>
            </w:r>
          </w:p>
        </w:tc>
        <w:tc>
          <w:tcPr>
            <w:tcW w:type="dxa" w:w="2160"/>
          </w:tcPr>
          <w:p>
            <w:pPr>
              <w:bidi/>
              <w:jc w:val="right"/>
            </w:pPr>
            <w:r/>
            <w:r>
              <w:t>אי־התאמה דקדוקית (נושא יחיד, פועל ברבים) וניסוח מסורבל בהערה ("בכך ראוי היה שיוחל עליו").</w:t>
            </w:r>
          </w:p>
        </w:tc>
        <w:tc>
          <w:tcPr>
            <w:tcW w:type="dxa" w:w="2160"/>
          </w:tcPr>
          <w:p>
            <w:pPr>
              <w:bidi/>
              <w:jc w:val="right"/>
            </w:pPr>
            <w:r/>
            <w:r>
              <w:t>כפי שהחיל אבי על המלעיז על ר׳ יצחק־יעקב ריינס</w:t>
            </w:r>
          </w:p>
        </w:tc>
      </w:tr>
      <w:tr>
        <w:tc>
          <w:tcPr>
            <w:tcW w:type="dxa" w:w="2160"/>
          </w:tcPr>
          <w:p>
            <w:pPr>
              <w:bidi/>
              <w:jc w:val="right"/>
            </w:pPr>
            <w:r/>
            <w:r>
              <w:t>2287</w:t>
            </w:r>
          </w:p>
        </w:tc>
        <w:tc>
          <w:tcPr>
            <w:tcW w:type="dxa" w:w="2160"/>
          </w:tcPr>
          <w:p>
            <w:pPr>
              <w:bidi/>
              <w:jc w:val="right"/>
            </w:pPr>
            <w:r/>
            <w:r>
              <w:t>שלושה עניינים שבהם עליהם לטפל</w:t>
            </w:r>
          </w:p>
        </w:tc>
        <w:tc>
          <w:tcPr>
            <w:tcW w:type="dxa" w:w="2160"/>
          </w:tcPr>
          <w:p>
            <w:pPr>
              <w:bidi/>
              <w:jc w:val="right"/>
            </w:pPr>
            <w:r/>
            <w:r>
              <w:t>תחביר שגוי ומסורבל ("שבהם עליהם").</w:t>
            </w:r>
          </w:p>
        </w:tc>
        <w:tc>
          <w:tcPr>
            <w:tcW w:type="dxa" w:w="2160"/>
          </w:tcPr>
          <w:p>
            <w:pPr>
              <w:bidi/>
              <w:jc w:val="right"/>
            </w:pPr>
            <w:r/>
            <w:r>
              <w:t>שלושה עניינים שעליהם לטפל בהם</w:t>
            </w:r>
          </w:p>
        </w:tc>
      </w:tr>
      <w:tr>
        <w:tc>
          <w:tcPr>
            <w:tcW w:type="dxa" w:w="2160"/>
          </w:tcPr>
          <w:p>
            <w:pPr>
              <w:bidi/>
              <w:jc w:val="right"/>
            </w:pPr>
            <w:r/>
            <w:r>
              <w:t>2363</w:t>
            </w:r>
          </w:p>
        </w:tc>
        <w:tc>
          <w:tcPr>
            <w:tcW w:type="dxa" w:w="2160"/>
          </w:tcPr>
          <w:p>
            <w:pPr>
              <w:bidi/>
              <w:jc w:val="right"/>
            </w:pPr>
            <w:r/>
            <w:r>
              <w:t>בצורה המעוותת שבה הציגו הסבא מסלבודקה</w:t>
            </w:r>
          </w:p>
        </w:tc>
        <w:tc>
          <w:tcPr>
            <w:tcW w:type="dxa" w:w="2160"/>
          </w:tcPr>
          <w:p>
            <w:pPr>
              <w:bidi/>
              <w:jc w:val="right"/>
            </w:pPr>
            <w:r/>
            <w:r>
              <w:t>שגיאת תחביר: חסר כינוי מושא ("הציג אותו"); וגם "הציגו" בגוף רבים</w:t>
            </w:r>
          </w:p>
        </w:tc>
        <w:tc>
          <w:tcPr>
            <w:tcW w:type="dxa" w:w="2160"/>
          </w:tcPr>
          <w:p>
            <w:pPr>
              <w:bidi/>
              <w:jc w:val="right"/>
            </w:pPr>
            <w:r/>
            <w:r>
              <w:t>בצורה המעוותת שבה הציג אותו הסבא מסלבודקה</w:t>
            </w:r>
          </w:p>
        </w:tc>
      </w:tr>
      <w:tr>
        <w:tc>
          <w:tcPr>
            <w:tcW w:type="dxa" w:w="2160"/>
          </w:tcPr>
          <w:p>
            <w:pPr>
              <w:bidi/>
              <w:jc w:val="right"/>
            </w:pPr>
            <w:r/>
            <w:r>
              <w:t>2449</w:t>
            </w:r>
          </w:p>
        </w:tc>
        <w:tc>
          <w:tcPr>
            <w:tcW w:type="dxa" w:w="2160"/>
          </w:tcPr>
          <w:p>
            <w:pPr>
              <w:bidi/>
              <w:jc w:val="right"/>
            </w:pPr>
            <w:r/>
            <w:r>
              <w:t>נענה החפץ־חיים בגערה</w:t>
            </w:r>
          </w:p>
        </w:tc>
        <w:tc>
          <w:tcPr>
            <w:tcW w:type="dxa" w:w="2160"/>
          </w:tcPr>
          <w:p>
            <w:pPr>
              <w:bidi/>
              <w:jc w:val="right"/>
            </w:pPr>
            <w:r/>
            <w:r>
              <w:t>תרגמת/עמימות: נראה שמדובר ב-was met with a rebuke, אך בעברית "נענה בגערה" משתמע כאילו החפץ־חיים הוא הגוער, בעוד הגוער הוא האור שמח</w:t>
            </w:r>
          </w:p>
        </w:tc>
        <w:tc>
          <w:tcPr>
            <w:tcW w:type="dxa" w:w="2160"/>
          </w:tcPr>
          <w:p>
            <w:pPr>
              <w:bidi/>
              <w:jc w:val="right"/>
            </w:pPr>
            <w:r/>
            <w:r>
              <w:t>קיבלו האור שמח בגערה / כשנפגשו השניים לבסוף, גער בו האור שמח: "מי הזמין אותך הנה?..."</w:t>
            </w:r>
          </w:p>
        </w:tc>
      </w:tr>
      <w:tr>
        <w:tc>
          <w:tcPr>
            <w:tcW w:type="dxa" w:w="2160"/>
          </w:tcPr>
          <w:p>
            <w:pPr>
              <w:bidi/>
              <w:jc w:val="right"/>
            </w:pPr>
            <w:r/>
            <w:r>
              <w:t>2999</w:t>
            </w:r>
          </w:p>
        </w:tc>
        <w:tc>
          <w:tcPr>
            <w:tcW w:type="dxa" w:w="2160"/>
          </w:tcPr>
          <w:p>
            <w:pPr>
              <w:bidi/>
              <w:jc w:val="right"/>
            </w:pPr>
            <w:r/>
            <w:r>
              <w:t>ר׳ יוסף רוזין לא למד מאת ר׳ מנדלי מה שלא לומר, דבר שאצל ר׳ חיים היה חשוב במיוחד.</w:t>
            </w:r>
          </w:p>
        </w:tc>
        <w:tc>
          <w:tcPr>
            <w:tcW w:type="dxa" w:w="2160"/>
          </w:tcPr>
          <w:p>
            <w:pPr>
              <w:bidi/>
              <w:jc w:val="right"/>
            </w:pPr>
            <w:r/>
            <w:r>
              <w:t>"מה שלא לומר" אינו עברית ברורה (נראה כתרגום של to say nothing of / what is not said); המשמעות אבדה.</w:t>
            </w:r>
          </w:p>
        </w:tc>
        <w:tc>
          <w:tcPr>
            <w:tcW w:type="dxa" w:w="2160"/>
          </w:tcPr>
          <w:p>
            <w:pPr>
              <w:bidi/>
              <w:jc w:val="right"/>
            </w:pPr>
            <w:r/>
            <w:r>
              <w:t>לבדוק מול המקור האנגלי; ייתכן: "ר׳ יוסף רוזין לא למד מר׳ מנדלי את מה שלא נאמר במפורש, דבר שאצל ר׳ חיים היה חשוב במיוחד".</w:t>
            </w:r>
          </w:p>
        </w:tc>
      </w:tr>
      <w:tr>
        <w:tc>
          <w:tcPr>
            <w:tcW w:type="dxa" w:w="2160"/>
          </w:tcPr>
          <w:p>
            <w:pPr>
              <w:bidi/>
              <w:jc w:val="right"/>
            </w:pPr>
            <w:r/>
            <w:r>
              <w:t>3098</w:t>
            </w:r>
          </w:p>
        </w:tc>
        <w:tc>
          <w:tcPr>
            <w:tcW w:type="dxa" w:w="2160"/>
          </w:tcPr>
          <w:p>
            <w:pPr>
              <w:bidi/>
              <w:jc w:val="right"/>
            </w:pPr>
            <w:r/>
            <w:r>
              <w:t>בלי כותרת המזהה את הכותב לא היו יכולים לזהות את מחברו</w:t>
            </w:r>
          </w:p>
        </w:tc>
        <w:tc>
          <w:tcPr>
            <w:tcW w:type="dxa" w:w="2160"/>
          </w:tcPr>
          <w:p>
            <w:pPr>
              <w:bidi/>
              <w:jc w:val="right"/>
            </w:pPr>
            <w:r/>
            <w:r>
              <w:t>ניסוח מעורפל ועגול: "כותרת" (כנראה תרגום שגוי של signature/heading) ו"לזהות את מחברו" חוזרים; גם המשפט כבד ותחבירו מקולקל.</w:t>
            </w:r>
          </w:p>
        </w:tc>
        <w:tc>
          <w:tcPr>
            <w:tcW w:type="dxa" w:w="2160"/>
          </w:tcPr>
          <w:p>
            <w:pPr>
              <w:bidi/>
              <w:jc w:val="right"/>
            </w:pPr>
            <w:r/>
            <w:r>
              <w:t>אילו חתם הסבא בחתימתו הרגילה והבלתי מובנת, לא היו בני ציטוביאן יכולים לדעת מי כתב את המכתב, אף שהיה כבר מפורסם.</w:t>
            </w:r>
          </w:p>
        </w:tc>
      </w:tr>
      <w:tr>
        <w:tc>
          <w:tcPr>
            <w:tcW w:type="dxa" w:w="2160"/>
          </w:tcPr>
          <w:p>
            <w:pPr>
              <w:bidi/>
              <w:jc w:val="right"/>
            </w:pPr>
            <w:r/>
            <w:r>
              <w:t>4050</w:t>
            </w:r>
          </w:p>
        </w:tc>
        <w:tc>
          <w:tcPr>
            <w:tcW w:type="dxa" w:w="2160"/>
          </w:tcPr>
          <w:p>
            <w:pPr>
              <w:bidi/>
              <w:jc w:val="right"/>
            </w:pPr>
            <w:r/>
            <w:r>
              <w:t>וולפרט מיהר להבטיחו שאינו</w:t>
            </w:r>
          </w:p>
        </w:tc>
        <w:tc>
          <w:tcPr>
            <w:tcW w:type="dxa" w:w="2160"/>
          </w:tcPr>
          <w:p>
            <w:pPr>
              <w:bidi/>
              <w:jc w:val="right"/>
            </w:pPr>
            <w:r/>
            <w:r>
              <w:t>שימוש שגוי בפועל: "הבטיח" נוטה עם ל', לא כפועל עומד ישיר (חיקוי "assured him").</w:t>
            </w:r>
          </w:p>
        </w:tc>
        <w:tc>
          <w:tcPr>
            <w:tcW w:type="dxa" w:w="2160"/>
          </w:tcPr>
          <w:p>
            <w:pPr>
              <w:bidi/>
              <w:jc w:val="right"/>
            </w:pPr>
            <w:r/>
            <w:r>
              <w:t>וולפרט מיהר להבטיח לו שהוא אינו</w:t>
            </w:r>
          </w:p>
        </w:tc>
      </w:tr>
      <w:tr>
        <w:tc>
          <w:tcPr>
            <w:tcW w:type="dxa" w:w="2160"/>
          </w:tcPr>
          <w:p>
            <w:pPr>
              <w:bidi/>
              <w:jc w:val="right"/>
            </w:pPr>
            <w:r/>
            <w:r>
              <w:t>4110</w:t>
            </w:r>
          </w:p>
        </w:tc>
        <w:tc>
          <w:tcPr>
            <w:tcW w:type="dxa" w:w="2160"/>
          </w:tcPr>
          <w:p>
            <w:pPr>
              <w:bidi/>
              <w:jc w:val="right"/>
            </w:pPr>
            <w:r/>
            <w:r>
              <w:t>ששמה של העיר שאת יהודיה היה צריך ר׳ יוסף־שלמה לשכנע לארח את היהודים המסכנים</w:t>
            </w:r>
          </w:p>
        </w:tc>
        <w:tc>
          <w:tcPr>
            <w:tcW w:type="dxa" w:w="2160"/>
          </w:tcPr>
          <w:p>
            <w:pPr>
              <w:bidi/>
              <w:jc w:val="right"/>
            </w:pPr>
            <w:r/>
            <w:r>
              <w:t>משפט כבד ביותר: שרשרת של פסוקיות יחס (“שאת יהודיה”), הפרדה בין הנושא “שמה” לבין “פוניבז׳” ולנשוא “נשמט” על ידי מקפים; קשה מאוד לקריאה</w:t>
            </w:r>
          </w:p>
        </w:tc>
        <w:tc>
          <w:tcPr>
            <w:tcW w:type="dxa" w:w="2160"/>
          </w:tcPr>
          <w:p>
            <w:pPr>
              <w:bidi/>
              <w:jc w:val="right"/>
            </w:pPr>
            <w:r/>
            <w:r>
              <w:t>אבל אם אכן נשלחו השבויים לפוניבז׳, מפתיע ששמה של העיר – פוניבז׳ – נשמט מזיכרונו של ר׳ יעקב לויסון, הרי את יהודיה היה צריך ר׳ יוסף־שלמה לשכנע לארח את הפליטים</w:t>
            </w:r>
          </w:p>
        </w:tc>
      </w:tr>
      <w:tr>
        <w:tc>
          <w:tcPr>
            <w:tcW w:type="dxa" w:w="2160"/>
          </w:tcPr>
          <w:p>
            <w:pPr>
              <w:bidi/>
              <w:jc w:val="right"/>
            </w:pPr>
            <w:r/>
            <w:r>
              <w:t>4147</w:t>
            </w:r>
          </w:p>
        </w:tc>
        <w:tc>
          <w:tcPr>
            <w:tcW w:type="dxa" w:w="2160"/>
          </w:tcPr>
          <w:p>
            <w:pPr>
              <w:bidi/>
              <w:jc w:val="right"/>
            </w:pPr>
            <w:r/>
            <w:r>
              <w:t>המעשה כפי שנדפס וכפי שסיפרו אבי שונה מגרסת הנכד</w:t>
            </w:r>
          </w:p>
        </w:tc>
        <w:tc>
          <w:tcPr>
            <w:tcW w:type="dxa" w:w="2160"/>
          </w:tcPr>
          <w:p>
            <w:pPr>
              <w:bidi/>
              <w:jc w:val="right"/>
            </w:pPr>
            <w:r/>
            <w:r>
              <w:t>אי־התאמה דקדוקית: "סיפרו" בריבוי עם נושא יחיד (אבי); וכן המשפט מסורבל.</w:t>
            </w:r>
          </w:p>
        </w:tc>
        <w:tc>
          <w:tcPr>
            <w:tcW w:type="dxa" w:w="2160"/>
          </w:tcPr>
          <w:p>
            <w:pPr>
              <w:bidi/>
              <w:jc w:val="right"/>
            </w:pPr>
            <w:r/>
            <w:r>
              <w:t>המעשה כפי שנדפס וכפי שסיפר אבי שונה מגרסת הנכד בשני דברים</w:t>
            </w:r>
          </w:p>
        </w:tc>
      </w:tr>
      <w:tr>
        <w:tc>
          <w:tcPr>
            <w:tcW w:type="dxa" w:w="2160"/>
          </w:tcPr>
          <w:p>
            <w:pPr>
              <w:bidi/>
              <w:jc w:val="right"/>
            </w:pPr>
            <w:r/>
            <w:r>
              <w:t>4395</w:t>
            </w:r>
          </w:p>
        </w:tc>
        <w:tc>
          <w:tcPr>
            <w:tcW w:type="dxa" w:w="2160"/>
          </w:tcPr>
          <w:p>
            <w:pPr>
              <w:bidi/>
              <w:jc w:val="right"/>
            </w:pPr>
            <w:r/>
            <w:r>
              <w:t>שהכיר לו את הטבק</w:t>
            </w:r>
          </w:p>
        </w:tc>
        <w:tc>
          <w:tcPr>
            <w:tcW w:type="dxa" w:w="2160"/>
          </w:tcPr>
          <w:p>
            <w:pPr>
              <w:bidi/>
              <w:jc w:val="right"/>
            </w:pPr>
            <w:r/>
            <w:r>
              <w:t>תרגמת מ-'introduced him to tobacco': 'הכיר לו את' אינו עברית תקנית במובן הזה</w:t>
            </w:r>
          </w:p>
        </w:tc>
        <w:tc>
          <w:tcPr>
            <w:tcW w:type="dxa" w:w="2160"/>
          </w:tcPr>
          <w:p>
            <w:pPr>
              <w:bidi/>
              <w:jc w:val="right"/>
            </w:pPr>
            <w:r/>
            <w:r>
              <w:t>הוא מעולם לא סלח לאותו חבר שלימד אותו לעשן (או: שהכניס אותו לעישון)</w:t>
            </w:r>
          </w:p>
        </w:tc>
      </w:tr>
      <w:tr>
        <w:tc>
          <w:tcPr>
            <w:tcW w:type="dxa" w:w="2160"/>
          </w:tcPr>
          <w:p>
            <w:pPr>
              <w:bidi/>
              <w:jc w:val="right"/>
            </w:pPr>
            <w:r/>
            <w:r>
              <w:t>4407</w:t>
            </w:r>
          </w:p>
        </w:tc>
        <w:tc>
          <w:tcPr>
            <w:tcW w:type="dxa" w:w="2160"/>
          </w:tcPr>
          <w:p>
            <w:pPr>
              <w:bidi/>
              <w:jc w:val="right"/>
            </w:pPr>
            <w:r/>
            <w:r>
              <w:t>המרואיין, שנשא לאחר המלחמה נכדה של ר׳ שמעון</w:t>
            </w:r>
          </w:p>
        </w:tc>
        <w:tc>
          <w:tcPr>
            <w:tcW w:type="dxa" w:w="2160"/>
          </w:tcPr>
          <w:p>
            <w:pPr>
              <w:bidi/>
              <w:jc w:val="right"/>
            </w:pPr>
            <w:r/>
            <w:r>
              <w:t>לשון בלתי תקנית: 'נשא נכדה של' (חסר 'את', ו'נכדה' ללא סיומת שייכות); ייתכן שיבוש מתרגום ה-married a granddaughter of</w:t>
            </w:r>
          </w:p>
        </w:tc>
        <w:tc>
          <w:tcPr>
            <w:tcW w:type="dxa" w:w="2160"/>
          </w:tcPr>
          <w:p>
            <w:pPr>
              <w:bidi/>
              <w:jc w:val="right"/>
            </w:pPr>
            <w:r/>
            <w:r>
              <w:t>המרואיין, שנשא לאחר המלחמה לאישה את נכדתו של ר׳ שמעון</w:t>
            </w:r>
          </w:p>
        </w:tc>
      </w:tr>
      <w:tr>
        <w:tc>
          <w:tcPr>
            <w:tcW w:type="dxa" w:w="2160"/>
          </w:tcPr>
          <w:p>
            <w:pPr>
              <w:bidi/>
              <w:jc w:val="right"/>
            </w:pPr>
            <w:r/>
            <w:r>
              <w:t>4429</w:t>
            </w:r>
          </w:p>
        </w:tc>
        <w:tc>
          <w:tcPr>
            <w:tcW w:type="dxa" w:w="2160"/>
          </w:tcPr>
          <w:p>
            <w:pPr>
              <w:bidi/>
              <w:jc w:val="right"/>
            </w:pPr>
            <w:r/>
            <w:r>
              <w:t>סיפר ר׳ יוסף־שלמה כהנמן, הרב מפוניבז׳, שהיה נוכח כשחגג החפץ־חיים את יום הולדתו השבעים</w:t>
            </w:r>
          </w:p>
        </w:tc>
        <w:tc>
          <w:tcPr>
            <w:tcW w:type="dxa" w:w="2160"/>
          </w:tcPr>
          <w:p>
            <w:pPr>
              <w:bidi/>
              <w:jc w:val="right"/>
            </w:pPr>
            <w:r/>
            <w:r>
              <w:t>משפט כבד ומסורבל, שרשרת של 'ש' ו'ו' בלי מבנה ברור; לא ברור על מה חל 'סיפר'</w:t>
            </w:r>
          </w:p>
        </w:tc>
        <w:tc>
          <w:tcPr>
            <w:tcW w:type="dxa" w:w="2160"/>
          </w:tcPr>
          <w:p>
            <w:pPr>
              <w:bidi/>
              <w:jc w:val="right"/>
            </w:pPr>
            <w:r/>
            <w:r>
              <w:t>לפי “הליכות והלכות בר מצוה”, ר׳ יוסף־שלמה כהנמן, הרב מפוניבז׳, היה נוכח ביום הולדתו השבעים של החפץ־חיים, שלבש בגד חדש כדי לברך שהחיינו; והרב מפוניבז׳ היה בראדין</w:t>
            </w:r>
          </w:p>
        </w:tc>
      </w:tr>
      <w:tr>
        <w:tc>
          <w:tcPr>
            <w:tcW w:type="dxa" w:w="2160"/>
          </w:tcPr>
          <w:p>
            <w:pPr>
              <w:bidi/>
              <w:jc w:val="right"/>
            </w:pPr>
            <w:r/>
            <w:r>
              <w:t>4506</w:t>
            </w:r>
          </w:p>
        </w:tc>
        <w:tc>
          <w:tcPr>
            <w:tcW w:type="dxa" w:w="2160"/>
          </w:tcPr>
          <w:p>
            <w:pPr>
              <w:bidi/>
              <w:jc w:val="right"/>
            </w:pPr>
            <w:r/>
            <w:r>
              <w:t>וגרסת האכילה היא המחזה מוגזמת של העובדות</w:t>
            </w:r>
          </w:p>
        </w:tc>
        <w:tc>
          <w:tcPr>
            <w:tcW w:type="dxa" w:w="2160"/>
          </w:tcPr>
          <w:p>
            <w:pPr>
              <w:bidi/>
              <w:jc w:val="right"/>
            </w:pPr>
            <w:r/>
            <w:r>
              <w:t>אי־התאמה בין ״המחזה״ (זכר) ל״מוגזמת״, וכן ״המחזה״ אינו הצירוף הטבעי (dramatization)</w:t>
            </w:r>
          </w:p>
        </w:tc>
        <w:tc>
          <w:tcPr>
            <w:tcW w:type="dxa" w:w="2160"/>
          </w:tcPr>
          <w:p>
            <w:pPr>
              <w:bidi/>
              <w:jc w:val="right"/>
            </w:pPr>
            <w:r/>
            <w:r>
              <w:t>וגרסת האכילה היא עיבוד מוגזם של העובדות</w:t>
            </w:r>
          </w:p>
        </w:tc>
      </w:tr>
      <w:tr>
        <w:tc>
          <w:tcPr>
            <w:tcW w:type="dxa" w:w="2160"/>
          </w:tcPr>
          <w:p>
            <w:pPr>
              <w:bidi/>
              <w:jc w:val="right"/>
            </w:pPr>
            <w:r/>
            <w:r>
              <w:t>4663</w:t>
            </w:r>
          </w:p>
        </w:tc>
        <w:tc>
          <w:tcPr>
            <w:tcW w:type="dxa" w:w="2160"/>
          </w:tcPr>
          <w:p>
            <w:pPr>
              <w:bidi/>
              <w:jc w:val="right"/>
            </w:pPr>
            <w:r/>
            <w:r>
              <w:t>עדיין לא הייתה שיטתו שונה מן השיטה המקובלת במידה כה קיצונית כפי שנעשתה לימים</w:t>
            </w:r>
          </w:p>
        </w:tc>
        <w:tc>
          <w:tcPr>
            <w:tcW w:type="dxa" w:w="2160"/>
          </w:tcPr>
          <w:p>
            <w:pPr>
              <w:bidi/>
              <w:jc w:val="right"/>
            </w:pPr>
            <w:r/>
            <w:r>
              <w:t>מבנה לא דקדוקי: "במידה כה קיצונית כפי ש..." והפועל "נעשתה" אינו תואם; חיבור מילולי של as radically as it later became</w:t>
            </w:r>
          </w:p>
        </w:tc>
        <w:tc>
          <w:tcPr>
            <w:tcW w:type="dxa" w:w="2160"/>
          </w:tcPr>
          <w:p>
            <w:pPr>
              <w:bidi/>
              <w:jc w:val="right"/>
            </w:pPr>
            <w:r/>
            <w:r>
              <w:t>עדיין לא חרגה שיטתו מן השיטה המקובלת באותה מידה קיצונית שבה חרגה לימים.</w:t>
            </w:r>
          </w:p>
        </w:tc>
      </w:tr>
      <w:tr>
        <w:tc>
          <w:tcPr>
            <w:tcW w:type="dxa" w:w="2160"/>
          </w:tcPr>
          <w:p>
            <w:pPr>
              <w:bidi/>
              <w:jc w:val="right"/>
            </w:pPr>
            <w:r/>
            <w:r>
              <w:t>4731</w:t>
            </w:r>
          </w:p>
        </w:tc>
        <w:tc>
          <w:tcPr>
            <w:tcW w:type="dxa" w:w="2160"/>
          </w:tcPr>
          <w:p>
            <w:pPr>
              <w:bidi/>
              <w:jc w:val="right"/>
            </w:pPr>
            <w:r/>
            <w:r>
              <w:t>שאדם בא אל ר׳ חיים טוב הלב להטבת חלום</w:t>
            </w:r>
          </w:p>
        </w:tc>
        <w:tc>
          <w:tcPr>
            <w:tcW w:type="dxa" w:w="2160"/>
          </w:tcPr>
          <w:p>
            <w:pPr>
              <w:bidi/>
              <w:jc w:val="right"/>
            </w:pPr>
            <w:r/>
            <w:r>
              <w:t>ניסוח מבולבל ומילולי: ״טוב הלב״ תלוי באוויר, ו״להטבת חלום״ אינו מתחבר למשפט; ״שהייתה זו תופעה שכיחה שאדם בא״ חסר דקדוק טבעי</w:t>
            </w:r>
          </w:p>
        </w:tc>
        <w:tc>
          <w:tcPr>
            <w:tcW w:type="dxa" w:w="2160"/>
          </w:tcPr>
          <w:p>
            <w:pPr>
              <w:bidi/>
              <w:jc w:val="right"/>
            </w:pPr>
            <w:r/>
            <w:r>
              <w:t>שהיה מקובל שאנשים באים אל ר׳ חיים טוב הלב כדי שיטיב להם חלום</w:t>
            </w:r>
          </w:p>
        </w:tc>
      </w:tr>
    </w:tbl>
    <w:p>
      <w:pPr>
        <w:bidi/>
        <w:jc w:val="right"/>
      </w:pPr>
      <w:r>
        <w:rPr>
          <w:b/>
          <w:sz w:val="26"/>
          <w:rtl/>
        </w:rPr>
        <w:t>7. המלצה על הניסוח</w:t>
      </w:r>
    </w:p>
    <w:p>
      <w:pPr>
        <w:bidi/>
        <w:jc w:val="right"/>
      </w:pPr>
      <w:r>
        <w:rPr>
          <w:b w:val="0"/>
          <w:rtl/>
        </w:rPr>
        <w:t>רוב 1,740 ההצעות הן ליטוש, ולא תיקון. אני ממליץ: (א) ליישם את 47 ממצאי ה"חובה" אחרי מעבר שלך; (ב) לעבור על 239 הממצאים בוודאות גבוהה; (ג) את השאר לשמור כרשימת עיון לעורך לשוני, מבלי להחיל אוטומטית. החלפה אוטומטית של ניסוח עלולה לפגוע בנאמנות למקור.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