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right"/>
      </w:pPr>
      <w:r>
        <w:rPr>
          <w:b/>
          <w:sz w:val="30"/>
          <w:rtl/>
        </w:rPr>
        <w:t>ביקורת ספר: דוח ביניים 09 (קטעים 81–83, כ-60 עמודים)</w:t>
      </w:r>
    </w:p>
    <w:p>
      <w:pPr>
        <w:bidi/>
        <w:jc w:val="right"/>
      </w:pPr>
      <w:r>
        <w:rPr>
          <w:b w:val="0"/>
          <w:rtl/>
        </w:rPr>
        <w:t>ממצאי שמות ומקומות: 9 (חובה: 0). ממצאי ניסוח: 69 (חובה: 1). ¶ = מספר הפסקה בקובץ.</w:t>
      </w:r>
    </w:p>
    <w:p>
      <w:pPr>
        <w:bidi/>
        <w:jc w:val="right"/>
      </w:pPr>
      <w:r>
        <w:rPr>
          <w:b/>
          <w:sz w:val="24"/>
          <w:rtl/>
        </w:rPr>
        <w:t>א. שמות ומקומות (כתיב ותעתיק)</w:t>
      </w:r>
    </w:p>
    <w:tbl>
      <w:tblPr>
        <w:tblStyle w:val="TableGrid"/>
        <w:tblW w:type="auto" w:w="0"/>
        <w:tblLook w:firstColumn="1" w:firstRow="1" w:lastColumn="0" w:lastRow="0" w:noHBand="0" w:noVBand="1" w:val="04A0"/>
        <w:bidiVisual/>
      </w:tblPr>
      <w:tblGrid>
        <w:gridCol w:w="1440"/>
        <w:gridCol w:w="1440"/>
        <w:gridCol w:w="1440"/>
        <w:gridCol w:w="1440"/>
        <w:gridCol w:w="1440"/>
        <w:gridCol w:w="1440"/>
      </w:tblGrid>
      <w:tr>
        <w:tc>
          <w:tcPr>
            <w:tcW w:type="dxa" w:w="1440"/>
          </w:tcPr>
          <w:p>
            <w:pPr>
              <w:bidi/>
              <w:jc w:val="right"/>
            </w:pPr>
            <w:r/>
            <w:r>
              <w:rPr>
                <w:b/>
              </w:rPr>
              <w:t>¶</w:t>
            </w:r>
          </w:p>
        </w:tc>
        <w:tc>
          <w:tcPr>
            <w:tcW w:type="dxa" w:w="1440"/>
          </w:tcPr>
          <w:p>
            <w:pPr>
              <w:bidi/>
              <w:jc w:val="right"/>
            </w:pPr>
            <w:r/>
            <w:r>
              <w:rPr>
                <w:b/>
              </w:rPr>
              <w:t>חומרה</w:t>
            </w:r>
          </w:p>
        </w:tc>
        <w:tc>
          <w:tcPr>
            <w:tcW w:type="dxa" w:w="1440"/>
          </w:tcPr>
          <w:p>
            <w:pPr>
              <w:bidi/>
              <w:jc w:val="right"/>
            </w:pPr>
            <w:r/>
            <w:r>
              <w:rPr>
                <w:b/>
              </w:rPr>
              <w:t>ודאות</w:t>
            </w:r>
          </w:p>
        </w:tc>
        <w:tc>
          <w:tcPr>
            <w:tcW w:type="dxa" w:w="1440"/>
          </w:tcPr>
          <w:p>
            <w:pPr>
              <w:bidi/>
              <w:jc w:val="right"/>
            </w:pPr>
            <w:r/>
            <w:r>
              <w:rPr>
                <w:b/>
              </w:rPr>
              <w:t>בספר</w:t>
            </w:r>
          </w:p>
        </w:tc>
        <w:tc>
          <w:tcPr>
            <w:tcW w:type="dxa" w:w="1440"/>
          </w:tcPr>
          <w:p>
            <w:pPr>
              <w:bidi/>
              <w:jc w:val="right"/>
            </w:pPr>
            <w:r/>
            <w:r>
              <w:rPr>
                <w:b/>
              </w:rPr>
              <w:t>הבעיה</w:t>
            </w:r>
          </w:p>
        </w:tc>
        <w:tc>
          <w:tcPr>
            <w:tcW w:type="dxa" w:w="1440"/>
          </w:tcPr>
          <w:p>
            <w:pPr>
              <w:bidi/>
              <w:jc w:val="right"/>
            </w:pPr>
            <w:r/>
            <w:r>
              <w:rPr>
                <w:b/>
              </w:rPr>
              <w:t>הצעה</w:t>
            </w:r>
          </w:p>
        </w:tc>
      </w:tr>
      <w:tr>
        <w:tc>
          <w:tcPr>
            <w:tcW w:type="dxa" w:w="1440"/>
          </w:tcPr>
          <w:p>
            <w:pPr>
              <w:bidi/>
              <w:jc w:val="right"/>
            </w:pPr>
            <w:r/>
            <w:r>
              <w:t>4770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(הרב וואקסמן מוצא סימוכין לרעיון המחודש הזה</w:t>
            </w:r>
          </w:p>
        </w:tc>
        <w:tc>
          <w:tcPr>
            <w:tcW w:type="dxa" w:w="1440"/>
          </w:tcPr>
          <w:p>
            <w:pPr>
              <w:bidi/>
              <w:jc w:val="right"/>
            </w:pPr>
            <w:r/>
            <w:r>
              <w:t>אי־אחידות בכתיב שם המשפחה: בפסקה 4768 כתוב “ניסן וקסמן”, וכאן “הרב וואקסמן”. מדובר באדם אחד (ניסן וקסמן). אם הסוגריים הם ציטוט מילולי מהמקור, ייתכן שהכתיב נשמר בכוונה.</w:t>
            </w:r>
          </w:p>
        </w:tc>
        <w:tc>
          <w:tcPr>
            <w:tcW w:type="dxa" w:w="1440"/>
          </w:tcPr>
          <w:p>
            <w:pPr>
              <w:bidi/>
              <w:jc w:val="right"/>
            </w:pPr>
            <w:r/>
            <w:r>
              <w:t>לאחד לכתיב “וקסמן” (הרב וקסמן), או לבדוק מול המקור אם הכתיב “וואקסמן” מכוון</w:t>
            </w:r>
          </w:p>
        </w:tc>
      </w:tr>
      <w:tr>
        <w:tc>
          <w:tcPr>
            <w:tcW w:type="dxa" w:w="1440"/>
          </w:tcPr>
          <w:p>
            <w:pPr>
              <w:bidi/>
              <w:jc w:val="right"/>
            </w:pPr>
            <w:r/>
            <w:r>
              <w:t>4792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אבל במקרה המאוחר, של ר׳ אליהו קפלן, האות היה ברור</w:t>
            </w:r>
          </w:p>
        </w:tc>
        <w:tc>
          <w:tcPr>
            <w:tcW w:type="dxa" w:w="1440"/>
          </w:tcPr>
          <w:p>
            <w:pPr>
              <w:bidi/>
              <w:jc w:val="right"/>
            </w:pPr>
            <w:r/>
            <w:r>
              <w:t>שם הגיבור של הנספח מופיע בכל מקום אחר כ״ר׳ אברהם־אליהו קפלן״; כאן חסר ״אברהם־״ (אחידות שמות)</w:t>
            </w:r>
          </w:p>
        </w:tc>
        <w:tc>
          <w:tcPr>
            <w:tcW w:type="dxa" w:w="1440"/>
          </w:tcPr>
          <w:p>
            <w:pPr>
              <w:bidi/>
              <w:jc w:val="right"/>
            </w:pPr>
            <w:r/>
            <w:r>
              <w:t>של ר׳ אברהם־אליהו קפלן</w:t>
            </w:r>
          </w:p>
        </w:tc>
      </w:tr>
      <w:tr>
        <w:tc>
          <w:tcPr>
            <w:tcW w:type="dxa" w:w="1440"/>
          </w:tcPr>
          <w:p>
            <w:pPr>
              <w:bidi/>
              <w:jc w:val="right"/>
            </w:pPr>
            <w:r/>
            <w:r>
              <w:t>4768</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מאמרו של ניסן וקסמן ב“תלפיות” מצטט את ר׳ שלמה פוליצ׳ק, העילוי ממייצ׳ט</w:t>
            </w:r>
          </w:p>
        </w:tc>
        <w:tc>
          <w:tcPr>
            <w:tcW w:type="dxa" w:w="1440"/>
          </w:tcPr>
          <w:p>
            <w:pPr>
              <w:bidi/>
              <w:jc w:val="right"/>
            </w:pPr>
            <w:r/>
            <w:r>
              <w:t>כתיב שם המשפחה של העילוי ממייצ׳ט: הכתיב המקובל בעברית הוא פולצ׳יק (Polachek), ולא פוליצ׳ק. הכתיב מופיע גם בהערה 5263 ובפסקה 4769 (בצורת הכינוי בלבד).</w:t>
            </w:r>
          </w:p>
        </w:tc>
        <w:tc>
          <w:tcPr>
            <w:tcW w:type="dxa" w:w="1440"/>
          </w:tcPr>
          <w:p>
            <w:pPr>
              <w:bidi/>
              <w:jc w:val="right"/>
            </w:pPr>
            <w:r/>
            <w:r>
              <w:t>ר׳ שלמה פולצ׳יק (בכל המקומות, כולל הערת שוליים 5263)</w:t>
            </w:r>
          </w:p>
        </w:tc>
      </w:tr>
      <w:tr>
        <w:tc>
          <w:tcPr>
            <w:tcW w:type="dxa" w:w="1440"/>
          </w:tcPr>
          <w:p>
            <w:pPr>
              <w:bidi/>
              <w:jc w:val="right"/>
            </w:pPr>
            <w:r/>
            <w:r>
              <w:t>4783</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רבה של קיידאן, מצאצאי רש״י</w:t>
            </w:r>
          </w:p>
        </w:tc>
        <w:tc>
          <w:tcPr>
            <w:tcW w:type="dxa" w:w="1440"/>
          </w:tcPr>
          <w:p>
            <w:pPr>
              <w:bidi/>
              <w:jc w:val="right"/>
            </w:pPr>
            <w:r/>
            <w:r>
              <w:t>הכתיב המקובל בעברית לעיר Kėdainiai הוא ״קיידן״ (ויקיפדיה, ספרות ליטאית)</w:t>
            </w:r>
          </w:p>
        </w:tc>
        <w:tc>
          <w:tcPr>
            <w:tcW w:type="dxa" w:w="1440"/>
          </w:tcPr>
          <w:p>
            <w:pPr>
              <w:bidi/>
              <w:jc w:val="right"/>
            </w:pPr>
            <w:r/>
            <w:r>
              <w:t>רבה של קיידן</w:t>
            </w:r>
          </w:p>
        </w:tc>
      </w:tr>
      <w:tr>
        <w:tc>
          <w:tcPr>
            <w:tcW w:type="dxa" w:w="1440"/>
          </w:tcPr>
          <w:p>
            <w:pPr>
              <w:bidi/>
              <w:jc w:val="right"/>
            </w:pPr>
            <w:r/>
            <w:r>
              <w:t>4825</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יחד עם ידידי הגאון ר׳ יעקב־זלמן ליפשיץ</w:t>
            </w:r>
          </w:p>
        </w:tc>
        <w:tc>
          <w:tcPr>
            <w:tcW w:type="dxa" w:w="1440"/>
          </w:tcPr>
          <w:p>
            <w:pPr>
              <w:bidi/>
              <w:jc w:val="right"/>
            </w:pPr>
            <w:r/>
            <w:r>
              <w:t>בפסקה ¶4818 נזכר אותו אדם כנראה בשם ״ר׳ יעקב הלוי ליפשיץ״; אם מדובר באותו אדם יש אי־אחידות בשם. (ציטוט, לכן יש לבדוק במקור לפני תיקון)</w:t>
            </w:r>
          </w:p>
        </w:tc>
        <w:tc>
          <w:tcPr>
            <w:tcW w:type="dxa" w:w="1440"/>
          </w:tcPr>
          <w:p>
            <w:pPr>
              <w:bidi/>
              <w:jc w:val="right"/>
            </w:pPr>
            <w:r/>
            <w:r>
              <w:t>לוודא שהשם במכתב המקורי ״יעקב־זלמן״ ולהעיר בהערת שוליים, או לאחד</w:t>
            </w:r>
          </w:p>
        </w:tc>
      </w:tr>
      <w:tr>
        <w:tc>
          <w:tcPr>
            <w:tcW w:type="dxa" w:w="1440"/>
          </w:tcPr>
          <w:p>
            <w:pPr>
              <w:bidi/>
              <w:jc w:val="right"/>
            </w:pPr>
            <w:r/>
            <w:r>
              <w:t>4830</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ובנו ר׳ משה, שהיה רבה של חסלוויץ׳</w:t>
            </w:r>
          </w:p>
        </w:tc>
        <w:tc>
          <w:tcPr>
            <w:tcW w:type="dxa" w:w="1440"/>
          </w:tcPr>
          <w:p>
            <w:pPr>
              <w:bidi/>
              <w:jc w:val="right"/>
            </w:pPr>
            <w:r/>
            <w:r>
              <w:t>תעתיק העיר Khislavichi/Chaslavitz; הצורה ״חסלוויץ׳״ אינה הנפוצה, ולרוב נכתבת ״חסלביץ׳״ או ״חיסלביץ׳״</w:t>
            </w:r>
          </w:p>
        </w:tc>
        <w:tc>
          <w:tcPr>
            <w:tcW w:type="dxa" w:w="1440"/>
          </w:tcPr>
          <w:p>
            <w:pPr>
              <w:bidi/>
              <w:jc w:val="right"/>
            </w:pPr>
            <w:r/>
            <w:r>
              <w:t>לבדוק מול הכתיב המקובל (למשל ״חסלביץ׳״) ולאחד עם שאר הספר</w:t>
            </w:r>
          </w:p>
        </w:tc>
      </w:tr>
      <w:tr>
        <w:tc>
          <w:tcPr>
            <w:tcW w:type="dxa" w:w="1440"/>
          </w:tcPr>
          <w:p>
            <w:pPr>
              <w:bidi/>
              <w:jc w:val="right"/>
            </w:pPr>
            <w:r/>
            <w:r>
              <w:t>4841</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ר׳ יקותיאל דז׳יקנסקי</w:t>
            </w:r>
          </w:p>
        </w:tc>
        <w:tc>
          <w:tcPr>
            <w:tcW w:type="dxa" w:w="1440"/>
          </w:tcPr>
          <w:p>
            <w:pPr>
              <w:bidi/>
              <w:jc w:val="right"/>
            </w:pPr>
            <w:r/>
            <w:r>
              <w:t>תעתיק Dzikowski/Dzhikinski לא ברור; ייתכן ״דז׳יקובסקי״ או ״ז׳יקובסקי״</w:t>
            </w:r>
          </w:p>
        </w:tc>
        <w:tc>
          <w:tcPr>
            <w:tcW w:type="dxa" w:w="1440"/>
          </w:tcPr>
          <w:p>
            <w:pPr>
              <w:bidi/>
              <w:jc w:val="right"/>
            </w:pPr>
            <w:r/>
            <w:r>
              <w:t>לוודא מול המקור האנגלי</w:t>
            </w:r>
          </w:p>
        </w:tc>
      </w:tr>
      <w:tr>
        <w:tc>
          <w:tcPr>
            <w:tcW w:type="dxa" w:w="1440"/>
          </w:tcPr>
          <w:p>
            <w:pPr>
              <w:bidi/>
              <w:jc w:val="right"/>
            </w:pPr>
            <w:r/>
            <w:r>
              <w:t>4856</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ר׳ משה־יום־טוב וכטפוגל</w:t>
            </w:r>
          </w:p>
        </w:tc>
        <w:tc>
          <w:tcPr>
            <w:tcW w:type="dxa" w:w="1440"/>
          </w:tcPr>
          <w:p>
            <w:pPr>
              <w:bidi/>
              <w:jc w:val="right"/>
            </w:pPr>
            <w:r/>
            <w:r>
              <w:t>תעתיק שם המשפחה Wachtfogel; בספרות הישיבות ובוויקיפדיה מקובל ״ווכטפוגל״ או ״וואכטפוגל״</w:t>
            </w:r>
          </w:p>
        </w:tc>
        <w:tc>
          <w:tcPr>
            <w:tcW w:type="dxa" w:w="1440"/>
          </w:tcPr>
          <w:p>
            <w:pPr>
              <w:bidi/>
              <w:jc w:val="right"/>
            </w:pPr>
            <w:r/>
            <w:r>
              <w:t>לשקול ״ווכטפוגל״ (גם בפסקה 4856 בשם ר׳ נתן־מאיר וכטפוגל, ובפסקה 4856 פעם נוספת)</w:t>
            </w:r>
          </w:p>
        </w:tc>
      </w:tr>
      <w:tr>
        <w:tc>
          <w:tcPr>
            <w:tcW w:type="dxa" w:w="1440"/>
          </w:tcPr>
          <w:p>
            <w:pPr>
              <w:bidi/>
              <w:jc w:val="right"/>
            </w:pPr>
            <w:r/>
            <w:r>
              <w:t>4856</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ר׳ יוסף קונוויץ</w:t>
            </w:r>
          </w:p>
        </w:tc>
        <w:tc>
          <w:tcPr>
            <w:tcW w:type="dxa" w:w="1440"/>
          </w:tcPr>
          <w:p>
            <w:pPr>
              <w:bidi/>
              <w:jc w:val="right"/>
            </w:pPr>
            <w:r/>
            <w:r>
              <w:t>תעתיק Konvitz; בעברית מקובל יותר ״קונביץ׳״ או ״קונוויץ״ ללא וודאות, יש לוודא אחידות עם שאר הספר</w:t>
            </w:r>
          </w:p>
        </w:tc>
        <w:tc>
          <w:tcPr>
            <w:tcW w:type="dxa" w:w="1440"/>
          </w:tcPr>
          <w:p>
            <w:pPr>
              <w:bidi/>
              <w:jc w:val="right"/>
            </w:pPr>
            <w:r/>
            <w:r>
              <w:t>לבדוק מול הכתיב בכרכים האחרים; אם אין אחידות, לאחד ל״קונוויץ״</w:t>
            </w:r>
          </w:p>
        </w:tc>
      </w:tr>
    </w:tbl>
    <w:p>
      <w:pPr>
        <w:bidi/>
        <w:jc w:val="right"/>
      </w:pPr>
      <w:r>
        <w:rPr>
          <w:b/>
          <w:sz w:val="24"/>
          <w:rtl/>
        </w:rPr>
        <w:t>ב. ניסוח (משפטים כבדים ו"תרגמת")</w:t>
      </w:r>
    </w:p>
    <w:tbl>
      <w:tblPr>
        <w:tblStyle w:val="TableGrid"/>
        <w:tblW w:type="auto" w:w="0"/>
        <w:tblLook w:firstColumn="1" w:firstRow="1" w:lastColumn="0" w:lastRow="0" w:noHBand="0" w:noVBand="1" w:val="04A0"/>
        <w:bidiVisual/>
      </w:tblPr>
      <w:tblGrid>
        <w:gridCol w:w="1440"/>
        <w:gridCol w:w="1440"/>
        <w:gridCol w:w="1440"/>
        <w:gridCol w:w="1440"/>
        <w:gridCol w:w="1440"/>
        <w:gridCol w:w="1440"/>
      </w:tblGrid>
      <w:tr>
        <w:tc>
          <w:tcPr>
            <w:tcW w:type="dxa" w:w="1440"/>
          </w:tcPr>
          <w:p>
            <w:pPr>
              <w:bidi/>
              <w:jc w:val="right"/>
            </w:pPr>
            <w:r/>
            <w:r>
              <w:rPr>
                <w:b/>
              </w:rPr>
              <w:t>¶</w:t>
            </w:r>
          </w:p>
        </w:tc>
        <w:tc>
          <w:tcPr>
            <w:tcW w:type="dxa" w:w="1440"/>
          </w:tcPr>
          <w:p>
            <w:pPr>
              <w:bidi/>
              <w:jc w:val="right"/>
            </w:pPr>
            <w:r/>
            <w:r>
              <w:rPr>
                <w:b/>
              </w:rPr>
              <w:t>חומרה</w:t>
            </w:r>
          </w:p>
        </w:tc>
        <w:tc>
          <w:tcPr>
            <w:tcW w:type="dxa" w:w="1440"/>
          </w:tcPr>
          <w:p>
            <w:pPr>
              <w:bidi/>
              <w:jc w:val="right"/>
            </w:pPr>
            <w:r/>
            <w:r>
              <w:rPr>
                <w:b/>
              </w:rPr>
              <w:t>ודאות</w:t>
            </w:r>
          </w:p>
        </w:tc>
        <w:tc>
          <w:tcPr>
            <w:tcW w:type="dxa" w:w="1440"/>
          </w:tcPr>
          <w:p>
            <w:pPr>
              <w:bidi/>
              <w:jc w:val="right"/>
            </w:pPr>
            <w:r/>
            <w:r>
              <w:rPr>
                <w:b/>
              </w:rPr>
              <w:t>בספר</w:t>
            </w:r>
          </w:p>
        </w:tc>
        <w:tc>
          <w:tcPr>
            <w:tcW w:type="dxa" w:w="1440"/>
          </w:tcPr>
          <w:p>
            <w:pPr>
              <w:bidi/>
              <w:jc w:val="right"/>
            </w:pPr>
            <w:r/>
            <w:r>
              <w:rPr>
                <w:b/>
              </w:rPr>
              <w:t>הבעיה</w:t>
            </w:r>
          </w:p>
        </w:tc>
        <w:tc>
          <w:tcPr>
            <w:tcW w:type="dxa" w:w="1440"/>
          </w:tcPr>
          <w:p>
            <w:pPr>
              <w:bidi/>
              <w:jc w:val="right"/>
            </w:pPr>
            <w:r/>
            <w:r>
              <w:rPr>
                <w:b/>
              </w:rPr>
              <w:t>הצעה</w:t>
            </w:r>
          </w:p>
        </w:tc>
      </w:tr>
      <w:tr>
        <w:tc>
          <w:tcPr>
            <w:tcW w:type="dxa" w:w="1440"/>
          </w:tcPr>
          <w:p>
            <w:pPr>
              <w:bidi/>
              <w:jc w:val="right"/>
            </w:pPr>
            <w:r/>
            <w:r>
              <w:t>4731</w:t>
            </w:r>
          </w:p>
        </w:tc>
        <w:tc>
          <w:tcPr>
            <w:tcW w:type="dxa" w:w="1440"/>
          </w:tcPr>
          <w:p>
            <w:pPr>
              <w:bidi/>
              <w:jc w:val="right"/>
            </w:pPr>
            <w:r/>
            <w:r>
              <w:t>must</w:t>
            </w:r>
          </w:p>
        </w:tc>
        <w:tc>
          <w:tcPr>
            <w:tcW w:type="dxa" w:w="1440"/>
          </w:tcPr>
          <w:p>
            <w:pPr>
              <w:bidi/>
              <w:jc w:val="right"/>
            </w:pPr>
            <w:r/>
            <w:r>
              <w:t>medium</w:t>
            </w:r>
          </w:p>
        </w:tc>
        <w:tc>
          <w:tcPr>
            <w:tcW w:type="dxa" w:w="1440"/>
          </w:tcPr>
          <w:p>
            <w:pPr>
              <w:bidi/>
              <w:jc w:val="right"/>
            </w:pPr>
            <w:r/>
            <w:r>
              <w:t>שאדם בא אל ר׳ חיים טוב הלב להטבת חלום</w:t>
            </w:r>
          </w:p>
        </w:tc>
        <w:tc>
          <w:tcPr>
            <w:tcW w:type="dxa" w:w="1440"/>
          </w:tcPr>
          <w:p>
            <w:pPr>
              <w:bidi/>
              <w:jc w:val="right"/>
            </w:pPr>
            <w:r/>
            <w:r>
              <w:t>ניסוח מבולבל ומילולי: ״טוב הלב״ תלוי באוויר, ו״להטבת חלום״ אינו מתחבר למשפט; ״שהייתה זו תופעה שכיחה שאדם בא״ חסר דקדוק טבעי</w:t>
            </w:r>
          </w:p>
        </w:tc>
        <w:tc>
          <w:tcPr>
            <w:tcW w:type="dxa" w:w="1440"/>
          </w:tcPr>
          <w:p>
            <w:pPr>
              <w:bidi/>
              <w:jc w:val="right"/>
            </w:pPr>
            <w:r/>
            <w:r>
              <w:t>שהיה מקובל שאנשים באים אל ר׳ חיים טוב הלב כדי שיטיב להם חלום</w:t>
            </w:r>
          </w:p>
        </w:tc>
      </w:tr>
      <w:tr>
        <w:tc>
          <w:tcPr>
            <w:tcW w:type="dxa" w:w="1440"/>
          </w:tcPr>
          <w:p>
            <w:pPr>
              <w:bidi/>
              <w:jc w:val="right"/>
            </w:pPr>
            <w:r/>
            <w:r>
              <w:t>4716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מיוחס לר׳ חיים כישרון גדול עוד יותר מצפיית מחשבותיו של אדם מוכר</w:t>
            </w:r>
          </w:p>
        </w:tc>
        <w:tc>
          <w:tcPr>
            <w:tcW w:type="dxa" w:w="1440"/>
          </w:tcPr>
          <w:p>
            <w:pPr>
              <w:bidi/>
              <w:jc w:val="right"/>
            </w:pPr>
            <w:r/>
            <w:r>
              <w:t>״צפיית מחשבותיו״ היא תרגום מילולי (anticipating / foreseeing); אינה עברית טבעית</w:t>
            </w:r>
          </w:p>
        </w:tc>
        <w:tc>
          <w:tcPr>
            <w:tcW w:type="dxa" w:w="1440"/>
          </w:tcPr>
          <w:p>
            <w:pPr>
              <w:bidi/>
              <w:jc w:val="right"/>
            </w:pPr>
            <w:r/>
            <w:r>
              <w:t>מיוחס לר׳ חיים כישרון גדול עוד יותר מיכולת לצפות מראש את מחשבותיו של אדם מוכר</w:t>
            </w:r>
          </w:p>
        </w:tc>
      </w:tr>
      <w:tr>
        <w:tc>
          <w:tcPr>
            <w:tcW w:type="dxa" w:w="1440"/>
          </w:tcPr>
          <w:p>
            <w:pPr>
              <w:bidi/>
              <w:jc w:val="right"/>
            </w:pPr>
            <w:r/>
            <w:r>
              <w:t>4716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אבל בהקדמה הביוגרפית ל“ספר נודע בשערים, חלק ב”, כרך תשובות מאת ר׳ ברוך מנדלבוים</w:t>
            </w:r>
          </w:p>
        </w:tc>
        <w:tc>
          <w:tcPr>
            <w:tcW w:type="dxa" w:w="1440"/>
          </w:tcPr>
          <w:p>
            <w:pPr>
              <w:bidi/>
              <w:jc w:val="right"/>
            </w:pPr>
            <w:r/>
            <w:r>
              <w:t>משפט כבד: הקדמה, שם ספר, תיאור הספר, שם המחבר ותואר, תאריך לידה בסוגריים, ורק אז הנשוא – קשה לקריאה בנשימה אחת</w:t>
            </w:r>
          </w:p>
        </w:tc>
        <w:tc>
          <w:tcPr>
            <w:tcW w:type="dxa" w:w="1440"/>
          </w:tcPr>
          <w:p>
            <w:pPr>
              <w:bidi/>
              <w:jc w:val="right"/>
            </w:pPr>
            <w:r/>
            <w:r>
              <w:t>אבל בהקדמה הביוגרפית ל“ספר נודע בשערים, חלק ב” – כרך תשובות שחיבר ר׳ ברוך מנדלבוים, רבה של טורוב (נולד בתקצ״ב) – מיוחס לר׳ חיים כישרון גדול עוד יותר:</w:t>
            </w:r>
          </w:p>
        </w:tc>
      </w:tr>
      <w:tr>
        <w:tc>
          <w:tcPr>
            <w:tcW w:type="dxa" w:w="1440"/>
          </w:tcPr>
          <w:p>
            <w:pPr>
              <w:bidi/>
              <w:jc w:val="right"/>
            </w:pPr>
            <w:r/>
            <w:r>
              <w:t>4720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אולם השווה “ארחות חסידיך” (הפסקה הראשונה של נספח ב לעיל), עמ׳ 116–117, המספר בשם ר׳ יצחק זאב סולובייצ׳יק</w:t>
            </w:r>
          </w:p>
        </w:tc>
        <w:tc>
          <w:tcPr>
            <w:tcW w:type="dxa" w:w="1440"/>
          </w:tcPr>
          <w:p>
            <w:pPr>
              <w:bidi/>
              <w:jc w:val="right"/>
            </w:pPr>
            <w:r/>
            <w:r>
              <w:t>הערה כבדה: שרשרת של סוגריים, ״המספר בשם...״, ״כפי שהוא מובא...״ ופסוקית נוספת בנקודתיים; קשה לעקוב אחר מי מספר מה</w:t>
            </w:r>
          </w:p>
        </w:tc>
        <w:tc>
          <w:tcPr>
            <w:tcW w:type="dxa" w:w="1440"/>
          </w:tcPr>
          <w:p>
            <w:pPr>
              <w:bidi/>
              <w:jc w:val="right"/>
            </w:pPr>
            <w:r/>
            <w:r>
              <w:t>אולם השווה “ארחות חסידיך” (הפסקה הראשונה של נספח ב לעיל), עמ׳ 116–117. שם מסופר בשם ר׳ יצחק זאב סולובייצ׳יק הסיפור שמובא ב“אישים ושיטות”: ר׳ חיים גבר על התנגדות הרבנית לקבל לביתם אישה זרה...</w:t>
            </w:r>
          </w:p>
        </w:tc>
      </w:tr>
      <w:tr>
        <w:tc>
          <w:tcPr>
            <w:tcW w:type="dxa" w:w="1440"/>
          </w:tcPr>
          <w:p>
            <w:pPr>
              <w:bidi/>
              <w:jc w:val="right"/>
            </w:pPr>
            <w:r/>
            <w:r>
              <w:t>4725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על דברי מארק בעניין הנהגת ר׳ חיים בבריסק, חזר ר׳ ישמעאל כהן על אמרה ששמע מרבו</w:t>
            </w:r>
          </w:p>
        </w:tc>
        <w:tc>
          <w:tcPr>
            <w:tcW w:type="dxa" w:w="1440"/>
          </w:tcPr>
          <w:p>
            <w:pPr>
              <w:bidi/>
              <w:jc w:val="right"/>
            </w:pPr>
            <w:r/>
            <w:r>
              <w:t>״על דברי מארק... חזר ... על אמרה״ – כפל ״על״ ותחביר מילולי (echoing Mark's words); לא ברור מה היחס בין הדברים</w:t>
            </w:r>
          </w:p>
        </w:tc>
        <w:tc>
          <w:tcPr>
            <w:tcW w:type="dxa" w:w="1440"/>
          </w:tcPr>
          <w:p>
            <w:pPr>
              <w:bidi/>
              <w:jc w:val="right"/>
            </w:pPr>
            <w:r/>
            <w:r>
              <w:t>בהמשך לדברי מארק על הנהגת ר׳ חיים בבריסק, הביא ר׳ ישמעאל כהן אמרה ששמע מרבו, ר׳ יוסף־דוב סולובייצ׳יק, בשם ר׳ חיים:</w:t>
            </w:r>
          </w:p>
        </w:tc>
      </w:tr>
      <w:tr>
        <w:tc>
          <w:tcPr>
            <w:tcW w:type="dxa" w:w="1440"/>
          </w:tcPr>
          <w:p>
            <w:pPr>
              <w:bidi/>
              <w:jc w:val="right"/>
            </w:pPr>
            <w:r/>
            <w:r>
              <w:t>4725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כששב כעבור עשר דקות הסביר שאלמנה באה לביתו, וכשנאמר לה שהרב נמצא באספה</w:t>
            </w:r>
          </w:p>
        </w:tc>
        <w:tc>
          <w:tcPr>
            <w:tcW w:type="dxa" w:w="1440"/>
          </w:tcPr>
          <w:p>
            <w:pPr>
              <w:bidi/>
              <w:jc w:val="right"/>
            </w:pPr>
            <w:r/>
            <w:r>
              <w:t>משפט כבד: שלוש פסוקיות משועבדות (הסביר ש... וכשנאמר ש... עמדה על כך ש...) ללא נקודה; קשה לקריאה</w:t>
            </w:r>
          </w:p>
        </w:tc>
        <w:tc>
          <w:tcPr>
            <w:tcW w:type="dxa" w:w="1440"/>
          </w:tcPr>
          <w:p>
            <w:pPr>
              <w:bidi/>
              <w:jc w:val="right"/>
            </w:pPr>
            <w:r/>
            <w:r>
              <w:t>כששב כעבור עשר דקות הסביר: אלמנה באה לביתו, וכשנאמר לה שהרב באספה עם אנשים חשובים במקום אחר, התעקשה להמתין לו מחוץ למקום האספה. היא ישבה בחוץ ובכתה וחיכתה שיפתור לה חלום רע.</w:t>
            </w:r>
          </w:p>
        </w:tc>
      </w:tr>
      <w:tr>
        <w:tc>
          <w:tcPr>
            <w:tcW w:type="dxa" w:w="1440"/>
          </w:tcPr>
          <w:p>
            <w:pPr>
              <w:bidi/>
              <w:jc w:val="right"/>
            </w:pPr>
            <w:r/>
            <w:r>
              <w:t>4726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והציע להכתירו ליורשו</w:t>
            </w:r>
          </w:p>
        </w:tc>
        <w:tc>
          <w:tcPr>
            <w:tcW w:type="dxa" w:w="1440"/>
          </w:tcPr>
          <w:p>
            <w:pPr>
              <w:bidi/>
              <w:jc w:val="right"/>
            </w:pPr>
            <w:r/>
            <w:r>
              <w:t>״להכתירו ליורשו״ – תרגום מילולי (to crown him as successor); אין זה ניסוח עברי מקובל לרבנות ראשית</w:t>
            </w:r>
          </w:p>
        </w:tc>
        <w:tc>
          <w:tcPr>
            <w:tcW w:type="dxa" w:w="1440"/>
          </w:tcPr>
          <w:p>
            <w:pPr>
              <w:bidi/>
              <w:jc w:val="right"/>
            </w:pPr>
            <w:r/>
            <w:r>
              <w:t>והציע למנותו ליורשו של הרב הראשי</w:t>
            </w:r>
          </w:p>
        </w:tc>
      </w:tr>
      <w:tr>
        <w:tc>
          <w:tcPr>
            <w:tcW w:type="dxa" w:w="1440"/>
          </w:tcPr>
          <w:p>
            <w:pPr>
              <w:bidi/>
              <w:jc w:val="right"/>
            </w:pPr>
            <w:r/>
            <w:r>
              <w:t>4727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כפי שעשו שם עוד שני זוגות ילדים של “סוס” ורוכב</w:t>
            </w:r>
          </w:p>
        </w:tc>
        <w:tc>
          <w:tcPr>
            <w:tcW w:type="dxa" w:w="1440"/>
          </w:tcPr>
          <w:p>
            <w:pPr>
              <w:bidi/>
              <w:jc w:val="right"/>
            </w:pPr>
            <w:r/>
            <w:r>
              <w:t>״שני זוגות ילדים של סוס ורוכב״ – מבנה מילולי ולא טבעי (pairs of children of horse and rider)</w:t>
            </w:r>
          </w:p>
        </w:tc>
        <w:tc>
          <w:tcPr>
            <w:tcW w:type="dxa" w:w="1440"/>
          </w:tcPr>
          <w:p>
            <w:pPr>
              <w:bidi/>
              <w:jc w:val="right"/>
            </w:pPr>
            <w:r/>
            <w:r>
              <w:t>כשם ששני זוגות ילדים נוספים שיחקו שם, האחד בתפקיד “סוס” והאחר רוכב</w:t>
            </w:r>
          </w:p>
        </w:tc>
      </w:tr>
      <w:tr>
        <w:tc>
          <w:tcPr>
            <w:tcW w:type="dxa" w:w="1440"/>
          </w:tcPr>
          <w:p>
            <w:pPr>
              <w:bidi/>
              <w:jc w:val="right"/>
            </w:pPr>
            <w:r/>
            <w:r>
              <w:t>4756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ייתכן שהאדם שרבנו האשים בהרחבת הנוסח שציווה ר׳ חיים סבר שיהיה זה ביזיון</w:t>
            </w:r>
          </w:p>
        </w:tc>
        <w:tc>
          <w:tcPr>
            <w:tcW w:type="dxa" w:w="1440"/>
          </w:tcPr>
          <w:p>
            <w:pPr>
              <w:bidi/>
              <w:jc w:val="right"/>
            </w:pPr>
            <w:r/>
            <w:r>
              <w:t>משפט כבד ועמום: ״האדם שרבנו האשים בהרחבת הנוסח שציווה ר׳ חיים״ – שרשרת של פסוקיות יחס, ו״להיות מונצח״ סביל מיותר</w:t>
            </w:r>
          </w:p>
        </w:tc>
        <w:tc>
          <w:tcPr>
            <w:tcW w:type="dxa" w:w="1440"/>
          </w:tcPr>
          <w:p>
            <w:pPr>
              <w:bidi/>
              <w:jc w:val="right"/>
            </w:pPr>
            <w:r/>
            <w:r>
              <w:t>ייתכן שמי שרבנו האשים בהרחבת הנוסח סבר שיהיה זה ביזיון לר׳ חיים אם יונצח בשלוש מילים בלבד, בשעה שהנצי״ב זוכה, כמעט על אותה מצבה, לשבחים מפורטים.</w:t>
            </w:r>
          </w:p>
        </w:tc>
      </w:tr>
      <w:tr>
        <w:tc>
          <w:tcPr>
            <w:tcW w:type="dxa" w:w="1440"/>
          </w:tcPr>
          <w:p>
            <w:pPr>
              <w:bidi/>
              <w:jc w:val="right"/>
            </w:pPr>
            <w:r/>
            <w:r>
              <w:t>4757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אפשר שהמילים “רב החסד” הוקדמו בכתובת (ולמילה שאחריהן, “שר”, לא נוספה וא״ו החיבור)</w:t>
            </w:r>
          </w:p>
        </w:tc>
        <w:tc>
          <w:tcPr>
            <w:tcW w:type="dxa" w:w="1440"/>
          </w:tcPr>
          <w:p>
            <w:pPr>
              <w:bidi/>
              <w:jc w:val="right"/>
            </w:pPr>
            <w:r/>
            <w:r>
              <w:t>משפט כבד מאוד: סוגריים באמצע, מקף, השוואה לנוסח צפוי ופסוקית סיבה – הנשוא רחוק מאוד מהנושא</w:t>
            </w:r>
          </w:p>
        </w:tc>
        <w:tc>
          <w:tcPr>
            <w:tcW w:type="dxa" w:w="1440"/>
          </w:tcPr>
          <w:p>
            <w:pPr>
              <w:bidi/>
              <w:jc w:val="right"/>
            </w:pPr>
            <w:r/>
            <w:r>
              <w:t>אפשר שהמילים “רב החסד” הוקדמו בכתובת, ולמילה שאחריהן, “שר”, לא נוספה וא״ו החיבור. הנוסח הצפוי היה “שר התורה ורב החסד”, שבו התורה קודמת לחסד; ההקדמה נעשתה מפני שרצונו של ר׳ חיים היה שרק מידת חסדו תונצח על מצבתו.</w:t>
            </w:r>
          </w:p>
        </w:tc>
      </w:tr>
      <w:tr>
        <w:tc>
          <w:tcPr>
            <w:tcW w:type="dxa" w:w="1440"/>
          </w:tcPr>
          <w:p>
            <w:pPr>
              <w:bidi/>
              <w:jc w:val="right"/>
            </w:pPr>
            <w:r/>
            <w:r>
              <w:t>4759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יתר על כן, אם נניח שהכיתוב “רב החסד” נוסח על יסוד תיאורו העצמי של ר׳ חיים בצוואתו</w:t>
            </w:r>
          </w:p>
        </w:tc>
        <w:tc>
          <w:tcPr>
            <w:tcW w:type="dxa" w:w="1440"/>
          </w:tcPr>
          <w:p>
            <w:pPr>
              <w:bidi/>
              <w:jc w:val="right"/>
            </w:pPr>
            <w:r/>
            <w:r>
              <w:t>משפט כבד: תנאי מקונן, מקף, סוגריים ונשוא (״נעשה פירוש זה חסר בסיס״) הרחוק מתחילת המשפט</w:t>
            </w:r>
          </w:p>
        </w:tc>
        <w:tc>
          <w:tcPr>
            <w:tcW w:type="dxa" w:w="1440"/>
          </w:tcPr>
          <w:p>
            <w:pPr>
              <w:bidi/>
              <w:jc w:val="right"/>
            </w:pPr>
            <w:r/>
            <w:r>
              <w:t>יתר על כן, אם נניח שהכיתוב “רב החסד” נוסח על יסוד תיאורו העצמי של ר׳ חיים בצוואתו, “איש חסד היה”, הרי שפירוש זה חסר בסיס, שכן בלי המילה “רב” ודאי אין בתיאור זה קשר הכרחי לפסקי הלכה.</w:t>
            </w:r>
          </w:p>
        </w:tc>
      </w:tr>
      <w:tr>
        <w:tc>
          <w:tcPr>
            <w:tcW w:type="dxa" w:w="1440"/>
          </w:tcPr>
          <w:p>
            <w:pPr>
              <w:bidi/>
              <w:jc w:val="right"/>
            </w:pPr>
            <w:r/>
            <w:r>
              <w:t>4759</w:t>
            </w:r>
          </w:p>
        </w:tc>
        <w:tc>
          <w:tcPr>
            <w:tcW w:type="dxa" w:w="1440"/>
          </w:tcPr>
          <w:p>
            <w:pPr>
              <w:bidi/>
              <w:jc w:val="right"/>
            </w:pPr>
            <w:r/>
            <w:r>
              <w:t>should</w:t>
            </w:r>
          </w:p>
        </w:tc>
        <w:tc>
          <w:tcPr>
            <w:tcW w:type="dxa" w:w="1440"/>
          </w:tcPr>
          <w:p>
            <w:pPr>
              <w:bidi/>
              <w:jc w:val="right"/>
            </w:pPr>
            <w:r/>
            <w:r>
              <w:t>low</w:t>
            </w:r>
          </w:p>
        </w:tc>
        <w:tc>
          <w:tcPr>
            <w:tcW w:type="dxa" w:w="1440"/>
          </w:tcPr>
          <w:p>
            <w:pPr>
              <w:bidi/>
              <w:jc w:val="right"/>
            </w:pPr>
            <w:r/>
            <w:r>
              <w:t>שימוש זה נכפה על מחבר נוסח המצבה כמשקל נגד הולם לתואר הסמוך, “שר התורה”, שמצד עצמו היה ראוי להקדים</w:t>
            </w:r>
          </w:p>
        </w:tc>
        <w:tc>
          <w:tcPr>
            <w:tcW w:type="dxa" w:w="1440"/>
          </w:tcPr>
          <w:p>
            <w:pPr>
              <w:bidi/>
              <w:jc w:val="right"/>
            </w:pPr>
            <w:r/>
            <w:r>
              <w:t>״נכפה על מחבר הנוסח״ מילולי ומטעה; ״שמצד עצמו היה ראוי להקדים״ חסר מושא ואינו ברור</w:t>
            </w:r>
          </w:p>
        </w:tc>
        <w:tc>
          <w:tcPr>
            <w:tcW w:type="dxa" w:w="1440"/>
          </w:tcPr>
          <w:p>
            <w:pPr>
              <w:bidi/>
              <w:jc w:val="right"/>
            </w:pPr>
            <w:r/>
            <w:r>
              <w:t>המחבר נזקק לשימוש זה כמשקל נגד הולם לתואר הסמוך, “שר התורה”, שמצד עצמו היה ראוי להיות ראשון</w:t>
            </w:r>
          </w:p>
        </w:tc>
      </w:tr>
      <w:tr>
        <w:tc>
          <w:tcPr>
            <w:tcW w:type="dxa" w:w="1440"/>
          </w:tcPr>
          <w:p>
            <w:pPr>
              <w:bidi/>
              <w:jc w:val="right"/>
            </w:pPr>
            <w:r/>
            <w:r>
              <w:t>4761</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הסיפור ביעקב מארק המצוטט בראש נספח ט להלן</w:t>
            </w:r>
          </w:p>
        </w:tc>
        <w:tc>
          <w:tcPr>
            <w:tcW w:type="dxa" w:w="1440"/>
          </w:tcPr>
          <w:p>
            <w:pPr>
              <w:bidi/>
              <w:jc w:val="right"/>
            </w:pPr>
            <w:r/>
            <w:r>
              <w:t>״הסיפור ביעקב מארק״ – תרגום מילולי של in (בעברית: אצל / בדברי)</w:t>
            </w:r>
          </w:p>
        </w:tc>
        <w:tc>
          <w:tcPr>
            <w:tcW w:type="dxa" w:w="1440"/>
          </w:tcPr>
          <w:p>
            <w:pPr>
              <w:bidi/>
              <w:jc w:val="right"/>
            </w:pPr>
            <w:r/>
            <w:r>
              <w:t>הסיפור אצל יעקב מארק, המובא בראש נספח ט להלן</w:t>
            </w:r>
          </w:p>
        </w:tc>
      </w:tr>
      <w:tr>
        <w:tc>
          <w:tcPr>
            <w:tcW w:type="dxa" w:w="1440"/>
          </w:tcPr>
          <w:p>
            <w:pPr>
              <w:bidi/>
              <w:jc w:val="right"/>
            </w:pPr>
            <w:r/>
            <w:r>
              <w:t>4761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שעל בני קהילתה שגלו עמו למינסק לפרנסו</w:t>
            </w:r>
          </w:p>
        </w:tc>
        <w:tc>
          <w:tcPr>
            <w:tcW w:type="dxa" w:w="1440"/>
          </w:tcPr>
          <w:p>
            <w:pPr>
              <w:bidi/>
              <w:jc w:val="right"/>
            </w:pPr>
            <w:r/>
            <w:r>
              <w:t>פסוקית יחס מקוננת וסיומת קטועה; לא ברור התחביר (על מי החובה ומי מפרנס)</w:t>
            </w:r>
          </w:p>
        </w:tc>
        <w:tc>
          <w:tcPr>
            <w:tcW w:type="dxa" w:w="1440"/>
          </w:tcPr>
          <w:p>
            <w:pPr>
              <w:bidi/>
              <w:jc w:val="right"/>
            </w:pPr>
            <w:r/>
            <w:r>
              <w:t>שר׳ חיים ראה את עצמו אז עדיין כרבה של בריסק, ובני קהילתה שגלו עמו למינסק היו חייבים לפרנסו</w:t>
            </w:r>
          </w:p>
        </w:tc>
      </w:tr>
      <w:tr>
        <w:tc>
          <w:tcPr>
            <w:tcW w:type="dxa" w:w="1440"/>
          </w:tcPr>
          <w:p>
            <w:pPr>
              <w:bidi/>
              <w:jc w:val="right"/>
            </w:pPr>
            <w:r/>
            <w:r>
              <w:t>4765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 שלמה אשכנזי סיפר שר׳ שמואל סולובייצ׳יק, אחיו של מחבר “איש ההלכה”, אמר לר׳ דוד ליפשיץ שר׳ חיים הגדיר</w:t>
            </w:r>
          </w:p>
        </w:tc>
        <w:tc>
          <w:tcPr>
            <w:tcW w:type="dxa" w:w="1440"/>
          </w:tcPr>
          <w:p>
            <w:pPr>
              <w:bidi/>
              <w:jc w:val="right"/>
            </w:pPr>
            <w:r/>
            <w:r>
              <w:t>שרשרת של ״ש־״ (סיפר ש... אמר ל... ש... הגדיר... כשאמר...) בתוך משפט אחד; כבד מאוד</w:t>
            </w:r>
          </w:p>
        </w:tc>
        <w:tc>
          <w:tcPr>
            <w:tcW w:type="dxa" w:w="1440"/>
          </w:tcPr>
          <w:p>
            <w:pPr>
              <w:bidi/>
              <w:jc w:val="right"/>
            </w:pPr>
            <w:r/>
            <w:r>
              <w:t>ר׳ שלמה אשכנזי סיפר שר׳ שמואל סולובייצ׳יק, אחיו של מחבר “איש ההלכה”, אמר לר׳ דוד ליפשיץ: ר׳ חיים הגדיר את תפקיד הרב בתמציתיות רבה יותר, כשאמר לבנו ר׳ משה:</w:t>
            </w:r>
          </w:p>
        </w:tc>
      </w:tr>
      <w:tr>
        <w:tc>
          <w:tcPr>
            <w:tcW w:type="dxa" w:w="1440"/>
          </w:tcPr>
          <w:p>
            <w:pPr>
              <w:bidi/>
              <w:jc w:val="right"/>
            </w:pPr>
            <w:r/>
            <w:r>
              <w:t>4768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במניית הפריט השלישי הזה הראה ר׳ שלמה שלדעתו לא הייתה דרכו של ר׳ חיים מסוגלת לכבוש את עולם הישיבות במלואו</w:t>
            </w:r>
          </w:p>
        </w:tc>
        <w:tc>
          <w:tcPr>
            <w:tcW w:type="dxa" w:w="1440"/>
          </w:tcPr>
          <w:p>
            <w:pPr>
              <w:bidi/>
              <w:jc w:val="right"/>
            </w:pPr>
            <w:r/>
            <w:r>
              <w:t>הערה כבדה ומילולית: ״במניית... הראה״ (in listing... showed), ״שלדעתו לא הייתה דרכו מסוגלת״</w:t>
            </w:r>
          </w:p>
        </w:tc>
        <w:tc>
          <w:tcPr>
            <w:tcW w:type="dxa" w:w="1440"/>
          </w:tcPr>
          <w:p>
            <w:pPr>
              <w:bidi/>
              <w:jc w:val="right"/>
            </w:pPr>
            <w:r/>
            <w:r>
              <w:t>בפריט השלישי ברשימה רמז ר׳ שלמה שלדעתו אין דרכו של ר׳ חיים יכולה הייתה לכבוש את עולם הישיבות במלואו עד שעזב ר׳ חיים את וולוז׳ין ונעשה רבה של בריסק.</w:t>
            </w:r>
          </w:p>
        </w:tc>
      </w:tr>
      <w:tr>
        <w:tc>
          <w:tcPr>
            <w:tcW w:type="dxa" w:w="1440"/>
          </w:tcPr>
          <w:p>
            <w:pPr>
              <w:bidi/>
              <w:jc w:val="right"/>
            </w:pPr>
            <w:r/>
            <w:r>
              <w:t>4769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מפליא בוודאי שבאחת־עשרה שנים וחצי של מסירת שיעורים בוולוז׳ין</w:t>
            </w:r>
          </w:p>
        </w:tc>
        <w:tc>
          <w:tcPr>
            <w:tcW w:type="dxa" w:w="1440"/>
          </w:tcPr>
          <w:p>
            <w:pPr>
              <w:bidi/>
              <w:jc w:val="right"/>
            </w:pPr>
            <w:r/>
            <w:r>
              <w:t>״מפליא בוודאי ש־״ – סדר מילים אנגלי (Surely amazing that); המשפט כבד עם סוגריים באמצע ונשוא רחוק</w:t>
            </w:r>
          </w:p>
        </w:tc>
        <w:tc>
          <w:tcPr>
            <w:tcW w:type="dxa" w:w="1440"/>
          </w:tcPr>
          <w:p>
            <w:pPr>
              <w:bidi/>
              <w:jc w:val="right"/>
            </w:pPr>
            <w:r/>
            <w:r>
              <w:t>אכן מפליא שבתוך אחת־עשרה שנים וחצי של מסירת שיעורים בוולוז׳ין (ובניסיונות המועטים, בחצי לב, ללמד בבריסק) הצליח ר׳ חיים לשנות מן היסוד את דרך לימוד התלמוד בעולם הישיבות</w:t>
            </w:r>
          </w:p>
        </w:tc>
      </w:tr>
      <w:tr>
        <w:tc>
          <w:tcPr>
            <w:tcW w:type="dxa" w:w="1440"/>
          </w:tcPr>
          <w:p>
            <w:pPr>
              <w:bidi/>
              <w:jc w:val="right"/>
            </w:pPr>
            <w:r/>
            <w:r>
              <w:t>4771</w:t>
            </w:r>
          </w:p>
        </w:tc>
        <w:tc>
          <w:tcPr>
            <w:tcW w:type="dxa" w:w="1440"/>
          </w:tcPr>
          <w:p>
            <w:pPr>
              <w:bidi/>
              <w:jc w:val="right"/>
            </w:pPr>
            <w:r/>
            <w:r>
              <w:t>should</w:t>
            </w:r>
          </w:p>
        </w:tc>
        <w:tc>
          <w:tcPr>
            <w:tcW w:type="dxa" w:w="1440"/>
          </w:tcPr>
          <w:p>
            <w:pPr>
              <w:bidi/>
              <w:jc w:val="right"/>
            </w:pPr>
            <w:r/>
            <w:r>
              <w:t>low</w:t>
            </w:r>
          </w:p>
        </w:tc>
        <w:tc>
          <w:tcPr>
            <w:tcW w:type="dxa" w:w="1440"/>
          </w:tcPr>
          <w:p>
            <w:pPr>
              <w:bidi/>
              <w:jc w:val="right"/>
            </w:pPr>
            <w:r/>
            <w:r>
              <w:t>על ששלח בן שקדן במיוחד להקדיש מזמנו לסידור עניין של חסד</w:t>
            </w:r>
          </w:p>
        </w:tc>
        <w:tc>
          <w:tcPr>
            <w:tcW w:type="dxa" w:w="1440"/>
          </w:tcPr>
          <w:p>
            <w:pPr>
              <w:bidi/>
              <w:jc w:val="right"/>
            </w:pPr>
            <w:r/>
            <w:r>
              <w:t>עמום: ״שלח בן שקדן במיוחד״ אינו ברור (שלח את בנו? תלמיד?) ונשמע כתרגום מילולי</w:t>
            </w:r>
          </w:p>
        </w:tc>
        <w:tc>
          <w:tcPr>
            <w:tcW w:type="dxa" w:w="1440"/>
          </w:tcPr>
          <w:p>
            <w:pPr>
              <w:bidi/>
              <w:jc w:val="right"/>
            </w:pPr>
            <w:r/>
            <w:r>
              <w:t>על כך ששלח את בנו, שקדן מופלג, להקדיש מזמנו לסידור עניין של חסד</w:t>
            </w:r>
          </w:p>
        </w:tc>
      </w:tr>
      <w:tr>
        <w:tc>
          <w:tcPr>
            <w:tcW w:type="dxa" w:w="1440"/>
          </w:tcPr>
          <w:p>
            <w:pPr>
              <w:bidi/>
              <w:jc w:val="right"/>
            </w:pPr>
            <w:r/>
            <w:r>
              <w:t>4771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ולא ללימוד לאחרים ולהשפעה עליהם שיקבלו את שיטת לימודו</w:t>
            </w:r>
          </w:p>
        </w:tc>
        <w:tc>
          <w:tcPr>
            <w:tcW w:type="dxa" w:w="1440"/>
          </w:tcPr>
          <w:p>
            <w:pPr>
              <w:bidi/>
              <w:jc w:val="right"/>
            </w:pPr>
            <w:r/>
            <w:r>
              <w:t>״ללימוד לאחרים״ – תרגום מילולי של teaching others (לימוד הוא learning); ״השפעה עליהם שיקבלו״ אינו תקין</w:t>
            </w:r>
          </w:p>
        </w:tc>
        <w:tc>
          <w:tcPr>
            <w:tcW w:type="dxa" w:w="1440"/>
          </w:tcPr>
          <w:p>
            <w:pPr>
              <w:bidi/>
              <w:jc w:val="right"/>
            </w:pPr>
            <w:r/>
            <w:r>
              <w:t>ולא ליכולתו ללמד אחרים ולהשפיע עליהם לקבל את שיטת לימודו</w:t>
            </w:r>
          </w:p>
        </w:tc>
      </w:tr>
      <w:tr>
        <w:tc>
          <w:tcPr>
            <w:tcW w:type="dxa" w:w="1440"/>
          </w:tcPr>
          <w:p>
            <w:pPr>
              <w:bidi/>
              <w:jc w:val="right"/>
            </w:pPr>
            <w:r/>
            <w:r>
              <w:t>4773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מתן הסבר לטובו המופלג של ר׳ חיים</w:t>
            </w:r>
          </w:p>
        </w:tc>
        <w:tc>
          <w:tcPr>
            <w:tcW w:type="dxa" w:w="1440"/>
          </w:tcPr>
          <w:p>
            <w:pPr>
              <w:bidi/>
              <w:jc w:val="right"/>
            </w:pPr>
            <w:r/>
            <w:r>
              <w:t>כותרת מילולית: ״טובו המופלג״ אינו עברית טבעית (his exceptional goodness), ו״מתן הסבר״ כבד</w:t>
            </w:r>
          </w:p>
        </w:tc>
        <w:tc>
          <w:tcPr>
            <w:tcW w:type="dxa" w:w="1440"/>
          </w:tcPr>
          <w:p>
            <w:pPr>
              <w:bidi/>
              <w:jc w:val="right"/>
            </w:pPr>
            <w:r/>
            <w:r>
              <w:t>הסבר לטוב לבו המופלג של ר׳ חיים</w:t>
            </w:r>
          </w:p>
        </w:tc>
      </w:tr>
      <w:tr>
        <w:tc>
          <w:tcPr>
            <w:tcW w:type="dxa" w:w="1440"/>
          </w:tcPr>
          <w:p>
            <w:pPr>
              <w:bidi/>
              <w:jc w:val="right"/>
            </w:pPr>
            <w:r/>
            <w:r>
              <w:t>4775</w:t>
            </w:r>
          </w:p>
        </w:tc>
        <w:tc>
          <w:tcPr>
            <w:tcW w:type="dxa" w:w="1440"/>
          </w:tcPr>
          <w:p>
            <w:pPr>
              <w:bidi/>
              <w:jc w:val="right"/>
            </w:pPr>
            <w:r/>
            <w:r>
              <w:t>should</w:t>
            </w:r>
          </w:p>
        </w:tc>
        <w:tc>
          <w:tcPr>
            <w:tcW w:type="dxa" w:w="1440"/>
          </w:tcPr>
          <w:p>
            <w:pPr>
              <w:bidi/>
              <w:jc w:val="right"/>
            </w:pPr>
            <w:r/>
            <w:r>
              <w:t>low</w:t>
            </w:r>
          </w:p>
        </w:tc>
        <w:tc>
          <w:tcPr>
            <w:tcW w:type="dxa" w:w="1440"/>
          </w:tcPr>
          <w:p>
            <w:pPr>
              <w:bidi/>
              <w:jc w:val="right"/>
            </w:pPr>
            <w:r/>
            <w:r>
              <w:t>תהא כוונתו של ר׳ יחיאל־יעקב ויינברג אשר תהא, אפשר לומר – בהנחה שהגדרתו למקור חסדו של ר׳ חיים נכונה</w:t>
            </w:r>
          </w:p>
        </w:tc>
        <w:tc>
          <w:tcPr>
            <w:tcW w:type="dxa" w:w="1440"/>
          </w:tcPr>
          <w:p>
            <w:pPr>
              <w:bidi/>
              <w:jc w:val="right"/>
            </w:pPr>
            <w:r/>
            <w:r>
              <w:t>משפט כבד: פסוקית ויתור, מקפים, הנחה מקוננת ורק אחר כך הנשוא; ״נתעלה... בהיותו״ מליצי ומילולי</w:t>
            </w:r>
          </w:p>
        </w:tc>
        <w:tc>
          <w:tcPr>
            <w:tcW w:type="dxa" w:w="1440"/>
          </w:tcPr>
          <w:p>
            <w:pPr>
              <w:bidi/>
              <w:jc w:val="right"/>
            </w:pPr>
            <w:r/>
            <w:r>
              <w:t>תהא כוונתו של ר׳ יחיאל־יעקב ויינברג אשר תהא, אם הגדרתו למקור חסדו של ר׳ חיים נכונה אפשר לומר שדווקא בכך עלה חסדו של ר׳ חיים: הוא “חסד של הראש”, כדברי הרמב״ם ב“מורה נבוכים”:</w:t>
            </w:r>
          </w:p>
        </w:tc>
      </w:tr>
      <w:tr>
        <w:tc>
          <w:tcPr>
            <w:tcW w:type="dxa" w:w="1440"/>
          </w:tcPr>
          <w:p>
            <w:pPr>
              <w:bidi/>
              <w:jc w:val="right"/>
            </w:pPr>
            <w:r/>
            <w:r>
              <w:t>4778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ציווה לשבח על מצבתו מידה מסוימת, את חסדו, במילים “איש חסד היה”</w:t>
            </w:r>
          </w:p>
        </w:tc>
        <w:tc>
          <w:tcPr>
            <w:tcW w:type="dxa" w:w="1440"/>
          </w:tcPr>
          <w:p>
            <w:pPr>
              <w:bidi/>
              <w:jc w:val="right"/>
            </w:pPr>
            <w:r/>
            <w:r>
              <w:t>״לשבח על מצבתו מידה מסוימת״ – תחביר מילולי ומגושם; בהמשך כפל ״תכונה... תכונה״</w:t>
            </w:r>
          </w:p>
        </w:tc>
        <w:tc>
          <w:tcPr>
            <w:tcW w:type="dxa" w:w="1440"/>
          </w:tcPr>
          <w:p>
            <w:pPr>
              <w:bidi/>
              <w:jc w:val="right"/>
            </w:pPr>
            <w:r/>
            <w:r>
              <w:t>ציווה שעל מצבתו יישבח רק בתכונה אחת, חסדו, במילים “איש חסד היה”, מוכיחה שראה בה תכונה המאפיינת אותו במיוחד</w:t>
            </w:r>
          </w:p>
        </w:tc>
      </w:tr>
      <w:tr>
        <w:tc>
          <w:tcPr>
            <w:tcW w:type="dxa" w:w="1440"/>
          </w:tcPr>
          <w:p>
            <w:pPr>
              <w:bidi/>
              <w:jc w:val="right"/>
            </w:pPr>
            <w:r/>
            <w:r>
              <w:t>4778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לפיכך מסתבר שר׳ חיים היה בעל תשוקה לחסד</w:t>
            </w:r>
          </w:p>
        </w:tc>
        <w:tc>
          <w:tcPr>
            <w:tcW w:type="dxa" w:w="1440"/>
          </w:tcPr>
          <w:p>
            <w:pPr>
              <w:bidi/>
              <w:jc w:val="right"/>
            </w:pPr>
            <w:r/>
            <w:r>
              <w:t>״בעל תשוקה ל־״ – הרכבה לא טבעית (a man of passion for)</w:t>
            </w:r>
          </w:p>
        </w:tc>
        <w:tc>
          <w:tcPr>
            <w:tcW w:type="dxa" w:w="1440"/>
          </w:tcPr>
          <w:p>
            <w:pPr>
              <w:bidi/>
              <w:jc w:val="right"/>
            </w:pPr>
            <w:r/>
            <w:r>
              <w:t>לפיכך מסתבר שהחסד היה אצל ר׳ חיים תשוקה, ולא כפי שסבר ר׳ יחזקאל אברמסקי</w:t>
            </w:r>
          </w:p>
        </w:tc>
      </w:tr>
      <w:tr>
        <w:tc>
          <w:tcPr>
            <w:tcW w:type="dxa" w:w="1440"/>
          </w:tcPr>
          <w:p>
            <w:pPr>
              <w:bidi/>
              <w:jc w:val="right"/>
            </w:pPr>
            <w:r/>
            <w:r>
              <w:t>4787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 פיבל מלצר, אחי הכלה, נזכר ב“בעקבות היראה” ש</w:t>
            </w:r>
          </w:p>
        </w:tc>
        <w:tc>
          <w:tcPr>
            <w:tcW w:type="dxa" w:w="1440"/>
          </w:tcPr>
          <w:p>
            <w:pPr>
              <w:bidi/>
              <w:jc w:val="right"/>
            </w:pPr>
            <w:r/>
            <w:r>
              <w:t>תרגמת: ״נזכר ב...״ בעברית פירושו ״מוזכר ב...״, ואילו כאן הכוונה ״מספר/מעיד ב...״ (recalls)</w:t>
            </w:r>
          </w:p>
        </w:tc>
        <w:tc>
          <w:tcPr>
            <w:tcW w:type="dxa" w:w="1440"/>
          </w:tcPr>
          <w:p>
            <w:pPr>
              <w:bidi/>
              <w:jc w:val="right"/>
            </w:pPr>
            <w:r/>
            <w:r>
              <w:t>ר׳ פיבל מלצר, אחי הכלה, מספר ב“בעקבות היראה” ש“ברגע שסיים ר׳ אהרן את הרצאתו...”</w:t>
            </w:r>
          </w:p>
        </w:tc>
      </w:tr>
      <w:tr>
        <w:tc>
          <w:tcPr>
            <w:tcW w:type="dxa" w:w="1440"/>
          </w:tcPr>
          <w:p>
            <w:pPr>
              <w:bidi/>
              <w:jc w:val="right"/>
            </w:pPr>
            <w:r/>
            <w:r>
              <w:t>4793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לא הסכים לגישה הסלבודקאית הזאת לפטירתו הטרגית של הרב קפלן</w:t>
            </w:r>
          </w:p>
        </w:tc>
        <w:tc>
          <w:tcPr>
            <w:tcW w:type="dxa" w:w="1440"/>
          </w:tcPr>
          <w:p>
            <w:pPr>
              <w:bidi/>
              <w:jc w:val="right"/>
            </w:pPr>
            <w:r/>
            <w:r>
              <w:t>תרגמת: ״הסכים ל־״ במקום ״הסכים עם״, ושרשרת ״ל... ל...״ מכבידה</w:t>
            </w:r>
          </w:p>
        </w:tc>
        <w:tc>
          <w:tcPr>
            <w:tcW w:type="dxa" w:w="1440"/>
          </w:tcPr>
          <w:p>
            <w:pPr>
              <w:bidi/>
              <w:jc w:val="right"/>
            </w:pPr>
            <w:r/>
            <w:r>
              <w:t>לא הסכים עם הגישה הסלבודקאית הזאת בנוגע לפטירתו הטרגית של הרב קפלן</w:t>
            </w:r>
          </w:p>
        </w:tc>
      </w:tr>
      <w:tr>
        <w:tc>
          <w:tcPr>
            <w:tcW w:type="dxa" w:w="1440"/>
          </w:tcPr>
          <w:p>
            <w:pPr>
              <w:bidi/>
              <w:jc w:val="right"/>
            </w:pPr>
            <w:r/>
            <w:r>
              <w:t>4805</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שבאותה עת כבר היה חתנו וממלא מקומו של רבה של לידה, ר׳ יצחק־יעקב ריינס – שהוא הביא את הנער היישר אל ר׳ חיים</w:t>
            </w:r>
          </w:p>
        </w:tc>
        <w:tc>
          <w:tcPr>
            <w:tcW w:type="dxa" w:w="1440"/>
          </w:tcPr>
          <w:p>
            <w:pPr>
              <w:bidi/>
              <w:jc w:val="right"/>
            </w:pPr>
            <w:r/>
            <w:r>
              <w:t>משפט כבד: מקף בתוך מקף, סמיכות כפולה (״חתנו וממלא מקומו של רבה של לידה״) שמעמעמת את זהות הרב, ושרשרת ״ש...״ אחרי המקף</w:t>
            </w:r>
          </w:p>
        </w:tc>
        <w:tc>
          <w:tcPr>
            <w:tcW w:type="dxa" w:w="1440"/>
          </w:tcPr>
          <w:p>
            <w:pPr>
              <w:bidi/>
              <w:jc w:val="right"/>
            </w:pPr>
            <w:r/>
            <w:r>
              <w:t>מעניין שב“אידנו” כתב ר׳ אהרן רבינוביץ, שהיה אז כבר חתנו וממלא מקומו של ר׳ יצחק־יעקב ריינס, רבה של לידה, כי הוא עצמו הביא את הנער היישר אל ר׳ חיים לבחינה (את הנצי״ב אין הוא מזכיר כלל), וכי ר׳ חיים הנרגש הכריז “בפשטות: ‘זהו עילוי שאין כמוהו’”.</w:t>
            </w:r>
          </w:p>
        </w:tc>
      </w:tr>
      <w:tr>
        <w:tc>
          <w:tcPr>
            <w:tcW w:type="dxa" w:w="1440"/>
          </w:tcPr>
          <w:p>
            <w:pPr>
              <w:bidi/>
              <w:jc w:val="right"/>
            </w:pPr>
            <w:r/>
            <w:r>
              <w:t>4806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רק כשיצא ר׳ שלמה פוליצ׳ק לעולם נשמט הכינוי ששימש את חבריו בוולוז׳ין</w:t>
            </w:r>
          </w:p>
        </w:tc>
        <w:tc>
          <w:tcPr>
            <w:tcW w:type="dxa" w:w="1440"/>
          </w:tcPr>
          <w:p>
            <w:pPr>
              <w:bidi/>
              <w:jc w:val="right"/>
            </w:pPr>
            <w:r/>
            <w:r>
              <w:t>תרגמת: ״יצא לעולם״ (went out into the world) אינו ברור בעברית, ומשפט עמוס</w:t>
            </w:r>
          </w:p>
        </w:tc>
        <w:tc>
          <w:tcPr>
            <w:tcW w:type="dxa" w:w="1440"/>
          </w:tcPr>
          <w:p>
            <w:pPr>
              <w:bidi/>
              <w:jc w:val="right"/>
            </w:pPr>
            <w:r/>
            <w:r>
              <w:t>רק כשעזב ר׳ שלמה פוליצ׳ק את הישיבה ויצא לעולם הרחב, נשמט הכינוי שבו קראו לו חבריו בוולוז׳ין, ונדבק בו הכינוי (הבלתי מדויק) שטבע ר׳ חיים.</w:t>
            </w:r>
          </w:p>
        </w:tc>
      </w:tr>
      <w:tr>
        <w:tc>
          <w:tcPr>
            <w:tcW w:type="dxa" w:w="1440"/>
          </w:tcPr>
          <w:p>
            <w:pPr>
              <w:bidi/>
              <w:jc w:val="right"/>
            </w:pPr>
            <w:r/>
            <w:r>
              <w:t>4807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שלח אז את בנו ר׳ לייזר־יודל ללמוד אף הוא אצל ר׳ חיים – ובחשאי, לשכנע את בן התשע־עשרה לבוא לסלבודקה</w:t>
            </w:r>
          </w:p>
        </w:tc>
        <w:tc>
          <w:tcPr>
            <w:tcW w:type="dxa" w:w="1440"/>
          </w:tcPr>
          <w:p>
            <w:pPr>
              <w:bidi/>
              <w:jc w:val="right"/>
            </w:pPr>
            <w:r/>
            <w:r>
              <w:t>משפט עמוס ומבלבל: ״ללמוד... ובחשאי, לשכנע״ מערבב שתי מטרות ומקדים תיאור פועל באמצע הרצף</w:t>
            </w:r>
          </w:p>
        </w:tc>
        <w:tc>
          <w:tcPr>
            <w:tcW w:type="dxa" w:w="1440"/>
          </w:tcPr>
          <w:p>
            <w:pPr>
              <w:bidi/>
              <w:jc w:val="right"/>
            </w:pPr>
            <w:r/>
            <w:r>
              <w:t>שלח אז את בנו ר׳ לייזר־יודל ללמוד אף הוא אצל ר׳ חיים, ובחשאי הטיל עליו לשכנע את בן התשע־עשרה לבוא לסלבודקה.</w:t>
            </w:r>
          </w:p>
        </w:tc>
      </w:tr>
      <w:tr>
        <w:tc>
          <w:tcPr>
            <w:tcW w:type="dxa" w:w="1440"/>
          </w:tcPr>
          <w:p>
            <w:pPr>
              <w:bidi/>
              <w:jc w:val="right"/>
            </w:pPr>
            <w:r/>
            <w:r>
              <w:t>4810</w:t>
            </w:r>
          </w:p>
        </w:tc>
        <w:tc>
          <w:tcPr>
            <w:tcW w:type="dxa" w:w="1440"/>
          </w:tcPr>
          <w:p>
            <w:pPr>
              <w:bidi/>
              <w:jc w:val="right"/>
            </w:pPr>
            <w:r/>
            <w:r>
              <w:t>should</w:t>
            </w:r>
          </w:p>
        </w:tc>
        <w:tc>
          <w:tcPr>
            <w:tcW w:type="dxa" w:w="1440"/>
          </w:tcPr>
          <w:p>
            <w:pPr>
              <w:bidi/>
              <w:jc w:val="right"/>
            </w:pPr>
            <w:r/>
            <w:r>
              <w:t>low</w:t>
            </w:r>
          </w:p>
        </w:tc>
        <w:tc>
          <w:tcPr>
            <w:tcW w:type="dxa" w:w="1440"/>
          </w:tcPr>
          <w:p>
            <w:pPr>
              <w:bidi/>
              <w:jc w:val="right"/>
            </w:pPr>
            <w:r/>
            <w:r>
              <w:t>אגב, ר׳ ארצ׳יק היה בעל מוסר נלהב.</w:t>
            </w:r>
          </w:p>
        </w:tc>
        <w:tc>
          <w:tcPr>
            <w:tcW w:type="dxa" w:w="1440"/>
          </w:tcPr>
          <w:p>
            <w:pPr>
              <w:bidi/>
              <w:jc w:val="right"/>
            </w:pPr>
            <w:r/>
            <w:r>
              <w:t>תרגמת אפשרית: ״בעל מוסר״ בעברית משמעו מוכיח או מטיף, ואילו הכוונה כנראה לאיש תנועת המוסר</w:t>
            </w:r>
          </w:p>
        </w:tc>
        <w:tc>
          <w:tcPr>
            <w:tcW w:type="dxa" w:w="1440"/>
          </w:tcPr>
          <w:p>
            <w:pPr>
              <w:bidi/>
              <w:jc w:val="right"/>
            </w:pPr>
            <w:r/>
            <w:r>
              <w:t>אגב, ר׳ ארצ׳יק היה איש מוסר נלהב (מחסידי תנועת המוסר).</w:t>
            </w:r>
          </w:p>
        </w:tc>
      </w:tr>
      <w:tr>
        <w:tc>
          <w:tcPr>
            <w:tcW w:type="dxa" w:w="1440"/>
          </w:tcPr>
          <w:p>
            <w:pPr>
              <w:bidi/>
              <w:jc w:val="right"/>
            </w:pPr>
            <w:r/>
            <w:r>
              <w:t>4814</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שבו כיהן ר׳ שלמה פוליצ׳ק כראש ישיבה בישיבה בלידה – אף שמבקרים מסלבודקה, מטלז וממיר באו מפעם לפעם לשמוע אותו שם</w:t>
            </w:r>
          </w:p>
        </w:tc>
        <w:tc>
          <w:tcPr>
            <w:tcW w:type="dxa" w:w="1440"/>
          </w:tcPr>
          <w:p>
            <w:pPr>
              <w:bidi/>
              <w:jc w:val="right"/>
            </w:pPr>
            <w:r/>
            <w:r>
              <w:t>כפל ״ראש ישיבה בישיבה״, וקטע ״אף ש...״ כבד בתוך מקפים וסמיכות לטענה המרכזית ״שכן אבי אמר...״</w:t>
            </w:r>
          </w:p>
        </w:tc>
        <w:tc>
          <w:tcPr>
            <w:tcW w:type="dxa" w:w="1440"/>
          </w:tcPr>
          <w:p>
            <w:pPr>
              <w:bidi/>
              <w:jc w:val="right"/>
            </w:pPr>
            <w:r/>
            <w:r>
              <w:t>הדבר לא יכול היה לקרות בעשור תרס״ה–תרע״ה, שבו כיהן ר׳ שלמה פוליצ׳ק כראש ישיבת לידה, שכן אבי אמר פעם שמעולם לא היה בלידה (אף שלפי מאמרו של משה גולדברג ב“אידנו” באו לשם מפעם לפעם מבקרים מסלבודקה, מטלז וממיר לשמוע אותו).</w:t>
            </w:r>
          </w:p>
        </w:tc>
      </w:tr>
      <w:tr>
        <w:tc>
          <w:tcPr>
            <w:tcW w:type="dxa" w:w="1440"/>
          </w:tcPr>
          <w:p>
            <w:pPr>
              <w:bidi/>
              <w:jc w:val="right"/>
            </w:pPr>
            <w:r/>
            <w:r>
              <w:t>4815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החרימו את שיעורו של העילוי ממייצ׳ט משום שדבק בו כתם עשר שנות כהונתו כראש ישיבה בישיבת לידה</w:t>
            </w:r>
          </w:p>
        </w:tc>
        <w:tc>
          <w:tcPr>
            <w:tcW w:type="dxa" w:w="1440"/>
          </w:tcPr>
          <w:p>
            <w:pPr>
              <w:bidi/>
              <w:jc w:val="right"/>
            </w:pPr>
            <w:r/>
            <w:r>
              <w:t>כפל ״ראש ישיבה בישיבת״ ושרשרת סמיכויות (״כתם עשר שנות כהונתו כראש...״); כל המשפט ארוך וקשה לקריאה</w:t>
            </w:r>
          </w:p>
        </w:tc>
        <w:tc>
          <w:tcPr>
            <w:tcW w:type="dxa" w:w="1440"/>
          </w:tcPr>
          <w:p>
            <w:pPr>
              <w:bidi/>
              <w:jc w:val="right"/>
            </w:pPr>
            <w:r/>
            <w:r>
              <w:t>אפשר לשער שתלמידי הישיבות, ובייחוד העילויים המובהקים שהיו חריפים דיים לעקוב אחר דבריו, החרימו את שיעורו מפני שדבק בו הכתם של עשר שנות כהונתו כראש ישיבת לידה.</w:t>
            </w:r>
          </w:p>
        </w:tc>
      </w:tr>
      <w:tr>
        <w:tc>
          <w:tcPr>
            <w:tcW w:type="dxa" w:w="1440"/>
          </w:tcPr>
          <w:p>
            <w:pPr>
              <w:bidi/>
              <w:jc w:val="right"/>
            </w:pPr>
            <w:r/>
            <w:r>
              <w:t>4816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לא הושפע משיקולי ה“תקינות הפוליטית” האלה – גם אחרי נישואיו לבתו של אחד מבעלי התפקידים בישיבת סלבודקה</w:t>
            </w:r>
          </w:p>
        </w:tc>
        <w:tc>
          <w:tcPr>
            <w:tcW w:type="dxa" w:w="1440"/>
          </w:tcPr>
          <w:p>
            <w:pPr>
              <w:bidi/>
              <w:jc w:val="right"/>
            </w:pPr>
            <w:r/>
            <w:r>
              <w:t>״אחד מבעלי התפקידים״ הוא תרגמת (one of the officials); ״שנערכו כחצי שנה קודם לכן״ רחוק מ״נישואיו״ ומעמעם</w:t>
            </w:r>
          </w:p>
        </w:tc>
        <w:tc>
          <w:tcPr>
            <w:tcW w:type="dxa" w:w="1440"/>
          </w:tcPr>
          <w:p>
            <w:pPr>
              <w:bidi/>
              <w:jc w:val="right"/>
            </w:pPr>
            <w:r/>
            <w:r>
              <w:t>לא הושפע משיקולי ה“תקינות הפוליטית” האלה, אף שכחצי שנה (או יותר) קודם לכן נשא את בתו של “המשגיח הצעיר” בישיבת סלבודקה, ר׳ בער־הירש הלר.</w:t>
            </w:r>
          </w:p>
        </w:tc>
      </w:tr>
      <w:tr>
        <w:tc>
          <w:tcPr>
            <w:tcW w:type="dxa" w:w="1440"/>
          </w:tcPr>
          <w:p>
            <w:pPr>
              <w:bidi/>
              <w:jc w:val="right"/>
            </w:pPr>
            <w:r/>
            <w:r>
              <w:t>4817</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העיר אחד מבני החבורה כי סברו שיחסו של ר׳ חיים – מתנגד חריף לציונות ולרב ריינס – יצטנן כלפי העילוי ממייצ׳ט</w:t>
            </w:r>
          </w:p>
        </w:tc>
        <w:tc>
          <w:tcPr>
            <w:tcW w:type="dxa" w:w="1440"/>
          </w:tcPr>
          <w:p>
            <w:pPr>
              <w:bidi/>
              <w:jc w:val="right"/>
            </w:pPr>
            <w:r/>
            <w:r>
              <w:t>משפט כבד עם מקפים ותחביר נפגם (״העיר אחד... כי סברו״ – נושא לא עקבי); המשך המשפט ארוך עוד יותר</w:t>
            </w:r>
          </w:p>
        </w:tc>
        <w:tc>
          <w:tcPr>
            <w:tcW w:type="dxa" w:w="1440"/>
          </w:tcPr>
          <w:p>
            <w:pPr>
              <w:bidi/>
              <w:jc w:val="right"/>
            </w:pPr>
            <w:r/>
            <w:r>
              <w:t>כשדיבר עליו ר׳ חיים “בהתפעלות גדולה”, העיר אחד מבני החבורה שהם סברו כי ר׳ חיים, מתנגד חריף לציונות ולרב ריינס, יצטנן כלפי העילוי ממייצ׳ט מאחר שזה התקרב אל ר׳ יצחק־יעקב ריינס וקיבל על עצמו את ראשות ישיבתו הפסולה בלידה.</w:t>
            </w:r>
          </w:p>
        </w:tc>
      </w:tr>
      <w:tr>
        <w:tc>
          <w:tcPr>
            <w:tcW w:type="dxa" w:w="1440"/>
          </w:tcPr>
          <w:p>
            <w:pPr>
              <w:bidi/>
              <w:jc w:val="right"/>
            </w:pPr>
            <w:r/>
            <w:r>
              <w:t>4827</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שאדם אחד, שרצה להפחיד את ר׳ חיים, שסירב להגדיל את מנת הצדקה שנתן לו, הפגין את כוחו בכפיפת מטבע</w:t>
            </w:r>
          </w:p>
        </w:tc>
        <w:tc>
          <w:tcPr>
            <w:tcW w:type="dxa" w:w="1440"/>
          </w:tcPr>
          <w:p>
            <w:pPr>
              <w:bidi/>
              <w:jc w:val="right"/>
            </w:pPr>
            <w:r/>
            <w:r>
              <w:t>שרשרת ״ש...ש...״ שמעמעמת מי סירב ומי איים</w:t>
            </w:r>
          </w:p>
        </w:tc>
        <w:tc>
          <w:tcPr>
            <w:tcW w:type="dxa" w:w="1440"/>
          </w:tcPr>
          <w:p>
            <w:pPr>
              <w:bidi/>
              <w:jc w:val="right"/>
            </w:pPr>
            <w:r/>
            <w:r>
              <w:t>ו“תורת חיים” מספר על אדם שביקש מר׳ חיים להגדיל את מנת הצדקה שנתן לו; כשר׳ חיים סירב, ניסה האיש להפחידו והפגין את כוחו בכפיפת מטבע, ור׳ חיים נטל את המטבע באצבעותיו ויישר אותו.</w:t>
            </w:r>
          </w:p>
        </w:tc>
      </w:tr>
      <w:tr>
        <w:tc>
          <w:tcPr>
            <w:tcW w:type="dxa" w:w="1440"/>
          </w:tcPr>
          <w:p>
            <w:pPr>
              <w:bidi/>
              <w:jc w:val="right"/>
            </w:pPr>
            <w:r/>
            <w:r>
              <w:t>4828</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ייחס ר׳ משה לשנות הרעב שעבר במינסק בשלוש שנות המלחמה שקדמו לה – ולא לסיבת המוות הישירה</w:t>
            </w:r>
          </w:p>
        </w:tc>
        <w:tc>
          <w:tcPr>
            <w:tcW w:type="dxa" w:w="1440"/>
          </w:tcPr>
          <w:p>
            <w:pPr>
              <w:bidi/>
              <w:jc w:val="right"/>
            </w:pPr>
            <w:r/>
            <w:r>
              <w:t>משפט כבד: מושא מוקדם, תיאור גיל תלוי באוויר, סמיכויות ושרשרת תוספות (״שעבר... שקדמו לה... ושלשם ריפויה הובא״)</w:t>
            </w:r>
          </w:p>
        </w:tc>
        <w:tc>
          <w:tcPr>
            <w:tcW w:type="dxa" w:w="1440"/>
          </w:tcPr>
          <w:p>
            <w:pPr>
              <w:bidi/>
              <w:jc w:val="right"/>
            </w:pPr>
            <w:r/>
            <w:r>
              <w:t>ר׳ משה ייחס את פטירתו של ר׳ חיים, בן שישים וחמש בלבד, באוטבוצק שליד ורשה בכ״א באב תרע״ח, לשנות הרעב שעבר במינסק בשלוש שנות המלחמה שקדמו לה, ולא לסיבת המוות הישירה. סיבה זו הייתה “מחלת כבד שסבל ממנה מאוד ושריתקה אותו רוב הזמן למיטתו”; לשם ריפויה הובא ממקום מקלטו במינסק “אל רופאים גדולים בוורשה, שכבר לא יכלו לעזור”.</w:t>
            </w:r>
          </w:p>
        </w:tc>
      </w:tr>
      <w:tr>
        <w:tc>
          <w:tcPr>
            <w:tcW w:type="dxa" w:w="1440"/>
          </w:tcPr>
          <w:p>
            <w:pPr>
              <w:bidi/>
              <w:jc w:val="right"/>
            </w:pPr>
            <w:r/>
            <w:r>
              <w:t>4829</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מתאר כיצד סירב ר׳ חיים לקבל מזון מן הארגון שסייע לפליטים במינסק, שמחבר המאמר היה מזכירו הראשי</w:t>
            </w:r>
          </w:p>
        </w:tc>
        <w:tc>
          <w:tcPr>
            <w:tcW w:type="dxa" w:w="1440"/>
          </w:tcPr>
          <w:p>
            <w:pPr>
              <w:bidi/>
              <w:jc w:val="right"/>
            </w:pPr>
            <w:r/>
            <w:r>
              <w:t>משפט כבד מאוד: ״בן מינסק חשוב״ (תרגמת), ושרשרת ״ש...ש...״ סביב פסוקית נטענת ארוכה; קשה לדעת על מי חוזר ״שמחבר המאמר היה מזכירו״</w:t>
            </w:r>
          </w:p>
        </w:tc>
        <w:tc>
          <w:tcPr>
            <w:tcW w:type="dxa" w:w="1440"/>
          </w:tcPr>
          <w:p>
            <w:pPr>
              <w:bidi/>
              <w:jc w:val="right"/>
            </w:pPr>
            <w:r/>
            <w:r>
              <w:t>במאמרו מתאר יצחק ברגר, יליד מינסק מכובד ותלמיד וולוז׳ין לשעבר, כיצד סירב ר׳ חיים לקבל מזון מן הארגון שסייע לפליטים במינסק, ושברגר עצמו היה מזכירו הראשי. ר׳ חיים סבר שרבנים אחרים נזקקו לכך יותר ממנו, כי לא היו להם, כמוהו, בעלי בתים מעריהם שיסייעו להם.</w:t>
            </w:r>
          </w:p>
        </w:tc>
      </w:tr>
      <w:tr>
        <w:tc>
          <w:tcPr>
            <w:tcW w:type="dxa" w:w="1440"/>
          </w:tcPr>
          <w:p>
            <w:pPr>
              <w:bidi/>
              <w:jc w:val="right"/>
            </w:pPr>
            <w:r/>
            <w:r>
              <w:t>4835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שמע מאביו הסבר אחר לכך שרופא במינסק, שבדק את ר׳ חיים כשהיה בן שישים וארבע בלבד, מצא לתדהמתו</w:t>
            </w:r>
          </w:p>
        </w:tc>
        <w:tc>
          <w:tcPr>
            <w:tcW w:type="dxa" w:w="1440"/>
          </w:tcPr>
          <w:p>
            <w:pPr>
              <w:bidi/>
              <w:jc w:val="right"/>
            </w:pPr>
            <w:r/>
            <w:r>
              <w:t>משפט כבד: פסוקית בתוך פסוקית ואחריה נקודתיים ומשפט השוואה; הנושא (״הסבר... לכך ש״) הולך לאיבוד</w:t>
            </w:r>
          </w:p>
        </w:tc>
        <w:tc>
          <w:tcPr>
            <w:tcW w:type="dxa" w:w="1440"/>
          </w:tcPr>
          <w:p>
            <w:pPr>
              <w:bidi/>
              <w:jc w:val="right"/>
            </w:pPr>
            <w:r/>
            <w:r>
              <w:t>אבל ר׳ משולם־דוד סולובייצ׳יק שמע מאביו הסבר אחר. רופא במינסק בדק את ר׳ חיים כשהיה בן שישים וארבע בלבד, ומצא לתדהמתו שגופו כגוף אדם בן יותר מתשעים. לדברי הרב יצחק זאב, ר׳ חיים אימץ את מוחו בשישים וארבע שנותיו כמו שאדם רגיל מאמץ אותו בתשעים שנה, והדבר התיש את גופו.</w:t>
            </w:r>
          </w:p>
        </w:tc>
      </w:tr>
      <w:tr>
        <w:tc>
          <w:tcPr>
            <w:tcW w:type="dxa" w:w="1440"/>
          </w:tcPr>
          <w:p>
            <w:pPr>
              <w:bidi/>
              <w:jc w:val="right"/>
            </w:pPr>
            <w:r/>
            <w:r>
              <w:t>4836</w:t>
            </w:r>
          </w:p>
        </w:tc>
        <w:tc>
          <w:tcPr>
            <w:tcW w:type="dxa" w:w="1440"/>
          </w:tcPr>
          <w:p>
            <w:pPr>
              <w:bidi/>
              <w:jc w:val="right"/>
            </w:pPr>
            <w:r/>
            <w:r>
              <w:t>should</w:t>
            </w:r>
          </w:p>
        </w:tc>
        <w:tc>
          <w:tcPr>
            <w:tcW w:type="dxa" w:w="1440"/>
          </w:tcPr>
          <w:p>
            <w:pPr>
              <w:bidi/>
              <w:jc w:val="right"/>
            </w:pPr>
            <w:r/>
            <w:r>
              <w:t>low</w:t>
            </w:r>
          </w:p>
        </w:tc>
        <w:tc>
          <w:tcPr>
            <w:tcW w:type="dxa" w:w="1440"/>
          </w:tcPr>
          <w:p>
            <w:pPr>
              <w:bidi/>
              <w:jc w:val="right"/>
            </w:pPr>
            <w:r/>
            <w:r>
              <w:t>שאל עסקן ומגייס כספים פעיל מאוד, שהיה בתחילת שנות החמישים לחייו, מדוע הוא נראה זקן</w:t>
            </w:r>
          </w:p>
        </w:tc>
        <w:tc>
          <w:tcPr>
            <w:tcW w:type="dxa" w:w="1440"/>
          </w:tcPr>
          <w:p>
            <w:pPr>
              <w:bidi/>
              <w:jc w:val="right"/>
            </w:pPr>
            <w:r/>
            <w:r>
              <w:t>עמימות שנשמעת כתרגום (was asked): לא ברור מי שאל ומי השיב, וצירוף ״עסקן ומגייס כספים פעיל מאוד״ כבד; מומלץ לבדוק מול המקור האנגלי</w:t>
            </w:r>
          </w:p>
        </w:tc>
        <w:tc>
          <w:tcPr>
            <w:tcW w:type="dxa" w:w="1440"/>
          </w:tcPr>
          <w:p>
            <w:pPr>
              <w:bidi/>
              <w:jc w:val="right"/>
            </w:pPr>
            <w:r/>
            <w:r>
              <w:t>בביקורו האחרון בישראל נשאל עסקן פעיל מאוד, מגייס כספים, שהיה בתחילת שנות החמישים לחייו, מדוע הוא נראה זקן הרבה יותר מכפי גילו, והוא השיב: ... (לאמת מול המקור מי השואל)</w:t>
            </w:r>
          </w:p>
        </w:tc>
      </w:tr>
      <w:tr>
        <w:tc>
          <w:tcPr>
            <w:tcW w:type="dxa" w:w="1440"/>
          </w:tcPr>
          <w:p>
            <w:pPr>
              <w:bidi/>
              <w:jc w:val="right"/>
            </w:pPr>
            <w:r/>
            <w:r>
              <w:t>4841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מעשה הממחיש הלכה למעשה שר׳ חיים ראה את עצמו “יהודי פשוט” סיפר ר׳ שלום־נח ברזובסקי</w:t>
            </w:r>
          </w:p>
        </w:tc>
        <w:tc>
          <w:tcPr>
            <w:tcW w:type="dxa" w:w="1440"/>
          </w:tcPr>
          <w:p>
            <w:pPr>
              <w:bidi/>
              <w:jc w:val="right"/>
            </w:pPr>
            <w:r/>
            <w:r>
              <w:t>פתיחה כבדה ותחביר הפוך בסגנון אנגלי: נשוא המשפט (סיפר) נדחה לסוף אחרי תיאור ארוך; 'הלכה למעשה' אינו הביטוי הטבעי כאן</w:t>
            </w:r>
          </w:p>
        </w:tc>
        <w:tc>
          <w:tcPr>
            <w:tcW w:type="dxa" w:w="1440"/>
          </w:tcPr>
          <w:p>
            <w:pPr>
              <w:bidi/>
              <w:jc w:val="right"/>
            </w:pPr>
            <w:r/>
            <w:r>
              <w:t>ר׳ שלום־נח ברזובסקי, האדמו״ר הקודם מסלונים, סיפר מעשה שממחיש כיצד ר׳ חיים ראה את עצמו כ“יהודי פשוט”.</w:t>
            </w:r>
          </w:p>
        </w:tc>
      </w:tr>
      <w:tr>
        <w:tc>
          <w:tcPr>
            <w:tcW w:type="dxa" w:w="1440"/>
          </w:tcPr>
          <w:p>
            <w:pPr>
              <w:bidi/>
              <w:jc w:val="right"/>
            </w:pPr>
            <w:r/>
            <w:r>
              <w:t>4841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אדמו״ר מוקדם יותר מסלונים, ר׳ שמואל ויינברג, שלח את אחיינו</w:t>
            </w:r>
          </w:p>
        </w:tc>
        <w:tc>
          <w:tcPr>
            <w:tcW w:type="dxa" w:w="1440"/>
          </w:tcPr>
          <w:p>
            <w:pPr>
              <w:bidi/>
              <w:jc w:val="right"/>
            </w:pPr>
            <w:r/>
            <w:r>
              <w:t>'אדמו״ר מוקדם יותר מסלונים' הוא תרגום מילולי של 'an earlier Slonimer Rebbe' ואינו עברית טבעית</w:t>
            </w:r>
          </w:p>
        </w:tc>
        <w:tc>
          <w:tcPr>
            <w:tcW w:type="dxa" w:w="1440"/>
          </w:tcPr>
          <w:p>
            <w:pPr>
              <w:bidi/>
              <w:jc w:val="right"/>
            </w:pPr>
            <w:r/>
            <w:r>
              <w:t>אחד מקודמיו באדמו״רות בסלונים, ר׳ שמואל ויינברג, שלח את אחיינו</w:t>
            </w:r>
          </w:p>
        </w:tc>
      </w:tr>
      <w:tr>
        <w:tc>
          <w:tcPr>
            <w:tcW w:type="dxa" w:w="1440"/>
          </w:tcPr>
          <w:p>
            <w:pPr>
              <w:bidi/>
              <w:jc w:val="right"/>
            </w:pPr>
            <w:r/>
            <w:r>
              <w:t>4843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חיי גדול מן המעלה העליונה, כמותו</w:t>
            </w:r>
          </w:p>
        </w:tc>
        <w:tc>
          <w:tcPr>
            <w:tcW w:type="dxa" w:w="1440"/>
          </w:tcPr>
          <w:p>
            <w:pPr>
              <w:bidi/>
              <w:jc w:val="right"/>
            </w:pPr>
            <w:r/>
            <w:r>
              <w:t>צירוף 'גדול מן המעלה העליונה' נשמע כתרגום מילולי של 'a man of the highest stature' ואינו עברית טבעית</w:t>
            </w:r>
          </w:p>
        </w:tc>
        <w:tc>
          <w:tcPr>
            <w:tcW w:type="dxa" w:w="1440"/>
          </w:tcPr>
          <w:p>
            <w:pPr>
              <w:bidi/>
              <w:jc w:val="right"/>
            </w:pPr>
            <w:r/>
            <w:r>
              <w:t>מדוע חיי גדול דור כמותו אינם שווים יותר מחיי יהודי פשוט</w:t>
            </w:r>
          </w:p>
        </w:tc>
      </w:tr>
      <w:tr>
        <w:tc>
          <w:tcPr>
            <w:tcW w:type="dxa" w:w="1440"/>
          </w:tcPr>
          <w:p>
            <w:pPr>
              <w:bidi/>
              <w:jc w:val="right"/>
            </w:pPr>
            <w:r/>
            <w:r>
              <w:t>4844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אולי עד כדי כך שענוותו גבלה בתכונה שייחס לעצמו</w:t>
            </w:r>
          </w:p>
        </w:tc>
        <w:tc>
          <w:tcPr>
            <w:tcW w:type="dxa" w:w="1440"/>
          </w:tcPr>
          <w:p>
            <w:pPr>
              <w:bidi/>
              <w:jc w:val="right"/>
            </w:pPr>
            <w:r/>
            <w:r>
              <w:t>'גבלה בתכונה' הוא תרגום מילולי של 'bordered on'; הניסוח כבד ומעורפל</w:t>
            </w:r>
          </w:p>
        </w:tc>
        <w:tc>
          <w:tcPr>
            <w:tcW w:type="dxa" w:w="1440"/>
          </w:tcPr>
          <w:p>
            <w:pPr>
              <w:bidi/>
              <w:jc w:val="right"/>
            </w:pPr>
            <w:r/>
            <w:r>
              <w:t>אולי עד כדי כך שענוותו התקרבה לתכונה שייחס לעצמו</w:t>
            </w:r>
          </w:p>
        </w:tc>
      </w:tr>
      <w:tr>
        <w:tc>
          <w:tcPr>
            <w:tcW w:type="dxa" w:w="1440"/>
          </w:tcPr>
          <w:p>
            <w:pPr>
              <w:bidi/>
              <w:jc w:val="right"/>
            </w:pPr>
            <w:r/>
            <w:r>
              <w:t>4844</w:t>
            </w:r>
          </w:p>
        </w:tc>
        <w:tc>
          <w:tcPr>
            <w:tcW w:type="dxa" w:w="1440"/>
          </w:tcPr>
          <w:p>
            <w:pPr>
              <w:bidi/>
              <w:jc w:val="right"/>
            </w:pPr>
            <w:r/>
            <w:r>
              <w:t>should</w:t>
            </w:r>
          </w:p>
        </w:tc>
        <w:tc>
          <w:tcPr>
            <w:tcW w:type="dxa" w:w="1440"/>
          </w:tcPr>
          <w:p>
            <w:pPr>
              <w:bidi/>
              <w:jc w:val="right"/>
            </w:pPr>
            <w:r/>
            <w:r>
              <w:t>low</w:t>
            </w:r>
          </w:p>
        </w:tc>
        <w:tc>
          <w:tcPr>
            <w:tcW w:type="dxa" w:w="1440"/>
          </w:tcPr>
          <w:p>
            <w:pPr>
              <w:bidi/>
              <w:jc w:val="right"/>
            </w:pPr>
            <w:r/>
            <w:r>
              <w:t>על ששאל נער בן שבע־עשרה בליבאו מה דעתו על חידושי התורה שלו</w:t>
            </w:r>
          </w:p>
        </w:tc>
        <w:tc>
          <w:tcPr>
            <w:tcW w:type="dxa" w:w="1440"/>
          </w:tcPr>
          <w:p>
            <w:pPr>
              <w:bidi/>
              <w:jc w:val="right"/>
            </w:pPr>
            <w:r/>
            <w:r>
              <w:t>'על ששאל' – מבנה לא תקין ובלתי ברור (מי שאל את מי), נראה כתרגום מילולי</w:t>
            </w:r>
          </w:p>
        </w:tc>
        <w:tc>
          <w:tcPr>
            <w:tcW w:type="dxa" w:w="1440"/>
          </w:tcPr>
          <w:p>
            <w:pPr>
              <w:bidi/>
              <w:jc w:val="right"/>
            </w:pPr>
            <w:r/>
            <w:r>
              <w:t>על כך שנער בן שבע־עשרה בליבאו שאל אותו מה דעתו על חידושי התורה שלו (יש לבדוק מול המקור מי שאל את מי)</w:t>
            </w:r>
          </w:p>
        </w:tc>
      </w:tr>
      <w:tr>
        <w:tc>
          <w:tcPr>
            <w:tcW w:type="dxa" w:w="1440"/>
          </w:tcPr>
          <w:p>
            <w:pPr>
              <w:bidi/>
              <w:jc w:val="right"/>
            </w:pPr>
            <w:r/>
            <w:r>
              <w:t>4846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מספר כיצד הובא ר׳ חיים למזריטש, שנתיים אחרי שעלה על כיסא הרבנות בבריסק, כדי להבטיח שהמועמד שתמך בו לרבנות מזריטש</w:t>
            </w:r>
          </w:p>
        </w:tc>
        <w:tc>
          <w:tcPr>
            <w:tcW w:type="dxa" w:w="1440"/>
          </w:tcPr>
          <w:p>
            <w:pPr>
              <w:bidi/>
              <w:jc w:val="right"/>
            </w:pPr>
            <w:r/>
            <w:r>
              <w:t>משפט כבד ומקונן: סביל, 'שנתיים אחרי...' באמצע, ושני 'שה-' רצופים וכפל 'רבנות'</w:t>
            </w:r>
          </w:p>
        </w:tc>
        <w:tc>
          <w:tcPr>
            <w:tcW w:type="dxa" w:w="1440"/>
          </w:tcPr>
          <w:p>
            <w:pPr>
              <w:bidi/>
              <w:jc w:val="right"/>
            </w:pPr>
            <w:r/>
            <w:r>
              <w:t>מספר כיצד הוזעק ר׳ חיים למזריטש, שנתיים לאחר שהתמנה לרב בבריסק, כדי למנוע את דחיקתו של המועמד שתמכו בו לרבנות העיר – בנו של הרב שנפטר.</w:t>
            </w:r>
          </w:p>
        </w:tc>
      </w:tr>
      <w:tr>
        <w:tc>
          <w:tcPr>
            <w:tcW w:type="dxa" w:w="1440"/>
          </w:tcPr>
          <w:p>
            <w:pPr>
              <w:bidi/>
              <w:jc w:val="right"/>
            </w:pPr>
            <w:r/>
            <w:r>
              <w:t>4848</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על תיאור מצבם הכלכלי של יהודי מזריטש בפי ר׳ חיים, שמ׳ איידלבוים, יליד מזריטש, התנגד לו מתוך גאוותו על עירו, סיפר ר׳ שמאי גינזבורג</w:t>
            </w:r>
          </w:p>
        </w:tc>
        <w:tc>
          <w:tcPr>
            <w:tcW w:type="dxa" w:w="1440"/>
          </w:tcPr>
          <w:p>
            <w:pPr>
              <w:bidi/>
              <w:jc w:val="right"/>
            </w:pPr>
            <w:r/>
            <w:r>
              <w:t>משפט כבד: נושא ופועל מופרדים במשפט טפל ארוך, 'גאוותו על עירו' אינו תקני</w:t>
            </w:r>
          </w:p>
        </w:tc>
        <w:tc>
          <w:tcPr>
            <w:tcW w:type="dxa" w:w="1440"/>
          </w:tcPr>
          <w:p>
            <w:pPr>
              <w:bidi/>
              <w:jc w:val="right"/>
            </w:pPr>
            <w:r/>
            <w:r>
              <w:t>מ׳ איידלבוים, יליד מזריטש, התנגד לתיאור שנתן ר׳ חיים למצבם הכלכלי של יהודי העיר מתוך גאווה בעירו. בהקשר זה סיפר ר׳ שמאי גינזבורג ש...</w:t>
            </w:r>
          </w:p>
        </w:tc>
      </w:tr>
      <w:tr>
        <w:tc>
          <w:tcPr>
            <w:tcW w:type="dxa" w:w="1440"/>
          </w:tcPr>
          <w:p>
            <w:pPr>
              <w:bidi/>
              <w:jc w:val="right"/>
            </w:pPr>
            <w:r/>
            <w:r>
              <w:t>4848</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בלוקוב, עיירה קטנה 25 קילומטרים ממערב למזריטש ובאותו מרחק מדרום לשדליץ</w:t>
            </w:r>
          </w:p>
        </w:tc>
        <w:tc>
          <w:tcPr>
            <w:tcW w:type="dxa" w:w="1440"/>
          </w:tcPr>
          <w:p>
            <w:pPr>
              <w:bidi/>
              <w:jc w:val="right"/>
            </w:pPr>
            <w:r/>
            <w:r>
              <w:t>חסרה מילת יחס ('במרחק'), ו'ממערב ל' הוא תרגום מילולי</w:t>
            </w:r>
          </w:p>
        </w:tc>
        <w:tc>
          <w:tcPr>
            <w:tcW w:type="dxa" w:w="1440"/>
          </w:tcPr>
          <w:p>
            <w:pPr>
              <w:bidi/>
              <w:jc w:val="right"/>
            </w:pPr>
            <w:r/>
            <w:r>
              <w:t>בלוקוב, עיירה קטנה במרחק 25 קילומטרים מערבית למזריטש, ובאותו מרחק דרומית לשדליץ</w:t>
            </w:r>
          </w:p>
        </w:tc>
      </w:tr>
      <w:tr>
        <w:tc>
          <w:tcPr>
            <w:tcW w:type="dxa" w:w="1440"/>
          </w:tcPr>
          <w:p>
            <w:pPr>
              <w:bidi/>
              <w:jc w:val="right"/>
            </w:pPr>
            <w:r/>
            <w:r>
              <w:t>4852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גער בו אחד מבעלי הבתים הנוכחים על “שלא בא במקום זאת לאספה המכובדת במגבעת השבת שלו”</w:t>
            </w:r>
          </w:p>
        </w:tc>
        <w:tc>
          <w:tcPr>
            <w:tcW w:type="dxa" w:w="1440"/>
          </w:tcPr>
          <w:p>
            <w:pPr>
              <w:bidi/>
              <w:jc w:val="right"/>
            </w:pPr>
            <w:r/>
            <w:r>
              <w:t>'על “שלא בא...' – מבנה לא תקין (נראה כתרגום מילולי של rebuked him for not coming...), וכן 'שלו' מיותר</w:t>
            </w:r>
          </w:p>
        </w:tc>
        <w:tc>
          <w:tcPr>
            <w:tcW w:type="dxa" w:w="1440"/>
          </w:tcPr>
          <w:p>
            <w:pPr>
              <w:bidi/>
              <w:jc w:val="right"/>
            </w:pPr>
            <w:r/>
            <w:r>
              <w:t>גער בו אחד מבעלי הבתים הנוכחים על כך ש“לא בא במקום זאת לאספה המכובדת במגבעת השבת שלו”</w:t>
            </w:r>
          </w:p>
        </w:tc>
      </w:tr>
      <w:tr>
        <w:tc>
          <w:tcPr>
            <w:tcW w:type="dxa" w:w="1440"/>
          </w:tcPr>
          <w:p>
            <w:pPr>
              <w:bidi/>
              <w:jc w:val="right"/>
            </w:pPr>
            <w:r/>
            <w:r>
              <w:t>4856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אגב הערת שוליים 142, סיפר ר׳ נתן־מאיר מעשה נוסף על ר׳ ירוחם, ששמע בצעירותו כשליווה את אביו</w:t>
            </w:r>
          </w:p>
        </w:tc>
        <w:tc>
          <w:tcPr>
            <w:tcW w:type="dxa" w:w="1440"/>
          </w:tcPr>
          <w:p>
            <w:pPr>
              <w:bidi/>
              <w:jc w:val="right"/>
            </w:pPr>
            <w:r/>
            <w:r>
              <w:t>משפט כבד וסבוך עם שרשרת תיאורים ומקפים; הכינוי 'ששמע' מעורפל (מי שמע?) ו'אגב' אינו שימוש תקני כתרגום ל'in connection with'</w:t>
            </w:r>
          </w:p>
        </w:tc>
        <w:tc>
          <w:tcPr>
            <w:tcW w:type="dxa" w:w="1440"/>
          </w:tcPr>
          <w:p>
            <w:pPr>
              <w:bidi/>
              <w:jc w:val="right"/>
            </w:pPr>
            <w:r/>
            <w:r>
              <w:t>בהקשר להערת שוליים 142 סיפר ר׳ נתן־מאיר מעשה נוסף על ר׳ ירוחם, ששמע בנעוריו כשליווה את אביו, ר׳ משה־יום־טוב וכטפוגל, בביקור אצל רבה של ניוארק, ר׳ יוסף קונוויץ (ראה פרק 4, סוף נספח יח).</w:t>
            </w:r>
          </w:p>
        </w:tc>
      </w:tr>
      <w:tr>
        <w:tc>
          <w:tcPr>
            <w:tcW w:type="dxa" w:w="1440"/>
          </w:tcPr>
          <w:p>
            <w:pPr>
              <w:bidi/>
              <w:jc w:val="right"/>
            </w:pPr>
            <w:r/>
            <w:r>
              <w:t>4857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מיד כשהגיע ר׳ ירוחם ליבוביץ לישיבת סלבודקה, בן 16, ראה בו הסבא עתיד גדול</w:t>
            </w:r>
          </w:p>
        </w:tc>
        <w:tc>
          <w:tcPr>
            <w:tcW w:type="dxa" w:w="1440"/>
          </w:tcPr>
          <w:p>
            <w:pPr>
              <w:bidi/>
              <w:jc w:val="right"/>
            </w:pPr>
            <w:r/>
            <w:r>
              <w:t>'בן 16' תלוי באוויר ומטעה לגבי הנושא (נשמע כאילו מתייחס לסבא); סדר מילים אנגלי</w:t>
            </w:r>
          </w:p>
        </w:tc>
        <w:tc>
          <w:tcPr>
            <w:tcW w:type="dxa" w:w="1440"/>
          </w:tcPr>
          <w:p>
            <w:pPr>
              <w:bidi/>
              <w:jc w:val="right"/>
            </w:pPr>
            <w:r/>
            <w:r>
              <w:t>כשהגיע ר׳ ירוחם ליבוביץ לישיבת סלבודקה, בהיותו בן 16, ראה בו הסבא עתיד גדול</w:t>
            </w:r>
          </w:p>
        </w:tc>
      </w:tr>
      <w:tr>
        <w:tc>
          <w:tcPr>
            <w:tcW w:type="dxa" w:w="1440"/>
          </w:tcPr>
          <w:p>
            <w:pPr>
              <w:bidi/>
              <w:jc w:val="right"/>
            </w:pPr>
            <w:r/>
            <w:r>
              <w:t>4755</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מתחת לכתובת זו מחלק קו אמצעי את שאר הלוח לשני חלקים</w:t>
            </w:r>
          </w:p>
        </w:tc>
        <w:tc>
          <w:tcPr>
            <w:tcW w:type="dxa" w:w="1440"/>
          </w:tcPr>
          <w:p>
            <w:pPr>
              <w:bidi/>
              <w:jc w:val="right"/>
            </w:pPr>
            <w:r/>
            <w:r>
              <w:t>סדר מילים זר: ״מחלק קו אמצעי את...״ (פועל לפני נושא, נשמע כתרגום)</w:t>
            </w:r>
          </w:p>
        </w:tc>
        <w:tc>
          <w:tcPr>
            <w:tcW w:type="dxa" w:w="1440"/>
          </w:tcPr>
          <w:p>
            <w:pPr>
              <w:bidi/>
              <w:jc w:val="right"/>
            </w:pPr>
            <w:r/>
            <w:r>
              <w:t>מתחת לכתובת זו קו אמצעי מחלק את שאר הלוח לשני חלקים</w:t>
            </w:r>
          </w:p>
        </w:tc>
      </w:tr>
      <w:tr>
        <w:tc>
          <w:tcPr>
            <w:tcW w:type="dxa" w:w="1440"/>
          </w:tcPr>
          <w:p>
            <w:pPr>
              <w:bidi/>
              <w:jc w:val="right"/>
            </w:pPr>
            <w:r/>
            <w:r>
              <w:t>4756</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מן הסתם מפני שמקום קברו היה שמור במשך למעלה מארבעים שנה לצד קבר חותנו</w:t>
            </w:r>
          </w:p>
        </w:tc>
        <w:tc>
          <w:tcPr>
            <w:tcW w:type="dxa" w:w="1440"/>
          </w:tcPr>
          <w:p>
            <w:pPr>
              <w:bidi/>
              <w:jc w:val="right"/>
            </w:pPr>
            <w:r/>
            <w:r>
              <w:t>משפט ארוך עם מקף ופסוקית יחס מקוננת (״שעל מצבתו נחקק שמו בלבד״); ״היה שמור במשך...״ מילולי</w:t>
            </w:r>
          </w:p>
        </w:tc>
        <w:tc>
          <w:tcPr>
            <w:tcW w:type="dxa" w:w="1440"/>
          </w:tcPr>
          <w:p>
            <w:pPr>
              <w:bidi/>
              <w:jc w:val="right"/>
            </w:pPr>
            <w:r/>
            <w:r>
              <w:t>מן הסתם מפני שמקום קברו נשמר לו במשך למעלה מארבעים שנה לצד קבר חותנו, ר׳ יוסף־זונדל, שעל מצבתו נחקק שמו בלבד.</w:t>
            </w:r>
          </w:p>
        </w:tc>
      </w:tr>
      <w:tr>
        <w:tc>
          <w:tcPr>
            <w:tcW w:type="dxa" w:w="1440"/>
          </w:tcPr>
          <w:p>
            <w:pPr>
              <w:bidi/>
              <w:jc w:val="right"/>
            </w:pPr>
            <w:r/>
            <w:r>
              <w:t>4758</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בעניין הכיתוב “רב החסד”, צוטט ר׳ שאול רוט בשם רבו</w:t>
            </w:r>
          </w:p>
        </w:tc>
        <w:tc>
          <w:tcPr>
            <w:tcW w:type="dxa" w:w="1440"/>
          </w:tcPr>
          <w:p>
            <w:pPr>
              <w:bidi/>
              <w:jc w:val="right"/>
            </w:pPr>
            <w:r/>
            <w:r>
              <w:t>סביל מילולי (R. Shaul Roth was quoted); ברור יותר בצורת הווה או בפעולה פעילה</w:t>
            </w:r>
          </w:p>
        </w:tc>
        <w:tc>
          <w:tcPr>
            <w:tcW w:type="dxa" w:w="1440"/>
          </w:tcPr>
          <w:p>
            <w:pPr>
              <w:bidi/>
              <w:jc w:val="right"/>
            </w:pPr>
            <w:r/>
            <w:r>
              <w:t>בעניין הכיתוב “רב החסד” מצוטט ר׳ שאול רוט, בשם רבו ר׳ יוסף־דוב סולובייצ׳יק:</w:t>
            </w:r>
          </w:p>
        </w:tc>
      </w:tr>
      <w:tr>
        <w:tc>
          <w:tcPr>
            <w:tcW w:type="dxa" w:w="1440"/>
          </w:tcPr>
          <w:p>
            <w:pPr>
              <w:bidi/>
              <w:jc w:val="right"/>
            </w:pPr>
            <w:r/>
            <w:r>
              <w:t>4760</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מצאתי שאחיו ר׳ אהרן סולובייצ׳יק הסכים להשקפה זו על פסיקת ההלכה</w:t>
            </w:r>
          </w:p>
        </w:tc>
        <w:tc>
          <w:tcPr>
            <w:tcW w:type="dxa" w:w="1440"/>
          </w:tcPr>
          <w:p>
            <w:pPr>
              <w:bidi/>
              <w:jc w:val="right"/>
            </w:pPr>
            <w:r/>
            <w:r>
              <w:t>״הסכים ל־״ במקום ״הסכים עם״; ״השקפה על פסיקת ההלכה״ מילולי (view on)</w:t>
            </w:r>
          </w:p>
        </w:tc>
        <w:tc>
          <w:tcPr>
            <w:tcW w:type="dxa" w:w="1440"/>
          </w:tcPr>
          <w:p>
            <w:pPr>
              <w:bidi/>
              <w:jc w:val="right"/>
            </w:pPr>
            <w:r/>
            <w:r>
              <w:t>מצאתי שאחיו ר׳ אהרן סולובייצ׳יק הסכים עם השקפה זו בדבר פסיקת ההלכה</w:t>
            </w:r>
          </w:p>
        </w:tc>
      </w:tr>
      <w:tr>
        <w:tc>
          <w:tcPr>
            <w:tcW w:type="dxa" w:w="1440"/>
          </w:tcPr>
          <w:p>
            <w:pPr>
              <w:bidi/>
              <w:jc w:val="right"/>
            </w:pPr>
            <w:r/>
            <w:r>
              <w:t>4764</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אגב הנקודה האחרונה מבין השלוש</w:t>
            </w:r>
          </w:p>
        </w:tc>
        <w:tc>
          <w:tcPr>
            <w:tcW w:type="dxa" w:w="1440"/>
          </w:tcPr>
          <w:p>
            <w:pPr>
              <w:bidi/>
              <w:jc w:val="right"/>
            </w:pPr>
            <w:r/>
            <w:r>
              <w:t>״אגב״ במשמעות ״בהקשר ל־״ הוא שימוש מילולי (apropos); בעברית ״אגב״ פירושו דרך אגב ולכן מטעה</w:t>
            </w:r>
          </w:p>
        </w:tc>
        <w:tc>
          <w:tcPr>
            <w:tcW w:type="dxa" w:w="1440"/>
          </w:tcPr>
          <w:p>
            <w:pPr>
              <w:bidi/>
              <w:jc w:val="right"/>
            </w:pPr>
            <w:r/>
            <w:r>
              <w:t>בהקשר לנקודה האחרונה מבין השלוש</w:t>
            </w:r>
          </w:p>
        </w:tc>
      </w:tr>
      <w:tr>
        <w:tc>
          <w:tcPr>
            <w:tcW w:type="dxa" w:w="1440"/>
          </w:tcPr>
          <w:p>
            <w:pPr>
              <w:bidi/>
              <w:jc w:val="right"/>
            </w:pPr>
            <w:r/>
            <w:r>
              <w:t>4767</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חסדו של ר׳ חיים כובש את עולם הישיבות לשיטת לימודו</w:t>
            </w:r>
          </w:p>
        </w:tc>
        <w:tc>
          <w:tcPr>
            <w:tcW w:type="dxa" w:w="1440"/>
          </w:tcPr>
          <w:p>
            <w:pPr>
              <w:bidi/>
              <w:jc w:val="right"/>
            </w:pPr>
            <w:r/>
            <w:r>
              <w:t>כותרת מילולית (kindness conquers the yeshiva world for his method); ״כובש ... ל־״ אינו תקין</w:t>
            </w:r>
          </w:p>
        </w:tc>
        <w:tc>
          <w:tcPr>
            <w:tcW w:type="dxa" w:w="1440"/>
          </w:tcPr>
          <w:p>
            <w:pPr>
              <w:bidi/>
              <w:jc w:val="right"/>
            </w:pPr>
            <w:r/>
            <w:r>
              <w:t>חסדו של ר׳ חיים מסייע לשיטת לימודו לכבוש את עולם הישיבות</w:t>
            </w:r>
          </w:p>
        </w:tc>
      </w:tr>
      <w:tr>
        <w:tc>
          <w:tcPr>
            <w:tcW w:type="dxa" w:w="1440"/>
          </w:tcPr>
          <w:p>
            <w:pPr>
              <w:bidi/>
              <w:jc w:val="right"/>
            </w:pPr>
            <w:r/>
            <w:r>
              <w:t>4768</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ללא ספק מסיבה שאינה מובנת</w:t>
            </w:r>
          </w:p>
        </w:tc>
        <w:tc>
          <w:tcPr>
            <w:tcW w:type="dxa" w:w="1440"/>
          </w:tcPr>
          <w:p>
            <w:pPr>
              <w:bidi/>
              <w:jc w:val="right"/>
            </w:pPr>
            <w:r/>
            <w:r>
              <w:t>צירוף סותר או מבלבל (״ללא ספק״ + ״שאינה מובנת״), כנראה תרגום של undoubtedly for a reason not understood</w:t>
            </w:r>
          </w:p>
        </w:tc>
        <w:tc>
          <w:tcPr>
            <w:tcW w:type="dxa" w:w="1440"/>
          </w:tcPr>
          <w:p>
            <w:pPr>
              <w:bidi/>
              <w:jc w:val="right"/>
            </w:pPr>
            <w:r/>
            <w:r>
              <w:t>ללא ספק מסיבה שאינה ידועה (או: מסיבה שקשה להבינה)</w:t>
            </w:r>
          </w:p>
        </w:tc>
      </w:tr>
      <w:tr>
        <w:tc>
          <w:tcPr>
            <w:tcW w:type="dxa" w:w="1440"/>
          </w:tcPr>
          <w:p>
            <w:pPr>
              <w:bidi/>
              <w:jc w:val="right"/>
            </w:pPr>
            <w:r/>
            <w:r>
              <w:t>4777</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וזאת למרות הגדרתו של ר׳ חיים־עוזר גרודזנסקי לשכלו יוצא הדופן של ר׳ חיים, שהופכת אותו לברייה מיוחדת</w:t>
            </w:r>
          </w:p>
        </w:tc>
        <w:tc>
          <w:tcPr>
            <w:tcW w:type="dxa" w:w="1440"/>
          </w:tcPr>
          <w:p>
            <w:pPr>
              <w:bidi/>
              <w:jc w:val="right"/>
            </w:pPr>
            <w:r/>
            <w:r>
              <w:t>״וזאת למרות״ מבלבל את הקשר ההגיוני; כפל ״שהופכת אותו״ פעמיים במשפט אחד</w:t>
            </w:r>
          </w:p>
        </w:tc>
        <w:tc>
          <w:tcPr>
            <w:tcW w:type="dxa" w:w="1440"/>
          </w:tcPr>
          <w:p>
            <w:pPr>
              <w:bidi/>
              <w:jc w:val="right"/>
            </w:pPr>
            <w:r/>
            <w:r>
              <w:t>אולם אני מתקשה לקבל את הגדרתו של ר׳ יחזקאל אברמסקי לאופיו של ר׳ חיים, שהופכת אותו לאוטומט המתוכנת לתרי״ג המצוות. גם הגדרתו של ר׳ חיים־עוזר גרודזנסקי לשכלו יוצא הדופן הופכת אותו לברייה מיוחדת (ראה לעיל, עמ׳ 1).</w:t>
            </w:r>
          </w:p>
        </w:tc>
      </w:tr>
      <w:tr>
        <w:tc>
          <w:tcPr>
            <w:tcW w:type="dxa" w:w="1440"/>
          </w:tcPr>
          <w:p>
            <w:pPr>
              <w:bidi/>
              <w:jc w:val="right"/>
            </w:pPr>
            <w:r/>
            <w:r>
              <w:t>4792</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אבל במקרה המאוחר, של ר׳ אליהו קפלן, האות היה ברור</w:t>
            </w:r>
          </w:p>
        </w:tc>
        <w:tc>
          <w:tcPr>
            <w:tcW w:type="dxa" w:w="1440"/>
          </w:tcPr>
          <w:p>
            <w:pPr>
              <w:bidi/>
              <w:jc w:val="right"/>
            </w:pPr>
            <w:r/>
            <w:r>
              <w:t>תרגמת (the latter case): ״המאוחר״ בלי ״יותר״ אינו טבעי; גם הפסיק המפריד מכביד</w:t>
            </w:r>
          </w:p>
        </w:tc>
        <w:tc>
          <w:tcPr>
            <w:tcW w:type="dxa" w:w="1440"/>
          </w:tcPr>
          <w:p>
            <w:pPr>
              <w:bidi/>
              <w:jc w:val="right"/>
            </w:pPr>
            <w:r/>
            <w:r>
              <w:t>אבל במקרה המאוחר יותר, של ר׳ אליהו קפלן, האות היה ברור</w:t>
            </w:r>
          </w:p>
        </w:tc>
      </w:tr>
      <w:tr>
        <w:tc>
          <w:tcPr>
            <w:tcW w:type="dxa" w:w="1440"/>
          </w:tcPr>
          <w:p>
            <w:pPr>
              <w:bidi/>
              <w:jc w:val="right"/>
            </w:pPr>
            <w:r/>
            <w:r>
              <w:t>4809</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שהה בקלם בזמן שהותו הקצרה של ר׳ שלמה פוליצ׳ק שם</w:t>
            </w:r>
          </w:p>
        </w:tc>
        <w:tc>
          <w:tcPr>
            <w:tcW w:type="dxa" w:w="1440"/>
          </w:tcPr>
          <w:p>
            <w:pPr>
              <w:bidi/>
              <w:jc w:val="right"/>
            </w:pPr>
            <w:r/>
            <w:r>
              <w:t>ניסוח מסורבל וכפל ״שהה... שהותו״; ״בזמן שהותו הקצרה... שם״ נשמע כתרגום</w:t>
            </w:r>
          </w:p>
        </w:tc>
        <w:tc>
          <w:tcPr>
            <w:tcW w:type="dxa" w:w="1440"/>
          </w:tcPr>
          <w:p>
            <w:pPr>
              <w:bidi/>
              <w:jc w:val="right"/>
            </w:pPr>
            <w:r/>
            <w:r>
              <w:t>ר׳ ארצ׳יק בקשט שהה בקלם באותו זמן קצר שבו שהה שם ר׳ שלמה פוליצ׳ק.</w:t>
            </w:r>
          </w:p>
        </w:tc>
      </w:tr>
      <w:tr>
        <w:tc>
          <w:tcPr>
            <w:tcW w:type="dxa" w:w="1440"/>
          </w:tcPr>
          <w:p>
            <w:pPr>
              <w:bidi/>
              <w:jc w:val="right"/>
            </w:pPr>
            <w:r/>
            <w:r>
              <w:t>4833</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שהרמב״ם פוסק שאין להתערב באנשי רשע</w:t>
            </w:r>
          </w:p>
        </w:tc>
        <w:tc>
          <w:tcPr>
            <w:tcW w:type="dxa" w:w="1440"/>
          </w:tcPr>
          <w:p>
            <w:pPr>
              <w:bidi/>
              <w:jc w:val="right"/>
            </w:pPr>
            <w:r/>
            <w:r>
              <w:t>״להתערב ב־״ משמעו להתעסק או להתערב בענייניהם; הכוונה להתחבר ולהתבולל, ובמקור (ציטוט הרמב״ם) ״להתערב עם״</w:t>
            </w:r>
          </w:p>
        </w:tc>
        <w:tc>
          <w:tcPr>
            <w:tcW w:type="dxa" w:w="1440"/>
          </w:tcPr>
          <w:p>
            <w:pPr>
              <w:bidi/>
              <w:jc w:val="right"/>
            </w:pPr>
            <w:r/>
            <w:r>
              <w:t>שהרמב״ם פוסק שאין להתערב עם אנשי רשע ולהתחבר אליהם</w:t>
            </w:r>
          </w:p>
        </w:tc>
      </w:tr>
      <w:tr>
        <w:tc>
          <w:tcPr>
            <w:tcW w:type="dxa" w:w="1440"/>
          </w:tcPr>
          <w:p>
            <w:pPr>
              <w:bidi/>
              <w:jc w:val="right"/>
            </w:pPr>
            <w:r/>
            <w:r>
              <w:t>4837</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בניגוד לתזה של ר׳ משה סולובייצ׳יק</w:t>
            </w:r>
          </w:p>
        </w:tc>
        <w:tc>
          <w:tcPr>
            <w:tcW w:type="dxa" w:w="1440"/>
          </w:tcPr>
          <w:p>
            <w:pPr>
              <w:bidi/>
              <w:jc w:val="right"/>
            </w:pPr>
            <w:r/>
            <w:r>
              <w:t>״תזה״ היא מילה מושאלת מאנגלית (thesis) שאינה הולמת סגנון הספר</w:t>
            </w:r>
          </w:p>
        </w:tc>
        <w:tc>
          <w:tcPr>
            <w:tcW w:type="dxa" w:w="1440"/>
          </w:tcPr>
          <w:p>
            <w:pPr>
              <w:bidi/>
              <w:jc w:val="right"/>
            </w:pPr>
            <w:r/>
            <w:r>
              <w:t>בניגוד לטענתו של ר׳ משה סולובייצ׳יק</w:t>
            </w:r>
          </w:p>
        </w:tc>
      </w:tr>
      <w:tr>
        <w:tc>
          <w:tcPr>
            <w:tcW w:type="dxa" w:w="1440"/>
          </w:tcPr>
          <w:p>
            <w:pPr>
              <w:bidi/>
              <w:jc w:val="right"/>
            </w:pPr>
            <w:r/>
            <w:r>
              <w:t>4841</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האדמו״ר היה פעיל בארגון בראשיתו</w:t>
            </w:r>
          </w:p>
        </w:tc>
        <w:tc>
          <w:tcPr>
            <w:tcW w:type="dxa" w:w="1440"/>
          </w:tcPr>
          <w:p>
            <w:pPr>
              <w:bidi/>
              <w:jc w:val="right"/>
            </w:pPr>
            <w:r/>
            <w:r>
              <w:t>תרגום מילולי של 'was active in the organization in its early days'</w:t>
            </w:r>
          </w:p>
        </w:tc>
        <w:tc>
          <w:tcPr>
            <w:tcW w:type="dxa" w:w="1440"/>
          </w:tcPr>
          <w:p>
            <w:pPr>
              <w:bidi/>
              <w:jc w:val="right"/>
            </w:pPr>
            <w:r/>
            <w:r>
              <w:t>האדמו״ר היה מעורב בפעילות הארגון כבר בימיו הראשונים.</w:t>
            </w:r>
          </w:p>
        </w:tc>
      </w:tr>
      <w:tr>
        <w:tc>
          <w:tcPr>
            <w:tcW w:type="dxa" w:w="1440"/>
          </w:tcPr>
          <w:p>
            <w:pPr>
              <w:bidi/>
              <w:jc w:val="right"/>
            </w:pPr>
            <w:r/>
            <w:r>
              <w:t>4844</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שפתחה היה צר מכדי שיוכל להכניס בו את אצבעו ולמשוך את האגוז החוצה</w:t>
            </w:r>
          </w:p>
        </w:tc>
        <w:tc>
          <w:tcPr>
            <w:tcW w:type="dxa" w:w="1440"/>
          </w:tcPr>
          <w:p>
            <w:pPr>
              <w:bidi/>
              <w:jc w:val="right"/>
            </w:pPr>
            <w:r/>
            <w:r>
              <w:t>כינוי שייכות מיותר ('אצבעו'), 'בו' במקום 'בה' (גומה), ומבנה מגושם</w:t>
            </w:r>
          </w:p>
        </w:tc>
        <w:tc>
          <w:tcPr>
            <w:tcW w:type="dxa" w:w="1440"/>
          </w:tcPr>
          <w:p>
            <w:pPr>
              <w:bidi/>
              <w:jc w:val="right"/>
            </w:pPr>
            <w:r/>
            <w:r>
              <w:t>שפתחה היה צר מכדי שיוכל להחדיר אליו אצבע ולשלוף את האגוז</w:t>
            </w:r>
          </w:p>
        </w:tc>
      </w:tr>
      <w:tr>
        <w:tc>
          <w:tcPr>
            <w:tcW w:type="dxa" w:w="1440"/>
          </w:tcPr>
          <w:p>
            <w:pPr>
              <w:bidi/>
              <w:jc w:val="right"/>
            </w:pPr>
            <w:r/>
            <w:r>
              <w:t>4847</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ר׳ חיים, גאון זמנו, ראה את רבנות מזריטש אחרת</w:t>
            </w:r>
          </w:p>
        </w:tc>
        <w:tc>
          <w:tcPr>
            <w:tcW w:type="dxa" w:w="1440"/>
          </w:tcPr>
          <w:p>
            <w:pPr>
              <w:bidi/>
              <w:jc w:val="right"/>
            </w:pPr>
            <w:r/>
            <w:r>
              <w:t>'ראה את X אחרת' הוא תרגום מילולי של 'saw X differently'</w:t>
            </w:r>
          </w:p>
        </w:tc>
        <w:tc>
          <w:tcPr>
            <w:tcW w:type="dxa" w:w="1440"/>
          </w:tcPr>
          <w:p>
            <w:pPr>
              <w:bidi/>
              <w:jc w:val="right"/>
            </w:pPr>
            <w:r/>
            <w:r>
              <w:t>ר׳ חיים, גאון זמנו, ראה את עניין רבנות מזריטש באור אחר</w:t>
            </w:r>
          </w:p>
        </w:tc>
      </w:tr>
      <w:tr>
        <w:tc>
          <w:tcPr>
            <w:tcW w:type="dxa" w:w="1440"/>
          </w:tcPr>
          <w:p>
            <w:pPr>
              <w:bidi/>
              <w:jc w:val="right"/>
            </w:pPr>
            <w:r/>
            <w:r>
              <w:t>4850</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כהונה שהייתה למעלה מיכולותיו ולא לפי נטייתו</w:t>
            </w:r>
          </w:p>
        </w:tc>
        <w:tc>
          <w:tcPr>
            <w:tcW w:type="dxa" w:w="1440"/>
          </w:tcPr>
          <w:p>
            <w:pPr>
              <w:bidi/>
              <w:jc w:val="right"/>
            </w:pPr>
            <w:r/>
            <w:r>
              <w:t>'לא לפי נטייתו' תרגום מילולי (not to his liking), ושימוש בציטוט עם מבנה לא טבעי</w:t>
            </w:r>
          </w:p>
        </w:tc>
        <w:tc>
          <w:tcPr>
            <w:tcW w:type="dxa" w:w="1440"/>
          </w:tcPr>
          <w:p>
            <w:pPr>
              <w:bidi/>
              <w:jc w:val="right"/>
            </w:pPr>
            <w:r/>
            <w:r>
              <w:t>תפקיד שהיה למעלה מיכולתו ושלא התאים לנטייתו</w:t>
            </w:r>
          </w:p>
        </w:tc>
      </w:tr>
      <w:tr>
        <w:tc>
          <w:tcPr>
            <w:tcW w:type="dxa" w:w="1440"/>
          </w:tcPr>
          <w:p>
            <w:pPr>
              <w:bidi/>
              <w:jc w:val="right"/>
            </w:pPr>
            <w:r/>
            <w:r>
              <w:t>4850</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ולא על חוסר נטייתו לפעילות רבנית, שהוא נושא נספח זה</w:t>
            </w:r>
          </w:p>
        </w:tc>
        <w:tc>
          <w:tcPr>
            <w:tcW w:type="dxa" w:w="1440"/>
          </w:tcPr>
          <w:p>
            <w:pPr>
              <w:bidi/>
              <w:jc w:val="right"/>
            </w:pPr>
            <w:r/>
            <w:r>
              <w:t>הערת שוליים 5374: משפט כבד עם שרשרת סמיכויות ו'שהוא נושא נספח זה' מגושם (the subject of this appendix)</w:t>
            </w:r>
          </w:p>
        </w:tc>
        <w:tc>
          <w:tcPr>
            <w:tcW w:type="dxa" w:w="1440"/>
          </w:tcPr>
          <w:p>
            <w:pPr>
              <w:bidi/>
              <w:jc w:val="right"/>
            </w:pPr>
            <w:r/>
            <w:r>
              <w:t>ולא על חוסר חיבתו לפעילות רבנית, שהיא נושא נספח זה</w:t>
            </w:r>
          </w:p>
        </w:tc>
      </w:tr>
      <w:tr>
        <w:tc>
          <w:tcPr>
            <w:tcW w:type="dxa" w:w="1440"/>
          </w:tcPr>
          <w:p>
            <w:pPr>
              <w:bidi/>
              <w:jc w:val="right"/>
            </w:pPr>
            <w:r/>
            <w:r>
              <w:t>4850</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בייחוד על מעלותיו. כל אימת שהפצרתי בו להיזכר בחייו</w:t>
            </w:r>
          </w:p>
        </w:tc>
        <w:tc>
          <w:tcPr>
            <w:tcW w:type="dxa" w:w="1440"/>
          </w:tcPr>
          <w:p>
            <w:pPr>
              <w:bidi/>
              <w:jc w:val="right"/>
            </w:pPr>
            <w:r/>
            <w:r>
              <w:t>הערת שוליים 5374 ובה משפטים ארוכים: 'הסיבה שניתנת שם להפסקתן מבוססת על צדקותו המופלגת... מסוג אנשי המוסר' – סביל וכבד</w:t>
            </w:r>
          </w:p>
        </w:tc>
        <w:tc>
          <w:tcPr>
            <w:tcW w:type="dxa" w:w="1440"/>
          </w:tcPr>
          <w:p>
            <w:pPr>
              <w:bidi/>
              <w:jc w:val="right"/>
            </w:pPr>
            <w:r/>
            <w:r>
              <w:t>(להערה 5374) אולם הסיבה שמובאת שם להפסקתן היא צדקותו המופלגת של ר׳ חיים, כאיש מוסר, ולא חוסר נטייתו לפעילות רבנית – והוא נושאו של נספח זה.</w:t>
            </w:r>
          </w:p>
        </w:tc>
      </w:tr>
      <w:tr>
        <w:tc>
          <w:tcPr>
            <w:tcW w:type="dxa" w:w="1440"/>
          </w:tcPr>
          <w:p>
            <w:pPr>
              <w:bidi/>
              <w:jc w:val="right"/>
            </w:pPr>
            <w:r/>
            <w:r>
              <w:t>4856</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שעורר אצל ר׳ משה־יום־טוב וכטפוגל פרצי צחוק</w:t>
            </w:r>
          </w:p>
        </w:tc>
        <w:tc>
          <w:tcPr>
            <w:tcW w:type="dxa" w:w="1440"/>
          </w:tcPr>
          <w:p>
            <w:pPr>
              <w:bidi/>
              <w:jc w:val="right"/>
            </w:pPr>
            <w:r/>
            <w:r>
              <w:t>'עורר אצל... פרצי צחוק' – צירוף מתורגם, לא טבעי</w:t>
            </w:r>
          </w:p>
        </w:tc>
        <w:tc>
          <w:tcPr>
            <w:tcW w:type="dxa" w:w="1440"/>
          </w:tcPr>
          <w:p>
            <w:pPr>
              <w:bidi/>
              <w:jc w:val="right"/>
            </w:pPr>
            <w:r/>
            <w:r>
              <w:t>שגרם לר׳ משה־יום־טוב וכטפוגל לפרוץ בצחוק</w:t>
            </w:r>
          </w:p>
        </w:tc>
      </w:tr>
      <w:tr>
        <w:tc>
          <w:tcPr>
            <w:tcW w:type="dxa" w:w="1440"/>
          </w:tcPr>
          <w:p>
            <w:pPr>
              <w:bidi/>
              <w:jc w:val="right"/>
            </w:pPr>
            <w:r/>
            <w:r>
              <w:t>4857</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ניתן כבוד זה לליבוביץ הצעיר – בדיוק כפי שציפה ר׳ יוסף קונוויץ</w:t>
            </w:r>
          </w:p>
        </w:tc>
        <w:tc>
          <w:tcPr>
            <w:tcW w:type="dxa" w:w="1440"/>
          </w:tcPr>
          <w:p>
            <w:pPr>
              <w:bidi/>
              <w:jc w:val="right"/>
            </w:pPr>
            <w:r/>
            <w:r>
              <w:t>מבנה סביל מיותר</w:t>
            </w:r>
          </w:p>
        </w:tc>
        <w:tc>
          <w:tcPr>
            <w:tcW w:type="dxa" w:w="1440"/>
          </w:tcPr>
          <w:p>
            <w:pPr>
              <w:bidi/>
              <w:jc w:val="right"/>
            </w:pPr>
            <w:r/>
            <w:r>
              <w:t>ובכך זכה הצעיר ליבוביץ בכבוד זה, בדיוק כפי שציפה ר׳ יוסף קונוויץ</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avid" w:hAnsi="Davi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