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sz w:val="32"/>
          <w:rtl/>
        </w:rPr>
        <w:t>מה בוצע ומה עדיין דורש בדיקה</w:t>
      </w:r>
    </w:p>
    <w:p>
      <w:pPr>
        <w:bidi/>
        <w:jc w:val="right"/>
      </w:pPr>
      <w:r>
        <w:rPr>
          <w:b/>
          <w:sz w:val="26"/>
          <w:rtl/>
        </w:rPr>
        <w:t>בוצע בסבב האחרון (שמות):</w:t>
      </w:r>
    </w:p>
    <w:p>
      <w:pPr>
        <w:bidi/>
        <w:jc w:val="right"/>
      </w:pPr>
      <w:r>
        <w:rPr>
          <w:b w:val="0"/>
          <w:rtl/>
        </w:rPr>
        <w:t>• העלר ← הלר (82 מופעים; לא שונו "יוג׳ין העלר" ו"דייוויד ה. העלר")</w:t>
      </w:r>
    </w:p>
    <w:p>
      <w:pPr>
        <w:bidi/>
        <w:jc w:val="right"/>
      </w:pPr>
      <w:r>
        <w:rPr>
          <w:b w:val="0"/>
          <w:rtl/>
        </w:rPr>
        <w:t>• עליאסברג ← אליאשברג (10)</w:t>
      </w:r>
    </w:p>
    <w:p>
      <w:pPr>
        <w:bidi/>
        <w:jc w:val="right"/>
      </w:pPr>
      <w:r>
        <w:rPr>
          <w:b w:val="0"/>
          <w:rtl/>
        </w:rPr>
        <w:t>• קנייבסקי ← קניבסקי (5); הרב מסטייפלא ← הסטייפלר (4)</w:t>
      </w:r>
    </w:p>
    <w:p>
      <w:pPr>
        <w:bidi/>
        <w:jc w:val="right"/>
      </w:pPr>
      <w:r>
        <w:rPr>
          <w:b w:val="0"/>
          <w:rtl/>
        </w:rPr>
        <w:t>• אויערבאך ← אוירבך (7); סוולק ← סובאלק (4)</w:t>
      </w:r>
    </w:p>
    <w:p>
      <w:pPr>
        <w:bidi/>
        <w:jc w:val="right"/>
      </w:pPr>
      <w:r>
        <w:rPr>
          <w:b w:val="0"/>
          <w:rtl/>
        </w:rPr>
        <w:t>• גרודנסקי ← גרודננסקי (4; ר׳ אליהו־לייזר)</w:t>
      </w:r>
    </w:p>
    <w:p>
      <w:pPr>
        <w:bidi/>
        <w:jc w:val="right"/>
      </w:pPr>
      <w:r>
        <w:rPr>
          <w:b w:val="0"/>
          <w:rtl/>
        </w:rPr>
        <w:t>• יאשה/יושה־בער(ל) ← יושע־בער(ל) (32)</w:t>
      </w:r>
    </w:p>
    <w:p>
      <w:pPr>
        <w:bidi/>
        <w:jc w:val="right"/>
      </w:pPr>
      <w:r>
        <w:rPr>
          <w:b w:val="0"/>
          <w:rtl/>
        </w:rPr>
        <w:t>• וועלוועל/וועלוועל׳ה/וולוולה ← וועלוול/וועלוול׳ה (29)</w:t>
      </w:r>
    </w:p>
    <w:p>
      <w:pPr>
        <w:bidi/>
        <w:jc w:val="right"/>
      </w:pPr>
      <w:r>
        <w:rPr>
          <w:b w:val="0"/>
          <w:rtl/>
        </w:rPr>
        <w:t>• בערה־הירש ← בער־הירש (134); ר׳ בערה ← ר׳ בער (6)</w:t>
      </w:r>
    </w:p>
    <w:p>
      <w:pPr>
        <w:bidi/>
        <w:jc w:val="right"/>
      </w:pPr>
      <w:r>
        <w:rPr>
          <w:b w:val="0"/>
          <w:rtl/>
        </w:rPr>
        <w:t>• איצי׳ל/איצי׳לה ← איצל׳ה (5); נחומקה ← נחומק׳ה (2); ליפא׳לה ← ליפל׳ה; שמערל ← שמרל (2); העשל ← העשיל (3); זעליג ← זליג; אברומצ׳יק ← אברמצ׳יק (6); דר’ ← דר׳</w:t>
      </w:r>
    </w:p>
    <w:p>
      <w:pPr>
        <w:bidi/>
        <w:jc w:val="right"/>
      </w:pPr>
      <w:r>
        <w:rPr>
          <w:b/>
          <w:sz w:val="26"/>
          <w:rtl/>
        </w:rPr>
        <w:t>דורש בדיקה או הכרעה:</w:t>
      </w:r>
    </w:p>
    <w:p>
      <w:pPr>
        <w:bidi/>
        <w:jc w:val="right"/>
      </w:pPr>
      <w:r>
        <w:rPr>
          <w:b w:val="0"/>
          <w:rtl/>
        </w:rPr>
        <w:t>• בערה ← בער (141 מופעים) ו-וועלוועל ← וועלוול: תיקון על סמך עקביות פנימית ועדות חלקית. אם המתרגם בחר את הצורות המקוריות במכוון, אפשר לבטל דרך היסטוריית git.</w:t>
      </w:r>
    </w:p>
    <w:p>
      <w:pPr>
        <w:bidi/>
        <w:jc w:val="right"/>
      </w:pPr>
      <w:r>
        <w:rPr>
          <w:b w:val="0"/>
          <w:rtl/>
        </w:rPr>
        <w:t>• בערה: ר׳ זאב הלר ור׳ יהושע הלר הוחלפו כעת ל"הלר", אך בטקסט יש שמות "הלר" מקבילים (ר׳ חיים הלר). כדאי לוודא שלא נוצרה עמימות.</w:t>
      </w:r>
    </w:p>
    <w:p>
      <w:pPr>
        <w:bidi/>
        <w:jc w:val="right"/>
      </w:pPr>
      <w:r>
        <w:rPr>
          <w:b w:val="0"/>
          <w:rtl/>
        </w:rPr>
        <w:t>• "קמניץ" ו"טבריג": נשארו בכתיב הקיים; לא הושוו מול האנגלית.</w:t>
      </w:r>
    </w:p>
    <w:p>
      <w:pPr>
        <w:bidi/>
        <w:jc w:val="right"/>
      </w:pPr>
      <w:r>
        <w:rPr>
          <w:b w:val="0"/>
          <w:rtl/>
        </w:rPr>
        <w:t>• ווהלין ← וולין: לא בוצע; נראה שהמקובל "וולין" אך לא אומת.</w:t>
      </w:r>
    </w:p>
    <w:p>
      <w:pPr>
        <w:bidi/>
        <w:jc w:val="right"/>
      </w:pPr>
      <w:r>
        <w:rPr>
          <w:b w:val="0"/>
          <w:rtl/>
        </w:rPr>
        <w:t>• שמות נדירים שלא אומתו: חוואס, בקשט, גרז, שולביץ, דבורץ, פילווישוק, מאלטש, הלוסק, קאליסקובקה, ארציג/אורצ׳יק, אלינקה, מרדכ׳לה.</w:t>
      </w:r>
    </w:p>
    <w:p>
      <w:pPr>
        <w:bidi/>
        <w:jc w:val="right"/>
      </w:pPr>
      <w:r>
        <w:rPr>
          <w:b w:val="0"/>
          <w:rtl/>
        </w:rPr>
        <w:t>• שני העותקים של הסיפור ושל הכותרות עודכנו אוטומטית, אך תוכן העניינים ומספרי העמודים (שדות) דורשים F9.</w:t>
      </w:r>
    </w:p>
    <w:p>
      <w:pPr>
        <w:bidi/>
        <w:jc w:val="right"/>
      </w:pPr>
      <w:r>
        <w:rPr>
          <w:b w:val="0"/>
          <w:rtl/>
        </w:rPr>
        <w:t>• "ווילנא/ווילנע/ווארשא/וורשא/קאוונא": נשארו בציטוטים ובכותרים; יש לעבור עליהם ולבדוק אם יש ביניהם פרוזה של המתרגם.</w:t>
      </w:r>
    </w:p>
    <w:p>
      <w:pPr>
        <w:bidi/>
        <w:jc w:val="right"/>
      </w:pPr>
      <w:r>
        <w:rPr>
          <w:b w:val="0"/>
          <w:rtl/>
        </w:rPr>
        <w:t>• תיקוני הנוסח שלא בוצעו מדוח האימות (סעיף 3): רבנו←אבי, הערות מתרגם לשגיאות מקור, ו-32 הממצאים "לא ניתן לאמת".</w:t>
      </w:r>
    </w:p>
    <w:p>
      <w:pPr>
        <w:bidi/>
        <w:jc w:val="right"/>
      </w:pPr>
      <w:r>
        <w:rPr>
          <w:b w:val="0"/>
          <w:rtl/>
        </w:rPr>
        <w:t>• הוספת השם העברי במופע הראשון של האישים המרכזיים: לא בוצעה, ממתינה להחלטתך.</w:t>
      </w:r>
    </w:p>
    <w:p>
      <w:pPr>
        <w:bidi/>
        <w:jc w:val="right"/>
      </w:pPr>
      <w:r>
        <w:rPr>
          <w:b w:val="0"/>
          <w:rtl/>
        </w:rPr>
        <w:t>• הפער בין הדוח (עמ׳ 1–100) לבין הגהת הספר המלאה: הדוח כיסה את עמ׳ 1348 בלבד, ושאר ההקדמה לא הוגהה לעומק.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