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bidi/>
        <w:spacing w:after="120"/>
        <w:jc w:val="center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595959"/>
          <w:sz w:val="28"/>
          <w:szCs w:val="28"/>
          <w:rtl/>
        </w:rPr>
        <w:t xml:space="preserve">برنامج تطوير وزارة الداخلية</w:t>
      </w:r>
    </w:p>
    <w:p>
      <w:pPr>
        <w:spacing w:after="600"/>
      </w:pPr>
    </w:p>
    <w:p>
      <w:pPr>
        <w:bidi/>
        <w:spacing w:after="120"/>
        <w:jc w:val="center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40"/>
          <w:szCs w:val="40"/>
          <w:rtl/>
        </w:rPr>
        <w:t xml:space="preserve">منصة متابعة الأعمال والمهام للرئيس التنفيذي</w:t>
      </w:r>
    </w:p>
    <w:p>
      <w:pPr>
        <w:bidi/>
        <w:spacing w:after="120"/>
        <w:jc w:val="center"/>
      </w:pPr>
      <w:r>
        <w:rPr>
          <w:rFonts w:ascii="Sakkal Majalla" w:cs="Sakkal Majalla" w:eastAsia="Sakkal Majalla" w:hAnsi="Sakkal Majalla"/>
          <w:b w:val="false"/>
          <w:i w:val="false"/>
          <w:iCs w:val="false"/>
          <w:color w:val="595959"/>
          <w:sz w:val="24"/>
          <w:szCs w:val="24"/>
          <w:rtl/>
        </w:rPr>
        <w:t xml:space="preserve">CEO Work &amp; Task Tracking Platform</w:t>
      </w:r>
    </w:p>
    <w:p>
      <w:pPr>
        <w:spacing w:after="300"/>
      </w:pPr>
    </w:p>
    <w:p>
      <w:pPr>
        <w:bidi/>
        <w:spacing w:after="120"/>
        <w:jc w:val="center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32"/>
          <w:szCs w:val="32"/>
          <w:rtl/>
        </w:rPr>
        <w:t xml:space="preserve">ملحق (أ) لوثيقة متطلبات الأعمال — الوحدات الإضافية</w:t>
      </w:r>
    </w:p>
    <w:p>
      <w:pPr>
        <w:bidi/>
        <w:spacing w:after="120"/>
        <w:jc w:val="center"/>
      </w:pPr>
      <w:r>
        <w:rPr>
          <w:rFonts w:ascii="Sakkal Majalla" w:cs="Sakkal Majalla" w:eastAsia="Sakkal Majalla" w:hAnsi="Sakkal Majalla"/>
          <w:b w:val="false"/>
          <w:i w:val="false"/>
          <w:iCs w:val="false"/>
          <w:color w:val="595959"/>
          <w:sz w:val="22"/>
          <w:szCs w:val="22"/>
          <w:rtl/>
        </w:rPr>
        <w:t xml:space="preserve">محرك مسارات العمل الديناميكية · الميزانية · الهياكل التنظيمية · الاستقطاب · الابتكار</w:t>
      </w:r>
    </w:p>
    <w:p>
      <w:pPr>
        <w:spacing w:after="500"/>
      </w:pPr>
    </w:p>
    <w:p>
      <w:pPr>
        <w:bidi/>
        <w:spacing w:after="120"/>
        <w:jc w:val="center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الإصدار 0.5 — مسودة للمراجعة</w:t>
      </w:r>
    </w:p>
    <w:p>
      <w:pPr>
        <w:bidi/>
        <w:spacing w:after="120"/>
        <w:jc w:val="center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سبتمبر 2026</w:t>
      </w:r>
    </w:p>
    <w:p>
      <w:pPr>
        <w:spacing w:after="500"/>
      </w:pP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1800"/>
        <w:gridCol w:w="3226"/>
        <w:gridCol w:w="2400"/>
        <w:gridCol w:w="1600"/>
      </w:tblGrid>
      <w:tr>
        <w:trPr>
          <w:tblHeader/>
        </w:trPr>
        <w:tc>
          <w:tcPr>
            <w:tcW w:type="dxa" w:w="18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الدور</w:t>
            </w:r>
          </w:p>
        </w:tc>
        <w:tc>
          <w:tcPr>
            <w:tcW w:type="dxa" w:w="32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الجهة</w:t>
            </w:r>
          </w:p>
        </w:tc>
        <w:tc>
          <w:tcPr>
            <w:tcW w:type="dxa" w:w="24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الاسم</w:t>
            </w:r>
          </w:p>
        </w:tc>
        <w:tc>
          <w:tcPr>
            <w:tcW w:type="dxa" w:w="16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التاريخ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إعداد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برنامج تطوير وزارة الداخلية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8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مراجعة</w:t>
            </w:r>
          </w:p>
        </w:tc>
        <w:tc>
          <w:tcPr>
            <w:tcW w:type="dxa" w:w="32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6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اعتماد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C7AF" w:sz="6" w:space="4"/>
        </w:pBdr>
        <w:bidi/>
        <w:spacing w:after="180" w:before="28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30"/>
          <w:szCs w:val="30"/>
          <w:rtl/>
        </w:rPr>
        <w:t xml:space="preserve">المحتويات</w:t>
      </w:r>
    </w:p>
    <w:sdt>
      <w:sdtPr>
        <w:alias w:val="المحتويات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9CC7AF" w:sz="6" w:space="4"/>
        </w:pBdr>
        <w:bidi/>
        <w:spacing w:after="180" w:before="28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30"/>
          <w:szCs w:val="30"/>
          <w:rtl/>
        </w:rPr>
        <w:t xml:space="preserve">1. الغرض من الملحق</w:t>
      </w:r>
    </w:p>
    <w:p>
      <w:pPr>
        <w:bidi/>
        <w:spacing w:after="12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يوسّع هذا الملحق نطاق وثيقة متطلبات الأعمال (الإصدار 0.4) بأربع وحدات جديدة طلبتها القيادة بعد استعراض النموذج الأولي، إضافة إلى مكوّن مشترك يخدمها جميعاً: محرك مسارات العمل الديناميكية. تُقرأ متطلبات هذا الملحق مع الوثيقة الأصل، وتسري عليها ذات المبادئ: مصدر حقيقة واحد، ملكية الحقول حسب النظام المصدر، اعتماد الحقول الحساسة، وسجل تدقيق كامل.</w:t>
      </w:r>
    </w:p>
    <w:p>
      <w:pPr>
        <w:pStyle w:val="Heading2"/>
        <w:bidi/>
        <w:spacing w:after="140" w:before="20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26"/>
          <w:szCs w:val="26"/>
          <w:rtl/>
        </w:rPr>
        <w:t xml:space="preserve">1.1 ملخص الوحدات</w:t>
      </w: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2600"/>
        <w:gridCol w:w="4626"/>
        <w:gridCol w:w="1800"/>
      </w:tblGrid>
      <w:tr>
        <w:trPr>
          <w:tblHeader/>
        </w:trPr>
        <w:tc>
          <w:tcPr>
            <w:tcW w:type="dxa" w:w="26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الوحدة</w:t>
            </w:r>
          </w:p>
        </w:tc>
        <w:tc>
          <w:tcPr>
            <w:tcW w:type="dxa" w:w="46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الهدف التنفيذي</w:t>
            </w:r>
          </w:p>
        </w:tc>
        <w:tc>
          <w:tcPr>
            <w:tcW w:type="dxa" w:w="18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عدد الشاشات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محرك مسارات العمل الديناميكية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إدارة أي طلب يمر بمراحل واعتمادات ومدد زمنية دون تعديل برمجي؛ صندوق قرارات موحد للرئيس التنفيذي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1 (إعداد المسارات) + صندوق القرارات</w:t>
            </w:r>
          </w:p>
        </w:tc>
      </w:tr>
      <w:tr>
        <w:tc>
          <w:tcPr>
            <w:tcW w:type="dxa" w:w="26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الميزانية التشغيلية وميزانية المبادرات</w:t>
            </w:r>
          </w:p>
        </w:tc>
        <w:tc>
          <w:tcPr>
            <w:tcW w:type="dxa" w:w="4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نسبة الصرف مقابل المخطط، التوقع نهاية العام، والمناقلات عبر مسار معتمد</w:t>
            </w:r>
          </w:p>
        </w:tc>
        <w:tc>
          <w:tcPr>
            <w:tcW w:type="dxa" w:w="18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الهياكل التنظيمية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سجل الهيكل المعتمد، طلبات التغيير التنظيمي، ومؤشرات صحة الهيكل؛ الإجابة عن أي سؤال حول أي وحدة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4</w:t>
            </w:r>
          </w:p>
        </w:tc>
      </w:tr>
      <w:tr>
        <w:tc>
          <w:tcPr>
            <w:tcW w:type="dxa" w:w="26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مسار الاستقطاب</w:t>
            </w:r>
          </w:p>
        </w:tc>
        <w:tc>
          <w:tcPr>
            <w:tcW w:type="dxa" w:w="4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الاحتياج مقابل الشغل، خط الاستقطاب للمتعاقدين والمكلفين والمعارين، والمباشرة التي تُنشئ سجل المورد</w:t>
            </w:r>
          </w:p>
        </w:tc>
        <w:tc>
          <w:tcPr>
            <w:tcW w:type="dxa" w:w="18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نضج الابتكار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قياس نضج الابتكار للقطاعات والمناطق وفق نموذج معياري، وخط الأفكار حتى قرار التوسع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3</w:t>
            </w:r>
          </w:p>
        </w:tc>
      </w:tr>
    </w:tbl>
    <w:p>
      <w:pPr>
        <w:pStyle w:val="Heading2"/>
        <w:bidi/>
        <w:spacing w:after="140" w:before="20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26"/>
          <w:szCs w:val="26"/>
          <w:rtl/>
        </w:rPr>
        <w:t xml:space="preserve">1.2 المبادئ المشتركة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جميع الطلبات (مناقلات، طلبات هياكل، مرشحون، أفكار) كائنات في مسار عمل واحد: مراحل، دور مالك لكل مرحلة، مدة SLA، وعلم «يتطلب قرار الرئيس التنفيذي».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المراحل والأدوار والمدد بيانات يعدّلها مدير النظام من وحدة إدارة البيانات، وتسري فوراً على الطلبات الجديدة مع ترقيم الإصدارات.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كل مرحلة تتطلب قرار الرئيس التنفيذي تظهر تلقائياً في شاشة القرارات التنفيذية (صندوق قرارات واحد).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مديرو البيانات يُسندون إلى نطاقات (الميزانية، الهياكل، الاستقطاب، الابتكار) ولا يعدّلون خارجها؛ الأدوار الستة الأصلية تبقى كما هي.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كل تغيير — سواء عبر الشاشات أو الاستيراد أو المسارات — يُسجّل في سجل التدقيق بالمستخدم والوقت والقيمة قبل وبعد.</w:t>
      </w:r>
    </w:p>
    <w:p>
      <w:r>
        <w:br w:type="page"/>
      </w:r>
    </w:p>
    <w:p>
      <w:pPr>
        <w:pStyle w:val="Heading1"/>
        <w:pBdr>
          <w:bottom w:val="single" w:color="9CC7AF" w:sz="6" w:space="4"/>
        </w:pBdr>
        <w:bidi/>
        <w:spacing w:after="180" w:before="28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30"/>
          <w:szCs w:val="30"/>
          <w:rtl/>
        </w:rPr>
        <w:t xml:space="preserve">2. المتطلبات الوظيفية — الوحدات الإضافية</w:t>
      </w:r>
    </w:p>
    <w:p>
      <w:pPr>
        <w:pStyle w:val="Heading2"/>
        <w:bidi/>
        <w:spacing w:after="140" w:before="20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26"/>
          <w:szCs w:val="26"/>
          <w:rtl/>
        </w:rPr>
        <w:t xml:space="preserve">2.1 محرك مسارات العمل الديناميكية (FR-W)</w:t>
      </w: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الرقم</w:t>
            </w:r>
          </w:p>
        </w:tc>
        <w:tc>
          <w:tcPr>
            <w:tcW w:type="dxa" w:w="76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المتطلب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FR-W-01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تعريف مسارات العمل كبيانات: اسم المسار، الكيان المحكوم، قائمة مراحل مرتبة (الرمز، الاسم، الدور المالك، مدة SLA بالأيام، يتطلب قرار، دور القرار).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FR-W-02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تعديل المسارات من وحدة إدارة البيانات (مدير النظام): إضافة/حذف/إعادة ترتيب المراحل وتعديل الأدوار والمدد، مع ترقيم الإصدار وتسجيل التغيير.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FR-W-03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بدء مسار لأي كائن (طلب/مرشح/فكرة/مناقلة) من المرحلة الأولى مع تسجيل الحدث في سجل المسار.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FR-W-04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الإجراءات: إحالة/اعتماد (إلى المرحلة التالية)، إعادة (إلى المرحلة السابقة)، رفض (إنهاء المسار)؛ لا يُنفذ الإجراء إلا من الدور المالك للمرحلة أو دور القرار أو مدير النظام.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FR-W-05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احتساب الأيام في المرحلة وتجاوز SLA لكل كائن نشط، وعرضهما في كل شاشة تعرض المسار.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FR-W-06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صندوق القرارات: جميع الكائنات التي بلغت مرحلة تتطلب قرار الرئيس التنفيذي تظهر في شاشة القرارات التنفيذية بأزرار الاعتماد والإعادة والرفض، ومع رابط إلى شاشة المصدر.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FR-W-07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عند اكتمال المسار تُنفذ الآثار التبعية للكيان: تطبيق المناقلة على البنود، تنفيذ تغيير الهيكل، مباشرة المرشح وإنشاء سجل المورد، توسيع الفكرة واعتبار أثرها متحققاً.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FR-W-08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سجل مسار لكل كائن: من/إلى المرحلة، الإجراء، المستخدم، الوقت، الملاحظة.</w:t>
            </w:r>
          </w:p>
        </w:tc>
      </w:tr>
    </w:tbl>
    <w:p>
      <w:pPr>
        <w:pStyle w:val="Heading2"/>
        <w:bidi/>
        <w:spacing w:after="140" w:before="20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26"/>
          <w:szCs w:val="26"/>
          <w:rtl/>
        </w:rPr>
        <w:t xml:space="preserve">2.2 الميزانية التشغيلية وميزانية المبادرات (FR-B)</w:t>
      </w: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الرقم</w:t>
            </w:r>
          </w:p>
        </w:tc>
        <w:tc>
          <w:tcPr>
            <w:tcW w:type="dxa" w:w="76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المتطلب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FR-B-01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بنود الميزانية بحسب السنة المالية (ميلادية) والنوع (تشغيلية/مبادرات) ومركز التكلفة أو المبادرة والباب (الأبواب الأربعة) والبند: المعتمد، الملتزم به، المنصرف.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FR-B-02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خطة صرف شهرية لكل بند (المخطط والفعلي للأشهر المقفلة) لاحتساب المتوقع حتى تاريخه ومنحنى الصرف التراكمي (S-Curve).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FR-B-03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نظرة تنفيذية: نسبة الصرف مقابل المتوقع حتى تاريخه للتشغيلية والمبادرات، المتبقي، التوقع نهاية العام والانحراف، أقل وأعلى مراكز التكلفة صرفاً، والتنبيهات.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FR-B-04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الميزانية التشغيلية: بنود حسب مركز التكلفة × الباب × البند مع الاتجاه الشهري، وسجل المناقلات.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FR-B-05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ميزانية المبادرات متعددة السنوات: فعلي السنة السابقة، معتمد ومنصرف وEAC السنة الحالية، والمطلوب والمعتمد مبدئياً للسنة القادمة (دورة إعداد الميزانية) حسب المحفظة والقطاع.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FR-B-06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طلب مناقلة بين بندين مع التحقق من المتاح في البند المصدر؛ يمر بمسار العمل (تسجيل ← مراجعة مالية ← اعتماد الرئيس التنفيذي ← تنفيذ)؛ عند الاكتمال تُعدَّل اعتمادات البندين آلياً وتُسجَّل.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FR-B-07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ملكية الحقول: الاعتمادات من وزارة المالية (استيراد)، الالتزامات والمنصرف من Odoo ERP، التوقعات محتسبة؛ المعتمد حقل حساس يتطلب اعتماد.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FR-B-08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بطاقة نسبة صرف الميزانية التشغيلية في النظرة التنفيذية.</w:t>
            </w:r>
          </w:p>
        </w:tc>
      </w:tr>
    </w:tbl>
    <w:p>
      <w:pPr>
        <w:pStyle w:val="Heading2"/>
        <w:bidi/>
        <w:spacing w:after="140" w:before="20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26"/>
          <w:szCs w:val="26"/>
          <w:rtl/>
        </w:rPr>
        <w:t xml:space="preserve">2.3 الهياكل التنظيمية (FR-O)</w:t>
      </w: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الرقم</w:t>
            </w:r>
          </w:p>
        </w:tc>
        <w:tc>
          <w:tcPr>
            <w:tcW w:type="dxa" w:w="76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المتطلب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FR-O-01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سجل الوحدات التنظيمية بخمسة مستويات (وزارة ← قطاع ← وكالة/إدارة عامة ← إدارة ← قسم): الرمز، الاسم، الوحدة الأم، الرئيس، الوظائف المعتمدة والمشغولة، القطاع، المهام، الحالة (معتمد/مقترح/ملغى)، تاريخ السريان، والإصدار.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FR-O-02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مركز الهياكل: عدد الوحدات، الطلبات قيد الإجراء، بانتظار قرار الرئيس التنفيذي، متوسط دورة الطلب، تجاوزات SLA، الطلبات حسب المرحلة والنوع والقطاع، والطلبات الأقدم.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FR-O-03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مؤشرات صحة الهيكل مقابل نطاقات مرجعية: عدد الطبقات، متوسط نطاق الإشراف، متوسط حجم الإدارة، نسبة الشواغر، الوحدات بنطاق إشراف واسع، والوحدات ذات التابع الواحد.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FR-O-04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مستكشف الهيكل: شجرة تفاعلية قابلة للطي، بحث بالاسم أو الرمز أو اسم المسؤول، وملف الوحدة: التسلسل، الوظائف، الوحدات التابعة، الطلبات المقدمة منها أو المؤثرة فيها، مبادرات القطاع ومؤشراته، وتاريخ التغييرات.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FR-O-05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عرض الوحدات المقترحة في الطلبات النشطة كطبقة «الوضع المستقبلي» داخل الشجرة.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FR-O-06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طلبات الهياكل بأنواعها (استحداث، دمج، إلغاء، نقل تبعية، تعديل مسمى، تحديث دليل تنظيمي، توصيف وظيفي): الجهة الطالبة، الوصف، المبرر، أثر الوظائف والأثر المالي، التحقق من الازدواجية، المبادرة المرتبطة، جهة القرار (الرئيس التنفيذي/الوزير/لجنة الهياكل)، الأولوية، ورقم الوارد.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FR-O-07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مسار طلب الهيكل: تسجيل ← التحقق من الاكتمال ← الدراسة التنظيمية وتحليل الأثر ← لجنة الهياكل ← اعتماد صاحب الصلاحية ← التنفيذ وتحديث الأنظمة.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FR-O-08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تفاصيل الطلب: الوضع الحالي والمقترح للفرع المتأثر (as-is / to-be)، ملخص الأثر، سجل المسار، وقائمة التنفيذ (تحديث الهيكل، الدليل التنظيمي، نظام الموارد البشرية).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FR-O-09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عند اكتمال المسار تُطبَّق التغييرات على السجل: استحداث الوحدة، تعديل المسمى، نقل التبعية، أو الإلغاء (أرشفة لا حذف)، مع رفع الإصدار وتسجيل التغيير.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FR-O-10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وسم مبادرات خارطة الطريق «تنظيمي» وعرضها في مركز الهياكل وملف الوحدة.</w:t>
            </w:r>
          </w:p>
        </w:tc>
      </w:tr>
    </w:tbl>
    <w:p>
      <w:pPr>
        <w:pStyle w:val="Heading2"/>
        <w:bidi/>
        <w:spacing w:after="140" w:before="20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26"/>
          <w:szCs w:val="26"/>
          <w:rtl/>
        </w:rPr>
        <w:t xml:space="preserve">2.4 مسار الاستقطاب (FR-T)</w:t>
      </w: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الرقم</w:t>
            </w:r>
          </w:p>
        </w:tc>
        <w:tc>
          <w:tcPr>
            <w:tcW w:type="dxa" w:w="76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المتطلب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FR-T-01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الاحتياجات الوظيفية: المسمى، القطاع، المبادرة، نوع الاستقطاب (متعاقد/مكلّف/معار)، الفئة، العدد، المشغول، الأولوية، وظيفة قيادية، تاريخ المباشرة المستهدف.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FR-T-02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المرشحون: الاسم، الاحتياج، المصدر (المورد/القطاع المرشِّح/الجهة المعيرة)، الوظيفة الحالية، حالة الفحص الأمني، الأجر الشهري (للمتعاقدين)، مدة الإعارة (للمعارين)، والمرجع.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FR-T-03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ثلاثة مسارات على المحرك: المتعاقد (فرز ← مقابلة ← عرض وتعاقد ← فحص أمني ← مباشرة)، المكلّف (ترشيح القطاع ← موافقة تنفيذية ← خطاب تكليف ← مباشرة)، المعار (مخاطبة الجهة ← موافقة الجهة ← قرار الإعارة ← مباشرة).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FR-T-04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لوحة الاستقطاب: الاحتياج مقابل الشغل والفجوة، المرشحون في الخط، نسبة الشغل، متوسط زمن الشغل، تجاوزات SLA، بانتظار الفحص الأمني، الوظائف الحرجة غير المشغولة، المباشرات المتوقعة شهرياً، وقمع كل مسار.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FR-T-05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خط الاستقطاب (Kanban): أعمدة بحسب مراحل المسار المختار مع الأيام في المرحلة وتجاوز SLA وحالة الفحص الأمني، وبطاقة المرشح بالإجراءات.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FR-T-06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لا يُباشر المتعاقد قبل اجتياز الفحص الأمني؛ المحاولة تُرفض ويبقى المسار في مرحلته.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FR-T-07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المباشرة تُنشئ سجل المورد في وحدة الموارد (الاسم، الوظيفة، الإدارة، الطاقة، تكلفة الساعة) وتربطه بالمرشح وتُحدّث المشغول في الاحتياج؛ لا ازدواجية في سجلات الأشخاص.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FR-T-08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خصوصية المرشحين: تظهر الأسماء لمسؤول الاستقطاب ومدير النظام، وللرئيس التنفيذي في الوظائف القيادية فقط؛ وتُحجب لبقية الأدوار مع بقاء المجاميع.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FR-T-09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بطاقة نسبة شغل الاحتياج في النظرة التنفيذية.</w:t>
            </w:r>
          </w:p>
        </w:tc>
      </w:tr>
    </w:tbl>
    <w:p>
      <w:pPr>
        <w:pStyle w:val="Heading2"/>
        <w:bidi/>
        <w:spacing w:after="140" w:before="20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26"/>
          <w:szCs w:val="26"/>
          <w:rtl/>
        </w:rPr>
        <w:t xml:space="preserve">2.5 نضج الابتكار (FR-I)</w:t>
      </w: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الرقم</w:t>
            </w:r>
          </w:p>
        </w:tc>
        <w:tc>
          <w:tcPr>
            <w:tcW w:type="dxa" w:w="76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المتطلب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FR-I-01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نموذج النضج: ستة أبعاد مرجعية (القيادة والاستراتيجية، الثقافة والقدرات، العمليات والحوكمة، الموارد والتمويل، التقنية والبيانات، النتائج والأثر) بأوزان مجموعها 100، وخمسة مستويات (مبتدئ، ناشئ، محدد، مُدار، رائد).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FR-I-02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تقييم كل قطاع وكل منطقة في دورات (نصف سنوية) بدرجة 1–5 لكل بُعد؛ النضج العام = المتوسط المرجّح؛ مع المقيّم والشواهد.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FR-I-03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التقييم يُحفظ مسودة من منسق الابتكار ويُنشر بعد مراجعة مكتب الابتكار (صلاحية الاعتماد)؛ لا تُعرض إلا التقييمات المنشورة.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FR-I-04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أهداف النضج لكل جهة ودورة، واحتساب الفجوة عن الهدف والتغير عن الدورة السابقة.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FR-I-05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خريطة النضج: تلوين مناطق المملكة بحسب المستوى، وعرض الأبعاد الستة للمنطقة المختارة (رسم راداري) وترتيب القطاعات.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FR-I-06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مصفوفة النضج: الجهات × الأبعاد بمؤشرات التغير والهدف والفجوة، ومتوسط كل بُعد على مستوى القطاعات والمناطق مع تحديد الأبعاد الأضعف.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FR-I-07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خط الأفكار على المحرك: فكرة مقدّمة ← التقييم ← نموذج أولي ← تجربة ← قرار التوسع (قرار الرئيس التنفيذي)؛ مع التصنيف والمصدر والأثر التقديري والمبادرة المرتبطة.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FR-I-08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مؤشرات الابتكار: الأفكار لكل 100 موظف، نسبة التوسع، متوسط الأيام من الفكرة إلى التجربة، الأثر المتحقق والأثر في الخط.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FR-I-09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وسم مبادرات خارطة الطريق «ابتكار» وبطاقة مؤشر النضج في النظرة التنفيذية.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CC7AF" w:sz="6" w:space="4"/>
        </w:pBdr>
        <w:bidi/>
        <w:spacing w:after="180" w:before="28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30"/>
          <w:szCs w:val="30"/>
          <w:rtl/>
        </w:rPr>
        <w:t xml:space="preserve">3. متطلبات البيانات والتغذية</w:t>
      </w:r>
    </w:p>
    <w:p>
      <w:pPr>
        <w:pStyle w:val="Heading2"/>
        <w:bidi/>
        <w:spacing w:after="140" w:before="20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26"/>
          <w:szCs w:val="26"/>
          <w:rtl/>
        </w:rPr>
        <w:t xml:space="preserve">3.1 الكيانات الجديدة</w:t>
      </w: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2400"/>
        <w:gridCol w:w="4026"/>
        <w:gridCol w:w="2600"/>
      </w:tblGrid>
      <w:tr>
        <w:trPr>
          <w:tblHeader/>
        </w:trPr>
        <w:tc>
          <w:tcPr>
            <w:tcW w:type="dxa" w:w="24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الكيان</w:t>
            </w:r>
          </w:p>
        </w:tc>
        <w:tc>
          <w:tcPr>
            <w:tcW w:type="dxa" w:w="40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الحقول الرئيسية</w:t>
            </w:r>
          </w:p>
        </w:tc>
        <w:tc>
          <w:tcPr>
            <w:tcW w:type="dxa" w:w="26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المصدر / الملكية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تعريفات مسارات العمل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الرمز، الاسم، الكيان، المراحل (JSON)، الإصدار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إعداد داخلي — مدير النظام</w:t>
            </w:r>
          </w:p>
        </w:tc>
      </w:tr>
      <w:tr>
        <w:tc>
          <w:tcPr>
            <w:tcW w:type="dxa" w:w="2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مراكز التكلفة</w:t>
            </w:r>
          </w:p>
        </w:tc>
        <w:tc>
          <w:tcPr>
            <w:tcW w:type="dxa" w:w="40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الرمز، الاسم، النوع، القطاع</w:t>
            </w:r>
          </w:p>
        </w:tc>
        <w:tc>
          <w:tcPr>
            <w:tcW w:type="dxa" w:w="26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يدوي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بنود الميزانية / الأشهر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السنة، النوع، مركز التكلفة/المبادرة، الباب، البند، المعتمد، الملتزم، المنصرف؛ المخطط والفعلي الشهري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المعتمد: وزارة المالية (استيراد) · الملتزم والمنصرف: Odoo ERP</w:t>
            </w:r>
          </w:p>
        </w:tc>
      </w:tr>
      <w:tr>
        <w:tc>
          <w:tcPr>
            <w:tcW w:type="dxa" w:w="2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ميزانية المبادرات حسب السنة</w:t>
            </w:r>
          </w:p>
        </w:tc>
        <w:tc>
          <w:tcPr>
            <w:tcW w:type="dxa" w:w="40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المبادرة، السنة، المطلوب، المعتمد، الملتزم، المنصرف، مصدر التمويل</w:t>
            </w:r>
          </w:p>
        </w:tc>
        <w:tc>
          <w:tcPr>
            <w:tcW w:type="dxa" w:w="26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يدوي / Odoo ERP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المناقلات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من/إلى البند، المبلغ، المبرر، الحالة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مسار عمل داخل المنصة</w:t>
            </w:r>
          </w:p>
        </w:tc>
      </w:tr>
      <w:tr>
        <w:tc>
          <w:tcPr>
            <w:tcW w:type="dxa" w:w="2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الوحدات التنظيمية</w:t>
            </w:r>
          </w:p>
        </w:tc>
        <w:tc>
          <w:tcPr>
            <w:tcW w:type="dxa" w:w="40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الرمز، الاسم، المستوى، الأم، الرئيس، الوظائف، المشغولة، القطاع، الحالة، الإصدار</w:t>
            </w:r>
          </w:p>
        </w:tc>
        <w:tc>
          <w:tcPr>
            <w:tcW w:type="dxa" w:w="26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الدليل التنظيمي (تحميل أولي) · الوظائف والمشغولة: Odoo HR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طلبات الهياكل / الوحدات المتأثرة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النوع، الجهة، الأثر، جهة القرار، رقم الوارد، التغييرات المقترحة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مسار عمل داخل المنصة (يُدخلها التطوير التنظيمي من المراسلات)</w:t>
            </w:r>
          </w:p>
        </w:tc>
      </w:tr>
      <w:tr>
        <w:tc>
          <w:tcPr>
            <w:tcW w:type="dxa" w:w="2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الاحتياجات والمرشحون</w:t>
            </w:r>
          </w:p>
        </w:tc>
        <w:tc>
          <w:tcPr>
            <w:tcW w:type="dxa" w:w="40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المسمى، النوع، العدد، المشغول؛ المرشح، المصدر، الفحص الأمني، الأجر/مدة الإعارة، سجل المورد</w:t>
            </w:r>
          </w:p>
        </w:tc>
        <w:tc>
          <w:tcPr>
            <w:tcW w:type="dxa" w:w="26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يدوي / Odoo HR Recruitment · الفحص: الجهة الأمنية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أبعاد وتقييمات وأهداف الابتكار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البُعد والوزن؛ الدورة، الجهة، الدرجات، النضج، المقيّم، الشواهد، الحالة؛ الهدف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استمارات داخل المنصة — مكتب الابتكار</w:t>
            </w:r>
          </w:p>
        </w:tc>
      </w:tr>
      <w:tr>
        <w:tc>
          <w:tcPr>
            <w:tcW w:type="dxa" w:w="2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الأفكار الابتكارية</w:t>
            </w:r>
          </w:p>
        </w:tc>
        <w:tc>
          <w:tcPr>
            <w:tcW w:type="dxa" w:w="40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العنوان، التصنيف، المصدر، الأثر التقديري، المبادرة المرتبطة، الحالة</w:t>
            </w:r>
          </w:p>
        </w:tc>
        <w:tc>
          <w:tcPr>
            <w:tcW w:type="dxa" w:w="26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منصة الأفكار (استيراد) / يدوي</w:t>
            </w:r>
          </w:p>
        </w:tc>
      </w:tr>
    </w:tbl>
    <w:p>
      <w:pPr>
        <w:pStyle w:val="Heading2"/>
        <w:bidi/>
        <w:spacing w:after="140" w:before="20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26"/>
          <w:szCs w:val="26"/>
          <w:rtl/>
        </w:rPr>
        <w:t xml:space="preserve">3.2 مسارات التغذية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مسار التكامل (قراءة فقط): Odoo ERP للميزانية والالتزامات والمنصرف والموارد البشرية والاستقطاب، وMicrosoft Project Server للمبادرات ووسومها؛ في النسخة التجريبية تُحاكى بالبيانات التجريبية وتصبح موصلات في البيئة الداخلية وفق نطاق العمل.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المسار اليدوي المحوكم: قوالب CSV لكل كيان من وحدة إدارة البيانات، واستمارات داخل المنصة؛ تخضع لذات قواعد التحقق والملكية والحساسية والتدقيق.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مسار المسارات: حيث لا يوجد نظام مصدر — الطلبات والمناقلات والمرشحون والأفكار — تكون المنصة هي نظام السجل.</w:t>
      </w:r>
    </w:p>
    <w:p>
      <w:pPr>
        <w:pStyle w:val="Heading2"/>
        <w:bidi/>
        <w:spacing w:after="140" w:before="20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26"/>
          <w:szCs w:val="26"/>
          <w:rtl/>
        </w:rPr>
        <w:t xml:space="preserve">3.3 قواعد الجودة الإضافية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وحدة تنظيمية دون وحدة أم (عدا الوزارة)، أو بحالة معتمد ومستوى غير صحيح.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بند ميزانية دون مركز تكلفة أو مبادرة، أو منصرف يتجاوز الملتزم به.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احتياج دون قطاع، أو مرشح مباشر دون سجل مورد مرتبط.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Sakkal Majalla" w:cs="Sakkal Majalla" w:eastAsia="Sakkal Majalla" w:hAnsi="Sakkal Majalla"/>
          <w:b w:val="false"/>
          <w:i w:val="false"/>
          <w:iCs w:val="false"/>
          <w:sz w:val="24"/>
          <w:szCs w:val="24"/>
          <w:rtl/>
        </w:rPr>
        <w:t xml:space="preserve">تقييم نضج بدرجة خارج 1–5 أو دورة غير معرّفة.</w:t>
      </w:r>
    </w:p>
    <w:p>
      <w:r>
        <w:br w:type="page"/>
      </w:r>
    </w:p>
    <w:p>
      <w:pPr>
        <w:pStyle w:val="Heading1"/>
        <w:pBdr>
          <w:bottom w:val="single" w:color="9CC7AF" w:sz="6" w:space="4"/>
        </w:pBdr>
        <w:bidi/>
        <w:spacing w:after="180" w:before="28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30"/>
          <w:szCs w:val="30"/>
          <w:rtl/>
        </w:rPr>
        <w:t xml:space="preserve">4. المتطلبات غير الوظيفية المضافة</w:t>
      </w: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الرقم</w:t>
            </w:r>
          </w:p>
        </w:tc>
        <w:tc>
          <w:tcPr>
            <w:tcW w:type="dxa" w:w="76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المتطلب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NFR-A-01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العمل دون اتصال: تطبيق ويب تقدمي (PWA) يخزّن الشاشات والأصول محلياً ويعرض آخر نسخة من بيانات الواجهات البرمجية عند انقطاع الشبكة مع تنبيه ظاهر.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NFR-A-02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فرض العزل: سياسة أمن محتوى (CSP) لا تسمح إلا بالمصدر نفسه في البيئة الإنتاجية، وترويسات أمنية قياسية، وفحص آلي للبناء يثبت خلوه من أي وجهات خارجية.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NFR-A-03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نقطة فحص صحة (/api/health) للوكيل العكسي والمراقبة.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NFR-A-04</w:t>
            </w:r>
          </w:p>
        </w:tc>
        <w:tc>
          <w:tcPr>
            <w:tcW w:type="dxa" w:w="7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وضع إنتاجي يعطّل مبدّل الأدوار والحسابات التجريبية، ويرفض تحميل البيانات التجريبية.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NFR-A-05</w:t>
            </w:r>
          </w:p>
        </w:tc>
        <w:tc>
          <w:tcPr>
            <w:tcW w:type="dxa" w:w="7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ترحيل قاعدة البيانات بملفات SQL قابلة للتطبيق دون أدوات، وتحميل البيانات المرجعية فقط للتشغيل الفعلي.</w:t>
            </w:r>
          </w:p>
        </w:tc>
      </w:tr>
    </w:tbl>
    <w:p>
      <w:pPr>
        <w:pStyle w:val="Heading1"/>
        <w:pBdr>
          <w:bottom w:val="single" w:color="9CC7AF" w:sz="6" w:space="4"/>
        </w:pBdr>
        <w:bidi/>
        <w:spacing w:after="180" w:before="28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30"/>
          <w:szCs w:val="30"/>
          <w:rtl/>
        </w:rPr>
        <w:t xml:space="preserve">5. الفجوات والقرارات المفتوحة</w:t>
      </w: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الرقم</w:t>
            </w:r>
          </w:p>
        </w:tc>
        <w:tc>
          <w:tcPr>
            <w:tcW w:type="dxa" w:w="30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الموضوع</w:t>
            </w:r>
          </w:p>
        </w:tc>
        <w:tc>
          <w:tcPr>
            <w:tcW w:type="dxa" w:w="46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القرار المطلوب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GAP-15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تصنيف الميزانية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اعتماد الأبواب الأربعة والبنود المعتمدة في الوزارة وربطها بحسابات Odoo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GAP-16</w:t>
            </w:r>
          </w:p>
        </w:tc>
        <w:tc>
          <w:tcPr>
            <w:tcW w:type="dxa" w:w="30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صلاحيات المناقلات</w:t>
            </w:r>
          </w:p>
        </w:tc>
        <w:tc>
          <w:tcPr>
            <w:tcW w:type="dxa" w:w="4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حدّ المبلغ الذي يتطلب اعتماد الرئيس التنفيذي مقابل اللجنة المالية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GAP-17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مصادر الهيكل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الجهة المرجعية للهيكل المعتمد (نظام الموارد البشرية أم الدليل التنظيمي) وآلية التحديث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GAP-18</w:t>
            </w:r>
          </w:p>
        </w:tc>
        <w:tc>
          <w:tcPr>
            <w:tcW w:type="dxa" w:w="30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صلاحيات قرارات الهياكل</w:t>
            </w:r>
          </w:p>
        </w:tc>
        <w:tc>
          <w:tcPr>
            <w:tcW w:type="dxa" w:w="4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أنواع الطلبات التي يقرها الرئيس التنفيذي مقابل الوزير واللجنة، ومدد SLA الرسمية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GAP-19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مصدر الاستقطاب</w:t>
            </w:r>
          </w:p>
        </w:tc>
        <w:tc>
          <w:tcPr>
            <w:tcW w:type="dxa" w:w="4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استخدام Odoo HR Recruitment للمتعاقدين، ومسار موافقات الفحص الأمني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GAP-20</w:t>
            </w:r>
          </w:p>
        </w:tc>
        <w:tc>
          <w:tcPr>
            <w:tcW w:type="dxa" w:w="30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إطار نضج الابتكار</w:t>
            </w:r>
          </w:p>
        </w:tc>
        <w:tc>
          <w:tcPr>
            <w:tcW w:type="dxa" w:w="46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اعتماد النموذج السداسي المستند إلى ISO 56002 أو المواءمة مع إطار وطني، ودورية التقييم</w:t>
            </w:r>
          </w:p>
        </w:tc>
      </w:tr>
    </w:tbl>
    <w:p>
      <w:pPr>
        <w:pStyle w:val="Heading1"/>
        <w:pBdr>
          <w:bottom w:val="single" w:color="9CC7AF" w:sz="6" w:space="4"/>
        </w:pBdr>
        <w:bidi/>
        <w:spacing w:after="180" w:before="280"/>
        <w:jc w:val="righ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color w:val="006C35"/>
          <w:sz w:val="30"/>
          <w:szCs w:val="30"/>
          <w:rtl/>
        </w:rPr>
        <w:t xml:space="preserve">6. سجل الإصدارات</w:t>
      </w:r>
    </w:p>
    <w:tbl>
      <w:tblPr>
        <w:bidiVisual/>
        <w:tblW w:type="dxa" w:w="9026"/>
        <w:tblBorders>
          <w:top w:val="single" w:color="C9CFCE" w:sz="4"/>
          <w:left w:val="single" w:color="C9CFCE" w:sz="4"/>
          <w:bottom w:val="single" w:color="C9CFCE" w:sz="4"/>
          <w:right w:val="single" w:color="C9CFCE" w:sz="4"/>
          <w:insideH w:val="single" w:color="C9CFCE" w:sz="4"/>
          <w:insideV w:val="single" w:color="C9CFCE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الإصدار</w:t>
            </w:r>
          </w:p>
        </w:tc>
        <w:tc>
          <w:tcPr>
            <w:tcW w:type="dxa" w:w="2200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التاريخ</w:t>
            </w:r>
          </w:p>
        </w:tc>
        <w:tc>
          <w:tcPr>
            <w:tcW w:type="dxa" w:w="5426"/>
            <w:shd w:fill="006C3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الوصف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سبتمبر 2026</w:t>
            </w:r>
          </w:p>
        </w:tc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ملحق الوحدات الإضافية: محرك مسارات العمل، الميزانية، الهياكل التنظيمية، الاستقطاب، الابتكار</w:t>
            </w:r>
          </w:p>
        </w:tc>
      </w:tr>
      <w:tr>
        <w:tc>
          <w:tcPr>
            <w:tcW w:type="dxa" w:w="14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0.4</w:t>
            </w:r>
          </w:p>
        </w:tc>
        <w:tc>
          <w:tcPr>
            <w:tcW w:type="dxa" w:w="2200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أغسطس 2026</w:t>
            </w:r>
          </w:p>
        </w:tc>
        <w:tc>
          <w:tcPr>
            <w:tcW w:type="dxa" w:w="5426"/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akkal Majalla" w:cs="Sakkal Majalla" w:eastAsia="Sakkal Majalla" w:hAnsi="Sakkal Majalla"/>
                <w:b w:val="false"/>
                <w:i w:val="false"/>
                <w:iCs w:val="false"/>
                <w:sz w:val="22"/>
                <w:szCs w:val="22"/>
                <w:rtl/>
              </w:rPr>
              <w:t xml:space="preserve">الوثيقة الأصل — 14 كياناً و39 متطلباً وظيفياً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kkal Majalla" w:cs="Sakkal Majalla" w:eastAsia="Sakkal Majalla" w:hAnsi="Sakkal Majalla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star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kkal Majalla" w:cs="Sakkal Majalla" w:eastAsia="Sakkal Majalla" w:hAnsi="Sakkal Majalla"/>
        <w:sz w:val="24"/>
        <w:szCs w:val="24"/>
      </w:rPr>
    </w:rPrDefault>
    <w:pPrDefault>
      <w:pPr>
        <w:bidi/>
        <w:spacing w:after="120" w:line="300"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2026-09-04T20:03:22.611Z</dcterms:created>
  <dcterms:modified xsi:type="dcterms:W3CDTF">2026-09-04T20:03:22.616Z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