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7920" w:type="dxa"/>
        <w:tblInd w:w="-109" w:type="dxa"/>
        <w:tblLayout w:type="fixed"/>
        <w:tblLook w:val="04A0" w:firstRow="1" w:lastRow="0" w:firstColumn="1" w:lastColumn="0" w:noHBand="0" w:noVBand="1"/>
      </w:tblPr>
      <w:tblGrid>
        <w:gridCol w:w="7920"/>
      </w:tblGrid>
      <w:tr w:rsidR="00682D14" w14:paraId="2049C9D9" w14:textId="77777777" w:rsidTr="00D339C7">
        <w:tc>
          <w:tcPr>
            <w:tcW w:w="7920" w:type="dxa"/>
            <w:tcBorders>
              <w:top w:val="single" w:sz="24" w:space="0" w:color="000000"/>
              <w:bottom w:val="single" w:sz="8" w:space="0" w:color="000000"/>
            </w:tcBorders>
            <w:shd w:val="clear" w:color="auto" w:fill="auto"/>
          </w:tcPr>
          <w:p w14:paraId="58431357" w14:textId="77777777" w:rsidR="00682D14" w:rsidRPr="00224968" w:rsidRDefault="00682D14" w:rsidP="00224968">
            <w:pPr>
              <w:pStyle w:val="Heading1"/>
              <w:jc w:val="center"/>
              <w:rPr>
                <w:rFonts w:ascii="Times New Roman" w:hAnsi="Times New Roman" w:cs="Times New Roman"/>
                <w:b/>
                <w:bCs/>
              </w:rPr>
            </w:pPr>
            <w:proofErr w:type="spellStart"/>
            <w:r w:rsidRPr="00224968">
              <w:rPr>
                <w:rFonts w:ascii="Times New Roman" w:hAnsi="Times New Roman" w:cs="Times New Roman"/>
                <w:b/>
                <w:bCs/>
                <w:color w:val="auto"/>
              </w:rPr>
              <w:t>TLoRA</w:t>
            </w:r>
            <w:proofErr w:type="spellEnd"/>
            <w:r w:rsidRPr="00224968">
              <w:rPr>
                <w:rFonts w:ascii="Times New Roman" w:hAnsi="Times New Roman" w:cs="Times New Roman"/>
                <w:b/>
                <w:bCs/>
                <w:color w:val="auto"/>
              </w:rPr>
              <w:t>: Tri-Matrix Low-Rank Adaptation of Large Language Models</w:t>
            </w:r>
          </w:p>
        </w:tc>
      </w:tr>
    </w:tbl>
    <w:p w14:paraId="49D14A1F" w14:textId="77777777" w:rsidR="00682D14" w:rsidRDefault="00682D14" w:rsidP="00682D14">
      <w:pPr>
        <w:pStyle w:val="Standard"/>
        <w:widowControl w:val="0"/>
        <w:suppressLineNumbers/>
        <w:tabs>
          <w:tab w:val="center" w:pos="2610"/>
          <w:tab w:val="center" w:pos="5670"/>
        </w:tabs>
        <w:spacing w:line="218" w:lineRule="auto"/>
        <w:jc w:val="both"/>
        <w:rPr>
          <w:b/>
          <w:bCs/>
          <w:spacing w:val="5"/>
          <w:kern w:val="2"/>
        </w:rPr>
      </w:pPr>
    </w:p>
    <w:p w14:paraId="7D155B41" w14:textId="77777777" w:rsidR="00682D14" w:rsidRDefault="00682D14" w:rsidP="00682D14">
      <w:pPr>
        <w:pStyle w:val="Standard"/>
        <w:widowControl w:val="0"/>
        <w:suppressLineNumbers/>
        <w:tabs>
          <w:tab w:val="center" w:pos="2610"/>
          <w:tab w:val="center" w:pos="7920"/>
        </w:tabs>
        <w:spacing w:line="218" w:lineRule="auto"/>
        <w:jc w:val="center"/>
      </w:pPr>
      <w:r>
        <w:rPr>
          <w:b/>
          <w:bCs/>
          <w:kern w:val="2"/>
        </w:rPr>
        <w:t>Tanvir Islam</w:t>
      </w:r>
    </w:p>
    <w:p w14:paraId="375ABE35" w14:textId="77777777" w:rsidR="00682D14" w:rsidRDefault="00682D14" w:rsidP="00682D14">
      <w:pPr>
        <w:pStyle w:val="Standard"/>
        <w:widowControl w:val="0"/>
        <w:suppressLineNumbers/>
        <w:tabs>
          <w:tab w:val="center" w:pos="2610"/>
          <w:tab w:val="center" w:pos="7920"/>
        </w:tabs>
        <w:spacing w:line="218" w:lineRule="auto"/>
        <w:jc w:val="center"/>
      </w:pPr>
      <w:r>
        <w:rPr>
          <w:spacing w:val="5"/>
          <w:kern w:val="2"/>
        </w:rPr>
        <w:t>Okta</w:t>
      </w:r>
    </w:p>
    <w:p w14:paraId="2F3FB8D1" w14:textId="77777777" w:rsidR="00682D14" w:rsidRDefault="00682D14" w:rsidP="00682D14">
      <w:pPr>
        <w:pStyle w:val="Standard"/>
        <w:widowControl w:val="0"/>
        <w:suppressLineNumbers/>
        <w:tabs>
          <w:tab w:val="center" w:pos="2610"/>
          <w:tab w:val="center" w:pos="7920"/>
        </w:tabs>
        <w:spacing w:line="218" w:lineRule="auto"/>
        <w:jc w:val="center"/>
      </w:pPr>
      <w:r>
        <w:rPr>
          <w:spacing w:val="5"/>
          <w:kern w:val="2"/>
        </w:rPr>
        <w:t>Bellevue, WA</w:t>
      </w:r>
    </w:p>
    <w:p w14:paraId="3AA2014B" w14:textId="77777777" w:rsidR="00682D14" w:rsidRDefault="00682D14" w:rsidP="00682D14">
      <w:pPr>
        <w:pStyle w:val="Standard"/>
        <w:widowControl w:val="0"/>
        <w:suppressLineNumbers/>
        <w:tabs>
          <w:tab w:val="center" w:pos="2610"/>
          <w:tab w:val="center" w:pos="7920"/>
        </w:tabs>
        <w:spacing w:line="218" w:lineRule="auto"/>
        <w:jc w:val="center"/>
      </w:pPr>
      <w:hyperlink r:id="rId7" w:history="1">
        <w:r w:rsidRPr="00F4207F">
          <w:rPr>
            <w:rStyle w:val="Hyperlink"/>
            <w:rFonts w:ascii="Courier" w:hAnsi="Courier"/>
            <w:spacing w:val="5"/>
            <w:kern w:val="2"/>
            <w:sz w:val="18"/>
          </w:rPr>
          <w:t>tanvir.islam@okta.com</w:t>
        </w:r>
      </w:hyperlink>
      <w:r>
        <w:rPr>
          <w:rFonts w:ascii="Courier" w:hAnsi="Courier"/>
          <w:spacing w:val="5"/>
          <w:kern w:val="2"/>
          <w:sz w:val="18"/>
        </w:rPr>
        <w:t xml:space="preserve"> </w:t>
      </w:r>
    </w:p>
    <w:p w14:paraId="74186C24" w14:textId="77777777" w:rsidR="00682D14" w:rsidRDefault="00682D14" w:rsidP="00682D14">
      <w:pPr>
        <w:pStyle w:val="Standard"/>
        <w:widowControl w:val="0"/>
        <w:suppressLineNumbers/>
        <w:tabs>
          <w:tab w:val="center" w:pos="2610"/>
          <w:tab w:val="center" w:pos="5670"/>
        </w:tabs>
        <w:spacing w:line="218" w:lineRule="auto"/>
        <w:jc w:val="both"/>
      </w:pPr>
      <w:r>
        <w:rPr>
          <w:spacing w:val="5"/>
          <w:kern w:val="2"/>
        </w:rPr>
        <w:tab/>
      </w:r>
      <w:r>
        <w:rPr>
          <w:spacing w:val="5"/>
          <w:kern w:val="2"/>
        </w:rPr>
        <w:tab/>
      </w:r>
    </w:p>
    <w:p w14:paraId="67F98F5F" w14:textId="77777777" w:rsidR="00682D14" w:rsidRDefault="00682D14" w:rsidP="00682D14">
      <w:pPr>
        <w:pStyle w:val="Standard"/>
        <w:widowControl w:val="0"/>
        <w:suppressLineNumbers/>
        <w:spacing w:before="540" w:after="140" w:line="218" w:lineRule="auto"/>
        <w:jc w:val="center"/>
      </w:pPr>
      <w:r>
        <w:rPr>
          <w:b/>
          <w:bCs/>
          <w:spacing w:val="6"/>
          <w:kern w:val="2"/>
          <w:sz w:val="24"/>
          <w:szCs w:val="24"/>
        </w:rPr>
        <w:t>Abstract</w:t>
      </w:r>
    </w:p>
    <w:p w14:paraId="6BFE17BC" w14:textId="2BD6FDA4" w:rsidR="00682D14" w:rsidRDefault="00C4362E" w:rsidP="00682D14">
      <w:pPr>
        <w:pStyle w:val="Standard"/>
        <w:widowControl w:val="0"/>
        <w:spacing w:before="120" w:after="100" w:line="218" w:lineRule="auto"/>
        <w:ind w:left="720" w:right="720"/>
        <w:jc w:val="both"/>
      </w:pPr>
      <w:r>
        <w:rPr>
          <w:kern w:val="2"/>
        </w:rPr>
        <w:t>W</w:t>
      </w:r>
      <w:r w:rsidR="00627AD8" w:rsidRPr="00627AD8">
        <w:rPr>
          <w:kern w:val="2"/>
        </w:rPr>
        <w:t xml:space="preserve">e propose </w:t>
      </w:r>
      <w:proofErr w:type="spellStart"/>
      <w:r w:rsidR="00627AD8" w:rsidRPr="00627AD8">
        <w:rPr>
          <w:b/>
          <w:bCs/>
          <w:kern w:val="2"/>
        </w:rPr>
        <w:t>TLoRA</w:t>
      </w:r>
      <w:proofErr w:type="spellEnd"/>
      <w:r w:rsidR="00627AD8" w:rsidRPr="00627AD8">
        <w:rPr>
          <w:kern w:val="2"/>
        </w:rPr>
        <w:t xml:space="preserve">, a novel tri-matrix low-rank adaptation method that decomposes weight updates into three matrices: two fixed random matrices and one trainable matrix, combined with a learnable, layer-wise scaling factor. This tri-matrix design enables </w:t>
      </w:r>
      <w:proofErr w:type="spellStart"/>
      <w:r w:rsidR="00627AD8" w:rsidRPr="00627AD8">
        <w:rPr>
          <w:kern w:val="2"/>
        </w:rPr>
        <w:t>TLoRA</w:t>
      </w:r>
      <w:proofErr w:type="spellEnd"/>
      <w:r w:rsidR="00627AD8" w:rsidRPr="00627AD8">
        <w:rPr>
          <w:kern w:val="2"/>
        </w:rPr>
        <w:t xml:space="preserve"> to achieve highly efficient parameter adaptation while introducing minimal additional computational overhead. Through extensive experiments on the GLUE benchmark, we demonstrate that </w:t>
      </w:r>
      <w:proofErr w:type="spellStart"/>
      <w:r w:rsidR="00627AD8" w:rsidRPr="00627AD8">
        <w:rPr>
          <w:kern w:val="2"/>
        </w:rPr>
        <w:t>TLoRA</w:t>
      </w:r>
      <w:proofErr w:type="spellEnd"/>
      <w:r w:rsidR="00627AD8" w:rsidRPr="00627AD8">
        <w:rPr>
          <w:kern w:val="2"/>
        </w:rPr>
        <w:t xml:space="preserve"> achieves comparable performance to existing low-rank methods such as </w:t>
      </w:r>
      <w:proofErr w:type="spellStart"/>
      <w:r w:rsidR="00627AD8" w:rsidRPr="00627AD8">
        <w:rPr>
          <w:kern w:val="2"/>
        </w:rPr>
        <w:t>LoRA</w:t>
      </w:r>
      <w:proofErr w:type="spellEnd"/>
      <w:r w:rsidR="00627AD8" w:rsidRPr="00627AD8">
        <w:rPr>
          <w:kern w:val="2"/>
        </w:rPr>
        <w:t xml:space="preserve"> and Adapter-based techniques, while requiring significantly fewer trainable parameters. Analyzing the adaptation dynamics, we observe that </w:t>
      </w:r>
      <w:proofErr w:type="spellStart"/>
      <w:r w:rsidR="00627AD8" w:rsidRPr="00627AD8">
        <w:rPr>
          <w:kern w:val="2"/>
        </w:rPr>
        <w:t>TLoRA</w:t>
      </w:r>
      <w:proofErr w:type="spellEnd"/>
      <w:r w:rsidR="00627AD8" w:rsidRPr="00627AD8">
        <w:rPr>
          <w:kern w:val="2"/>
        </w:rPr>
        <w:t xml:space="preserve"> exhibits Gaussian-like weight distributions, stable parameter norms, and scaling factor variability across layers, further highlighting its expressive power and adaptability. Additionally, we show that </w:t>
      </w:r>
      <w:proofErr w:type="spellStart"/>
      <w:r w:rsidR="00627AD8" w:rsidRPr="00627AD8">
        <w:rPr>
          <w:kern w:val="2"/>
        </w:rPr>
        <w:t>TLoRA</w:t>
      </w:r>
      <w:proofErr w:type="spellEnd"/>
      <w:r w:rsidR="00627AD8" w:rsidRPr="00627AD8">
        <w:rPr>
          <w:kern w:val="2"/>
        </w:rPr>
        <w:t xml:space="preserve"> closely resembles </w:t>
      </w:r>
      <w:proofErr w:type="spellStart"/>
      <w:r w:rsidR="00627AD8" w:rsidRPr="00627AD8">
        <w:rPr>
          <w:kern w:val="2"/>
        </w:rPr>
        <w:t>LoRA</w:t>
      </w:r>
      <w:proofErr w:type="spellEnd"/>
      <w:r w:rsidR="00627AD8" w:rsidRPr="00627AD8">
        <w:rPr>
          <w:kern w:val="2"/>
        </w:rPr>
        <w:t xml:space="preserve"> in its eigenvalue distributions, parameter norms, and cosine similarity of updates, underscoring its ability to effectively approximate </w:t>
      </w:r>
      <w:proofErr w:type="spellStart"/>
      <w:r w:rsidR="00627AD8" w:rsidRPr="00627AD8">
        <w:rPr>
          <w:kern w:val="2"/>
        </w:rPr>
        <w:t>LoRA's</w:t>
      </w:r>
      <w:proofErr w:type="spellEnd"/>
      <w:r w:rsidR="00627AD8" w:rsidRPr="00627AD8">
        <w:rPr>
          <w:kern w:val="2"/>
        </w:rPr>
        <w:t xml:space="preserve"> adaptation behavior. Our results establish </w:t>
      </w:r>
      <w:proofErr w:type="spellStart"/>
      <w:r w:rsidR="00627AD8" w:rsidRPr="00627AD8">
        <w:rPr>
          <w:kern w:val="2"/>
        </w:rPr>
        <w:t>TLoRA</w:t>
      </w:r>
      <w:proofErr w:type="spellEnd"/>
      <w:r w:rsidR="00627AD8" w:rsidRPr="00627AD8">
        <w:rPr>
          <w:kern w:val="2"/>
        </w:rPr>
        <w:t xml:space="preserve"> as a highly efficient and effective fine-tuning method for LLMs, offering a significant step forward in resource-efficient model adaptation.</w:t>
      </w:r>
    </w:p>
    <w:p w14:paraId="0DE17A8A" w14:textId="77777777" w:rsidR="00682D14" w:rsidRDefault="00682D14" w:rsidP="00682D14">
      <w:pPr>
        <w:spacing w:before="120" w:line="220" w:lineRule="auto"/>
        <w:jc w:val="both"/>
        <w:rPr>
          <w:kern w:val="2"/>
        </w:rPr>
      </w:pPr>
    </w:p>
    <w:p w14:paraId="1E26C18C" w14:textId="77777777" w:rsidR="00682D14" w:rsidRDefault="00682D14" w:rsidP="00682D14">
      <w:pPr>
        <w:pStyle w:val="ListParagraph"/>
        <w:numPr>
          <w:ilvl w:val="0"/>
          <w:numId w:val="2"/>
        </w:numPr>
        <w:spacing w:before="240" w:after="120"/>
        <w:textAlignment w:val="auto"/>
        <w:rPr>
          <w:b/>
          <w:bCs/>
          <w:kern w:val="2"/>
          <w:sz w:val="24"/>
          <w:szCs w:val="24"/>
        </w:rPr>
      </w:pPr>
      <w:r>
        <w:rPr>
          <w:b/>
          <w:bCs/>
          <w:kern w:val="2"/>
          <w:sz w:val="24"/>
          <w:szCs w:val="24"/>
        </w:rPr>
        <w:t>Introduction</w:t>
      </w:r>
    </w:p>
    <w:p w14:paraId="4FDBE14A" w14:textId="3ABFFBD9" w:rsidR="00682D14" w:rsidRDefault="00682D14" w:rsidP="00682D14">
      <w:pPr>
        <w:jc w:val="both"/>
      </w:pPr>
      <w:r>
        <w:t>Fine-tuning is a critical process in the adaptation of large language models, aiming to tailor the model to perform specific tasks or solve specific problems</w:t>
      </w:r>
      <w:r w:rsidR="003E3931">
        <w:t xml:space="preserve"> </w:t>
      </w:r>
      <w:r w:rsidR="006101B8">
        <w:fldChar w:fldCharType="begin"/>
      </w:r>
      <w:r w:rsidR="00970D7F">
        <w:instrText xml:space="preserve"> ADDIN ZOTERO_ITEM CSL_CITATION {"citationID":"M0ERDQcY","properties":{"formattedCitation":"(Chung et al. 2024; Naveed et al. 2023; Ouyang et al. 2022; Zhang et al. 2023)","plainCitation":"(Chung et al. 2024; Naveed et al. 2023; Ouyang et al. 2022; Zhang et al. 2023)","noteIndex":0},"citationItems":[{"id":30,"uris":["http://zotero.org/users/local/laQS5fZL/items/FXYQBZHW"],"itemData":{"id":30,"type":"article-journal","container-title":"Journal of Machine Learning Research","issue":"70","page":"1–53","title":"Scaling instruction-finetuned language models","volume":"25","author":[{"family":"Chung","given":"Hyung Won"},{"family":"Hou","given":"Le"},{"family":"Longpre","given":"Shayne"},{"family":"Zoph","given":"Barret"},{"family":"Tay","given":"Yi"},{"family":"Fedus","given":"William"},{"family":"Li","given":"Yunxuan"},{"family":"Wang","given":"Xuezhi"},{"family":"Dehghani","given":"Mostafa"},{"family":"Brahma","given":"Siddhartha"},{"literal":"others"}],"issued":{"date-parts":[["2024"]]}}},{"id":32,"uris":["http://zotero.org/users/local/laQS5fZL/items/RZ3BEXW9"],"itemData":{"id":32,"type":"article-journal","container-title":"arXiv preprint arXiv:2307.06435","title":"A comprehensive overview of large language models","author":[{"family":"Naveed","given":"Humza"},{"family":"Khan","given":"Asad Ullah"},{"family":"Qiu","given":"Shi"},{"family":"Saqib","given":"Muhammad"},{"family":"Anwar","given":"Saeed"},{"family":"Usman","given":"Muhammad"},{"family":"Akhtar","given":"Naveed"},{"family":"Barnes","given":"Nick"},{"family":"Mian","given":"Ajmal"}],"issued":{"date-parts":[["2023"]]}}},{"id":35,"uris":["http://zotero.org/users/local/laQS5fZL/items/33HDETYN"],"itemData":{"id":35,"type":"article-journal","container-title":"Advances in neural information processing systems","page":"27730–27744","title":"Training language models to follow instructions with human feedback","volume":"35","author":[{"family":"Ouyang","given":"Long"},{"family":"Wu","given":"Jeffrey"},{"family":"Jiang","given":"Xu"},{"family":"Almeida","given":"Diogo"},{"family":"Wainwright","given":"Carroll"},{"family":"Mishkin","given":"Pamela"},{"family":"Zhang","given":"Chong"},{"family":"Agarwal","given":"Sandhini"},{"family":"Slama","given":"Katarina"},{"family":"Ray","given":"Alex"},{"literal":"others"}],"issued":{"date-parts":[["2022"]]}}},{"id":27,"uris":["http://zotero.org/users/local/laQS5fZL/items/6QVEUQGV"],"itemData":{"id":27,"type":"article-journal","container-title":"arXiv preprint arXiv:2308.10792","title":"Instruction tuning for large language models: A survey","author":[{"family":"Zhang","given":"Shengyu"},{"family":"Dong","given":"Linfeng"},{"family":"Li","given":"Xiaoya"},{"family":"Zhang","given":"Sen"},{"family":"Sun","given":"Xiaofei"},{"family":"Wang","given":"Shuhe"},{"family":"Li","given":"Jiwei"},{"family":"Hu","given":"Runyi"},{"family":"Zhang","given":"Tianwei"},{"family":"Wu","given":"Fei"},{"literal":"others"}],"issued":{"date-parts":[["2023"]]}}}],"schema":"https://github.com/citation-style-language/schema/raw/master/csl-citation.json"} </w:instrText>
      </w:r>
      <w:r w:rsidR="006101B8">
        <w:fldChar w:fldCharType="separate"/>
      </w:r>
      <w:r w:rsidR="00970D7F">
        <w:rPr>
          <w:rFonts w:eastAsiaTheme="minorHAnsi"/>
          <w:szCs w:val="24"/>
          <w14:ligatures w14:val="standardContextual"/>
        </w:rPr>
        <w:t>(Chung et al. 2024; Naveed et al. 2023; Ouyang et al. 2022; Zhang et al. 2023)</w:t>
      </w:r>
      <w:r w:rsidR="006101B8">
        <w:fldChar w:fldCharType="end"/>
      </w:r>
      <w:r>
        <w:t>. The technique involves adjusting the pre-trained model's weights by exposing it to task-specific data, thereby refining its understanding and responses based on the given context. This method leverages the foundational knowledge encoded within the model while introducing new patterns and nuances pertinent to the targeted problem statement.</w:t>
      </w:r>
      <w:r w:rsidR="00E83B70">
        <w:t xml:space="preserve"> </w:t>
      </w:r>
      <w:r w:rsidR="00E83B70" w:rsidRPr="00E83B70">
        <w:t>Foundational models, such as GPT</w:t>
      </w:r>
      <w:r w:rsidR="0015599D">
        <w:t xml:space="preserve"> </w:t>
      </w:r>
      <w:r w:rsidR="0015599D">
        <w:fldChar w:fldCharType="begin"/>
      </w:r>
      <w:r w:rsidR="0015599D">
        <w:instrText xml:space="preserve"> ADDIN ZOTERO_ITEM CSL_CITATION {"citationID":"Y9I74Zzk","properties":{"formattedCitation":"(Brown 2020)","plainCitation":"(Brown 2020)","noteIndex":0},"citationItems":[{"id":43,"uris":["http://zotero.org/users/local/laQS5fZL/items/M63V39LM"],"itemData":{"id":43,"type":"article-journal","container-title":"arXiv preprint arXiv:2005.14165","title":"Language models are few-shot learners","author":[{"family":"Brown","given":"Tom B"}],"issued":{"date-parts":[["2020"]]}}}],"schema":"https://github.com/citation-style-language/schema/raw/master/csl-citation.json"} </w:instrText>
      </w:r>
      <w:r w:rsidR="0015599D">
        <w:fldChar w:fldCharType="separate"/>
      </w:r>
      <w:r w:rsidR="0015599D">
        <w:rPr>
          <w:noProof/>
        </w:rPr>
        <w:t>(Brown 2020)</w:t>
      </w:r>
      <w:r w:rsidR="0015599D">
        <w:fldChar w:fldCharType="end"/>
      </w:r>
      <w:r w:rsidR="00E83B70" w:rsidRPr="00E83B70">
        <w:t>, BERT</w:t>
      </w:r>
      <w:r w:rsidR="0015599D">
        <w:t xml:space="preserve"> </w:t>
      </w:r>
      <w:r w:rsidR="00615962">
        <w:fldChar w:fldCharType="begin"/>
      </w:r>
      <w:r w:rsidR="00615962">
        <w:instrText xml:space="preserve"> ADDIN ZOTERO_ITEM CSL_CITATION {"citationID":"2OaKgeG8","properties":{"formattedCitation":"(Kenton and Toutanova 2019)","plainCitation":"(Kenton and Toutanova 2019)","noteIndex":0},"citationItems":[{"id":46,"uris":["http://zotero.org/users/local/laQS5fZL/items/6MJLZIL8"],"itemData":{"id":46,"type":"paper-conference","container-title":"Proceedings of naacL-HLT","page":"2","publisher":"Minneapolis, Minnesota","title":"Bert: Pre-training of deep bidirectional transformers for language understanding","volume":"1","author":[{"family":"Kenton","given":"Jacob Devlin Ming-Wei Chang"},{"family":"Toutanova","given":"Lee Kristina"}],"issued":{"date-parts":[["2019"]]}}}],"schema":"https://github.com/citation-style-language/schema/raw/master/csl-citation.json"} </w:instrText>
      </w:r>
      <w:r w:rsidR="00615962">
        <w:fldChar w:fldCharType="separate"/>
      </w:r>
      <w:r w:rsidR="00615962">
        <w:rPr>
          <w:noProof/>
        </w:rPr>
        <w:t>(Kenton and Toutanova 2019)</w:t>
      </w:r>
      <w:r w:rsidR="00615962">
        <w:fldChar w:fldCharType="end"/>
      </w:r>
      <w:r w:rsidR="00E83B70" w:rsidRPr="00E83B70">
        <w:t xml:space="preserve">, </w:t>
      </w:r>
      <w:r w:rsidR="0015599D">
        <w:t xml:space="preserve">Llama </w:t>
      </w:r>
      <w:r w:rsidR="0015599D">
        <w:fldChar w:fldCharType="begin"/>
      </w:r>
      <w:r w:rsidR="0015599D">
        <w:instrText xml:space="preserve"> ADDIN ZOTERO_ITEM CSL_CITATION {"citationID":"lbG406Dj","properties":{"formattedCitation":"(Touvron et al. 2023a)","plainCitation":"(Touvron et al. 2023a)","noteIndex":0},"citationItems":[{"id":45,"uris":["http://zotero.org/users/local/laQS5fZL/items/J84EBFRD"],"itemData":{"id":45,"type":"article-journal","container-title":"arXiv preprint arXiv:2302.13971","title":"Llama: Open and efficient foundation language models","author":[{"family":"Touvron","given":"Hugo"},{"family":"Lavril","given":"Thibaut"},{"family":"Izacard","given":"Gautier"},{"family":"Martinet","given":"Xavier"},{"family":"Lachaux","given":"Marie-Anne"},{"family":"Lacroix","given":"Timothée"},{"family":"Rozière","given":"Baptiste"},{"family":"Goyal","given":"Naman"},{"family":"Hambro","given":"Eric"},{"family":"Azhar","given":"Faisal"},{"literal":"others"}],"issued":{"date-parts":[["2023"]]}}}],"schema":"https://github.com/citation-style-language/schema/raw/master/csl-citation.json"} </w:instrText>
      </w:r>
      <w:r w:rsidR="0015599D">
        <w:fldChar w:fldCharType="separate"/>
      </w:r>
      <w:r w:rsidR="0015599D">
        <w:rPr>
          <w:noProof/>
        </w:rPr>
        <w:t>(Touvron et al. 2023a)</w:t>
      </w:r>
      <w:r w:rsidR="0015599D">
        <w:fldChar w:fldCharType="end"/>
      </w:r>
      <w:r w:rsidR="0015599D">
        <w:t xml:space="preserve">, </w:t>
      </w:r>
      <w:r w:rsidR="00E83B70" w:rsidRPr="00E83B70">
        <w:t xml:space="preserve">and </w:t>
      </w:r>
      <w:proofErr w:type="spellStart"/>
      <w:r w:rsidR="00E83B70" w:rsidRPr="00E83B70">
        <w:t>RoBERTa</w:t>
      </w:r>
      <w:proofErr w:type="spellEnd"/>
      <w:r w:rsidR="00E83B70">
        <w:t xml:space="preserve"> </w:t>
      </w:r>
      <w:r w:rsidR="0015599D">
        <w:fldChar w:fldCharType="begin"/>
      </w:r>
      <w:r w:rsidR="00482EAA">
        <w:instrText xml:space="preserve"> ADDIN ZOTERO_ITEM CSL_CITATION {"citationID":"fQeFH4EV","properties":{"formattedCitation":"(Y. Liu 2019)","plainCitation":"(Y. Liu 2019)","noteIndex":0},"citationItems":[{"id":44,"uris":["http://zotero.org/users/local/laQS5fZL/items/J89R5E7K"],"itemData":{"id":44,"type":"article-journal","container-title":"arXiv preprint arXiv:1907.11692","title":"Roberta: A robustly optimized bert pretraining approach","volume":"364","author":[{"family":"Liu","given":"Yinhan"}],"issued":{"date-parts":[["2019"]]}}}],"schema":"https://github.com/citation-style-language/schema/raw/master/csl-citation.json"} </w:instrText>
      </w:r>
      <w:r w:rsidR="0015599D">
        <w:fldChar w:fldCharType="separate"/>
      </w:r>
      <w:r w:rsidR="00482EAA">
        <w:rPr>
          <w:noProof/>
        </w:rPr>
        <w:t>(Y. Liu 2019)</w:t>
      </w:r>
      <w:r w:rsidR="0015599D">
        <w:fldChar w:fldCharType="end"/>
      </w:r>
      <w:r w:rsidR="00E83B70" w:rsidRPr="00E83B70">
        <w:t>, have been pre-trained on vast corpora and capture a rich representation of language, including syntax, semantics, and general world knowledge. These models act as a robust starting point, offering a versatile understanding of language that can be fine-tuned for various downstream tasks, including natural language understanding and generation.</w:t>
      </w:r>
    </w:p>
    <w:p w14:paraId="415EAE06" w14:textId="77777777" w:rsidR="00682D14" w:rsidRDefault="00682D14" w:rsidP="00682D14">
      <w:pPr>
        <w:jc w:val="both"/>
      </w:pPr>
    </w:p>
    <w:p w14:paraId="6846E35C" w14:textId="6E5E30A0" w:rsidR="00682D14" w:rsidRDefault="00482EAA" w:rsidP="00682D14">
      <w:pPr>
        <w:jc w:val="both"/>
      </w:pPr>
      <w:r w:rsidRPr="00482EAA">
        <w:t>In recent years, there has been significant interest among practitioners and researchers in exploring various fine-tuning methods for large language models (LLMs)</w:t>
      </w:r>
      <w:r>
        <w:t xml:space="preserve"> </w:t>
      </w:r>
      <w:r w:rsidR="00082D3E">
        <w:fldChar w:fldCharType="begin"/>
      </w:r>
      <w:r w:rsidR="00970D7F">
        <w:instrText xml:space="preserve"> ADDIN ZOTERO_ITEM CSL_CITATION {"citationID":"t9TzHNVy","properties":{"formattedCitation":"(Naveed et al. 2023; Wei et al. 2023)","plainCitation":"(Naveed et al. 2023; Wei et al. 2023)","noteIndex":0},"citationItems":[{"id":32,"uris":["http://zotero.org/users/local/laQS5fZL/items/RZ3BEXW9"],"itemData":{"id":32,"type":"article-journal","container-title":"arXiv preprint arXiv:2307.06435","title":"A comprehensive overview of large language models","author":[{"family":"Naveed","given":"Humza"},{"family":"Khan","given":"Asad Ullah"},{"family":"Qiu","given":"Shi"},{"family":"Saqib","given":"Muhammad"},{"family":"Anwar","given":"Saeed"},{"family":"Usman","given":"Muhammad"},{"family":"Akhtar","given":"Naveed"},{"family":"Barnes","given":"Nick"},{"family":"Mian","given":"Ajmal"}],"issued":{"date-parts":[["2023"]]}}},{"id":29,"uris":["http://zotero.org/users/local/laQS5fZL/items/4NEAPWKP"],"itemData":{"id":29,"type":"paper-conference","container-title":"2023 IEEE International Conference on Big Data (BigData)","page":"2786–2792","publisher":"IEEE","title":"Empirical study of LLM fine-tuning for text classification in legal document review","author":[{"family":"Wei","given":"Fusheng"},{"family":"Keeling","given":"Robert"},{"family":"Huber-Fliflet","given":"Nathaniel"},{"family":"Zhang","given":"Jianping"},{"family":"Dabrowski","given":"Adam"},{"family":"Yang","given":"Jingchao"},{"family":"Mao","given":"Qiang"},{"family":"Qin","given":"Han"}],"issued":{"date-parts":[["2023"]]}}}],"schema":"https://github.com/citation-style-language/schema/raw/master/csl-citation.json"} </w:instrText>
      </w:r>
      <w:r w:rsidR="00082D3E">
        <w:fldChar w:fldCharType="separate"/>
      </w:r>
      <w:r w:rsidR="00970D7F">
        <w:rPr>
          <w:rFonts w:eastAsiaTheme="minorHAnsi"/>
          <w:szCs w:val="24"/>
          <w14:ligatures w14:val="standardContextual"/>
        </w:rPr>
        <w:t>(Naveed et al. 2023; Wei et al. 2023)</w:t>
      </w:r>
      <w:r w:rsidR="00082D3E">
        <w:fldChar w:fldCharType="end"/>
      </w:r>
      <w:r w:rsidR="00682D14">
        <w:t>. One common approach is full fine-tuning, which involves continued training of the model to specialize it for a specific task, such as sentiment analysis</w:t>
      </w:r>
      <w:r w:rsidR="00082D3E">
        <w:t xml:space="preserve"> </w:t>
      </w:r>
      <w:r w:rsidR="00082D3E">
        <w:fldChar w:fldCharType="begin"/>
      </w:r>
      <w:r w:rsidR="00970D7F">
        <w:instrText xml:space="preserve"> ADDIN ZOTERO_ITEM CSL_CITATION {"citationID":"WFz2Mf7Q","properties":{"formattedCitation":"(Prottasha et al. 2022)","plainCitation":"(Prottasha et al. 2022)","noteIndex":0},"citationItems":[{"id":33,"uris":["http://zotero.org/users/local/laQS5fZL/items/7684PCVN"],"itemData":{"id":33,"type":"article-journal","container-title":"Sensors","issue":"11","note":"publisher: MDPI","page":"4157","title":"Transfer learning for sentiment analysis using BERT based supervised fine-tuning","volume":"22","author":[{"family":"Prottasha","given":"Nusrat Jahan"},{"family":"Sami","given":"Abdullah As"},{"family":"Kowsher","given":"Md"},{"family":"Murad","given":"Saydul Akbar"},{"family":"Bairagi","given":"Anupam Kumar"},{"family":"Masud","given":"Mehedi"},{"family":"Baz","given":"Mohammed"}],"issued":{"date-parts":[["2022"]]}}}],"schema":"https://github.com/citation-style-language/schema/raw/master/csl-citation.json"} </w:instrText>
      </w:r>
      <w:r w:rsidR="00082D3E">
        <w:fldChar w:fldCharType="separate"/>
      </w:r>
      <w:r w:rsidR="00970D7F">
        <w:rPr>
          <w:rFonts w:eastAsiaTheme="minorHAnsi"/>
          <w:szCs w:val="24"/>
          <w14:ligatures w14:val="standardContextual"/>
        </w:rPr>
        <w:t>(Prottasha et al. 2022)</w:t>
      </w:r>
      <w:r w:rsidR="00082D3E">
        <w:fldChar w:fldCharType="end"/>
      </w:r>
      <w:r w:rsidR="00682D14">
        <w:t xml:space="preserve"> or question answering</w:t>
      </w:r>
      <w:r w:rsidR="00082D3E">
        <w:t xml:space="preserve"> </w:t>
      </w:r>
      <w:r w:rsidR="00082D3E">
        <w:fldChar w:fldCharType="begin"/>
      </w:r>
      <w:r w:rsidR="00970D7F">
        <w:instrText xml:space="preserve"> ADDIN ZOTERO_ITEM CSL_CITATION {"citationID":"Tnpd6bkm","properties":{"formattedCitation":"(Luo et al. 2023)","plainCitation":"(Luo et al. 2023)","noteIndex":0},"citationItems":[{"id":34,"uris":["http://zotero.org/users/local/laQS5fZL/items/PPCF5WYX"],"itemData":{"id":34,"type":"article-journal","container-title":"arXiv preprint arXiv:2310.08975","title":"Chatkbqa: A generate-then-retrieve framework for knowledge base question answering with fine-tuned large language models","author":[{"family":"Luo","given":"Haoran"},{"family":"Tang","given":"Zichen"},{"family":"Peng","given":"Shiyao"},{"family":"Guo","given":"Yikai"},{"family":"Zhang","given":"Wentai"},{"family":"Ma","given":"Chenghao"},{"family":"Dong","given":"Guanting"},{"family":"Song","given":"Meina"},{"family":"Lin","given":"Wei"},{"family":"Zhu","given":"Yifan"},{"literal":"others"}],"issued":{"date-parts":[["2023"]]}}}],"schema":"https://github.com/citation-style-language/schema/raw/master/csl-citation.json"} </w:instrText>
      </w:r>
      <w:r w:rsidR="00082D3E">
        <w:fldChar w:fldCharType="separate"/>
      </w:r>
      <w:r w:rsidR="00970D7F">
        <w:rPr>
          <w:rFonts w:eastAsiaTheme="minorHAnsi"/>
          <w:szCs w:val="24"/>
          <w14:ligatures w14:val="standardContextual"/>
        </w:rPr>
        <w:t>(Luo et al. 2023)</w:t>
      </w:r>
      <w:r w:rsidR="00082D3E">
        <w:fldChar w:fldCharType="end"/>
      </w:r>
      <w:r w:rsidR="00682D14">
        <w:t xml:space="preserve">, by using task-specific data. </w:t>
      </w:r>
      <w:r w:rsidR="0084496A" w:rsidRPr="0084496A">
        <w:t>This method, while effective, can be computationally intensive for LLMs</w:t>
      </w:r>
      <w:r w:rsidR="00682D14">
        <w:t xml:space="preserve">. </w:t>
      </w:r>
      <w:r w:rsidR="003D6640">
        <w:t xml:space="preserve">On the contrary, </w:t>
      </w:r>
      <w:r w:rsidR="00682D14">
        <w:t>Parameter-Efficient Fine-Tuning (PEFT) presents a</w:t>
      </w:r>
      <w:r w:rsidR="003D6640">
        <w:t>n alternative</w:t>
      </w:r>
      <w:r w:rsidR="00682D14">
        <w:t xml:space="preserve"> cost-effective solution. </w:t>
      </w:r>
      <w:r>
        <w:t xml:space="preserve">In fact, PEFT method is found to be better than in-context learning </w:t>
      </w:r>
      <w:r>
        <w:fldChar w:fldCharType="begin"/>
      </w:r>
      <w:r>
        <w:instrText xml:space="preserve"> ADDIN ZOTERO_ITEM CSL_CITATION {"citationID":"aD2OTxV9","properties":{"formattedCitation":"(H. Liu et al. 2022)","plainCitation":"(H. Liu et al. 2022)","noteIndex":0},"citationItems":[{"id":47,"uris":["http://zotero.org/users/local/laQS5fZL/items/J4S7NQLW"],"itemData":{"id":47,"type":"article-journal","container-title":"Advances in Neural Information Processing Systems","page":"1950–1965","title":"Few-shot parameter-efficient fine-tuning is better and cheaper than in-context learning","volume":"35","author":[{"family":"Liu","given":"Haokun"},{"family":"Tam","given":"Derek"},{"family":"Muqeeth","given":"Mohammed"},{"family":"Mohta","given":"Jay"},{"family":"Huang","given":"Tenghao"},{"family":"Bansal","given":"Mohit"},{"family":"Raffel","given":"Colin A"}],"issued":{"date-parts":[["2022"]]}}}],"schema":"https://github.com/citation-style-language/schema/raw/master/csl-citation.json"} </w:instrText>
      </w:r>
      <w:r>
        <w:fldChar w:fldCharType="separate"/>
      </w:r>
      <w:r>
        <w:rPr>
          <w:noProof/>
        </w:rPr>
        <w:t>(H. Liu et al. 2022)</w:t>
      </w:r>
      <w:r>
        <w:fldChar w:fldCharType="end"/>
      </w:r>
      <w:r>
        <w:t xml:space="preserve">. </w:t>
      </w:r>
      <w:r w:rsidR="00682D14">
        <w:t xml:space="preserve">In </w:t>
      </w:r>
      <w:r>
        <w:t xml:space="preserve">the </w:t>
      </w:r>
      <w:r w:rsidR="00682D14">
        <w:t xml:space="preserve">PEFT, instead of updating all the model parameters, </w:t>
      </w:r>
      <w:r w:rsidR="00682D14">
        <w:lastRenderedPageBreak/>
        <w:t>only a subset or additive parameters is adjusted. This selective fine-tuning reduces the computational overhead while still achieving high performance, making it an attractive option for resource and time-constrained environments.</w:t>
      </w:r>
    </w:p>
    <w:p w14:paraId="028D2FB2" w14:textId="77777777" w:rsidR="00682D14" w:rsidRDefault="00682D14" w:rsidP="00682D14">
      <w:pPr>
        <w:pStyle w:val="Standard"/>
        <w:jc w:val="both"/>
      </w:pPr>
    </w:p>
    <w:p w14:paraId="7D6B6905" w14:textId="44696B35" w:rsidR="00682D14" w:rsidRDefault="00682D14" w:rsidP="00682D14">
      <w:pPr>
        <w:pStyle w:val="Standard"/>
        <w:jc w:val="both"/>
      </w:pPr>
      <w:r>
        <w:t>Parameter-Efficient Fine-Tuning (PEFT) methods offer innovative approaches to adapt large pre-trained models with minimal computational overhead, crucial for resource-constrained environments</w:t>
      </w:r>
      <w:r w:rsidR="00EC0785">
        <w:t xml:space="preserve"> </w:t>
      </w:r>
      <w:r w:rsidR="00EC0785">
        <w:fldChar w:fldCharType="begin"/>
      </w:r>
      <w:r w:rsidR="00E76E43">
        <w:instrText xml:space="preserve"> ADDIN ZOTERO_ITEM CSL_CITATION {"citationID":"6c03iUGz","properties":{"formattedCitation":"(Ding et al. 2023; Han et al. 2024; Xu et al. 2023)","plainCitation":"(Ding et al. 2023; Han et al. 2024; Xu et al. 2023)","noteIndex":0},"citationItems":[{"id":26,"uris":["http://zotero.org/users/local/laQS5fZL/items/W4UG6Y6K"],"itemData":{"id":26,"type":"article-journal","container-title":"Nature Machine Intelligence","issue":"3","note":"publisher: Nature Publishing Group UK London","page":"220–235","title":"Parameter-efficient fine-tuning of large-scale pre-trained language models","volume":"5","author":[{"family":"Ding","given":"Ning"},{"family":"Qin","given":"Yujia"},{"family":"Yang","given":"Guang"},{"family":"Wei","given":"Fuchao"},{"family":"Yang","given":"Zonghan"},{"family":"Su","given":"Yusheng"},{"family":"Hu","given":"Shengding"},{"family":"Chen","given":"Yulin"},{"family":"Chan","given":"Chi-Min"},{"family":"Chen","given":"Weize"},{"literal":"others"}],"issued":{"date-parts":[["2023"]]}}},{"id":28,"uris":["http://zotero.org/users/local/laQS5fZL/items/2MTZPI77"],"itemData":{"id":28,"type":"article-journal","container-title":"arXiv preprint arXiv:2403.14608","title":"Parameter-efficient fine-tuning for large models: A comprehensive survey","author":[{"family":"Han","given":"Zeyu"},{"family":"Gao","given":"Chao"},{"family":"Liu","given":"Jinyang"},{"family":"Zhang","given":"Jeff"},{"family":"Zhang","given":"Sai Qian"}],"issued":{"date-parts":[["2024"]]}}},{"id":48,"uris":["http://zotero.org/users/local/laQS5fZL/items/REYWUPWL"],"itemData":{"id":48,"type":"article-journal","container-title":"arXiv preprint arXiv:2312.12148","title":"Parameter-efficient fine-tuning methods for pretrained language models: A critical review and assessment","author":[{"family":"Xu","given":"Lingling"},{"family":"Xie","given":"Haoran"},{"family":"Qin","given":"Si-Zhao Joe"},{"family":"Tao","given":"Xiaohui"},{"family":"Wang","given":"Fu Lee"}],"issued":{"date-parts":[["2023"]]}}}],"schema":"https://github.com/citation-style-language/schema/raw/master/csl-citation.json"} </w:instrText>
      </w:r>
      <w:r w:rsidR="00EC0785">
        <w:fldChar w:fldCharType="separate"/>
      </w:r>
      <w:r w:rsidR="00E76E43">
        <w:rPr>
          <w:rFonts w:eastAsiaTheme="minorHAnsi"/>
          <w:szCs w:val="24"/>
          <w14:ligatures w14:val="standardContextual"/>
        </w:rPr>
        <w:t>(Ding et al. 2023; Han et al. 2024; Xu et al. 2023)</w:t>
      </w:r>
      <w:r w:rsidR="00EC0785">
        <w:fldChar w:fldCharType="end"/>
      </w:r>
      <w:r>
        <w:t xml:space="preserve">. </w:t>
      </w:r>
      <w:r w:rsidR="00955560" w:rsidRPr="00955560">
        <w:t>PEFT methods can be taxonomically divided into three primary paradigms: additive, selective, and re-parameterized</w:t>
      </w:r>
      <w:r>
        <w:t>. Additive methods, such as Adapter Layers and Prompt Tuning, introduce additional trainable parameters into the model without modifying the original model's structure</w:t>
      </w:r>
      <w:r w:rsidR="00B65C95">
        <w:t xml:space="preserve"> </w:t>
      </w:r>
      <w:r w:rsidR="00B65C95">
        <w:fldChar w:fldCharType="begin"/>
      </w:r>
      <w:r w:rsidR="00B55B9A">
        <w:instrText xml:space="preserve"> ADDIN ZOTERO_ITEM CSL_CITATION {"citationID":"bEacaWwB","properties":{"formattedCitation":"(X. Wang, Aitchison, and Rudolph 2023)","plainCitation":"(X. Wang, Aitchison, and Rudolph 2023)","noteIndex":0},"citationItems":[{"id":38,"uris":["http://zotero.org/users/local/laQS5fZL/items/VU73SLWZ"],"itemData":{"id":38,"type":"article-journal","container-title":"arXiv preprint arXiv:2310.00035","title":"LoRA ensembles for large language model fine-tuning","author":[{"family":"Wang","given":"Xi"},{"family":"Aitchison","given":"Laurence"},{"family":"Rudolph","given":"Maja"}],"issued":{"date-parts":[["2023"]]}}}],"schema":"https://github.com/citation-style-language/schema/raw/master/csl-citation.json"} </w:instrText>
      </w:r>
      <w:r w:rsidR="00B65C95">
        <w:fldChar w:fldCharType="separate"/>
      </w:r>
      <w:r w:rsidR="00B55B9A">
        <w:rPr>
          <w:rFonts w:eastAsiaTheme="minorHAnsi"/>
          <w:szCs w:val="24"/>
          <w14:ligatures w14:val="standardContextual"/>
        </w:rPr>
        <w:t>(X. Wang, Aitchison, and Rudolph 2023)</w:t>
      </w:r>
      <w:r w:rsidR="00B65C95">
        <w:fldChar w:fldCharType="end"/>
      </w:r>
      <w:r>
        <w:t xml:space="preserve">. These methods aim to efficiently learn task-specific information by appending new components that capture task nuances while preserving the base model. </w:t>
      </w:r>
      <w:bookmarkStart w:id="0" w:name="_Hlk184551451"/>
      <w:r>
        <w:t>Selective</w:t>
      </w:r>
      <w:bookmarkEnd w:id="0"/>
      <w:r>
        <w:t xml:space="preserve"> methods, on the other hand, focus on optimizing a targeted subset of the model’s existing parameters</w:t>
      </w:r>
      <w:r w:rsidR="0094398C">
        <w:t xml:space="preserve"> </w:t>
      </w:r>
      <w:r w:rsidR="0094398C">
        <w:fldChar w:fldCharType="begin"/>
      </w:r>
      <w:r w:rsidR="0094398C">
        <w:instrText xml:space="preserve"> ADDIN ZOTERO_ITEM CSL_CITATION {"citationID":"9SgBdZjY","properties":{"formattedCitation":"(Han et al. 2024)","plainCitation":"(Han et al. 2024)","noteIndex":0},"citationItems":[{"id":28,"uris":["http://zotero.org/users/local/laQS5fZL/items/2MTZPI77"],"itemData":{"id":28,"type":"article-journal","container-title":"arXiv preprint arXiv:2403.14608","title":"Parameter-efficient fine-tuning for large models: A comprehensive survey","author":[{"family":"Han","given":"Zeyu"},{"family":"Gao","given":"Chao"},{"family":"Liu","given":"Jinyang"},{"family":"Zhang","given":"Jeff"},{"family":"Zhang","given":"Sai Qian"}],"issued":{"date-parts":[["2024"]]}}}],"schema":"https://github.com/citation-style-language/schema/raw/master/csl-citation.json"} </w:instrText>
      </w:r>
      <w:r w:rsidR="0094398C">
        <w:fldChar w:fldCharType="separate"/>
      </w:r>
      <w:r w:rsidR="0094398C">
        <w:rPr>
          <w:noProof/>
        </w:rPr>
        <w:t>(Han et al. 2024)</w:t>
      </w:r>
      <w:r w:rsidR="0094398C">
        <w:fldChar w:fldCharType="end"/>
      </w:r>
      <w:r>
        <w:t>. By fine-tuning only selected layers or weights, these methods reduce computational cost while maintaining most of the model's original parameters. Finally, re-parameterized methods</w:t>
      </w:r>
      <w:r w:rsidR="00B06EEB">
        <w:t xml:space="preserve"> </w:t>
      </w:r>
      <w:r w:rsidR="00B06EEB">
        <w:fldChar w:fldCharType="begin"/>
      </w:r>
      <w:r w:rsidR="00B06EEB">
        <w:instrText xml:space="preserve"> ADDIN ZOTERO_ITEM CSL_CITATION {"citationID":"7N1YeyVR","properties":{"formattedCitation":"(Chen et al. 2024)","plainCitation":"(Chen et al. 2024)","noteIndex":0},"citationItems":[{"id":49,"uris":["http://zotero.org/users/local/laQS5fZL/items/MYMAB832"],"itemData":{"id":49,"type":"paper-conference","container-title":"CCF International Conference on Natural Language Processing and Chinese Computing","page":"107–118","publisher":"Springer","title":"Reparameterization-Based Parameter-Efficient Fine-Tuning Methods for Large Language Models: A Systematic Survey","author":[{"family":"Chen","given":"Zezhou"},{"family":"Liu","given":"Zhaoxiang"},{"family":"Wang","given":"Kai"},{"family":"Lian","given":"Shiguo"}],"issued":{"date-parts":[["2024"]]}}}],"schema":"https://github.com/citation-style-language/schema/raw/master/csl-citation.json"} </w:instrText>
      </w:r>
      <w:r w:rsidR="00B06EEB">
        <w:fldChar w:fldCharType="separate"/>
      </w:r>
      <w:r w:rsidR="00B06EEB">
        <w:rPr>
          <w:noProof/>
        </w:rPr>
        <w:t>(Chen et al. 2024)</w:t>
      </w:r>
      <w:r w:rsidR="00B06EEB">
        <w:fldChar w:fldCharType="end"/>
      </w:r>
      <w:r>
        <w:t xml:space="preserve"> involve restructuring or transforming certain layers or components of the model in a way that changes how parameters are represented and optimized. This approach enables more efficient adaptation by embedding task-relevant information directly into modified parameterizations, often leading to better performance for domain-specific applications while keeping the number of trainable parameters low. Together, these three approaches offer a spectrum of strategies for fine-tuning large models with minimal resource demands, each balancing model performance and computational efficiency differently.</w:t>
      </w:r>
    </w:p>
    <w:p w14:paraId="1CA8EF37" w14:textId="77777777" w:rsidR="00682D14" w:rsidRDefault="00682D14" w:rsidP="00682D14">
      <w:pPr>
        <w:pStyle w:val="Standard"/>
        <w:jc w:val="both"/>
      </w:pPr>
    </w:p>
    <w:p w14:paraId="17EDC7E8" w14:textId="37FF6730" w:rsidR="00682D14" w:rsidRDefault="00682D14" w:rsidP="00682D14">
      <w:pPr>
        <w:jc w:val="both"/>
      </w:pPr>
      <w:r>
        <w:t xml:space="preserve">Low-Rank Adaptation, or </w:t>
      </w:r>
      <w:proofErr w:type="spellStart"/>
      <w:r>
        <w:t>LoRA</w:t>
      </w:r>
      <w:proofErr w:type="spellEnd"/>
      <w:r>
        <w:t xml:space="preserve"> is one such method that has significantly advanced the field of Parameter-Efficient Fine-Tuning</w:t>
      </w:r>
      <w:r w:rsidR="00095E96">
        <w:t xml:space="preserve"> </w:t>
      </w:r>
      <w:r w:rsidR="00095E96">
        <w:fldChar w:fldCharType="begin"/>
      </w:r>
      <w:r w:rsidR="00970D7F">
        <w:instrText xml:space="preserve"> ADDIN ZOTERO_ITEM CSL_CITATION {"citationID":"NUsDFyj6","properties":{"formattedCitation":"(Hu et al. 2021)","plainCitation":"(Hu et al. 2021)","noteIndex":0},"citationItems":[{"id":37,"uris":["http://zotero.org/users/local/laQS5fZL/items/FM3STULA"],"itemData":{"id":37,"type":"article-journal","container-title":"arXiv preprint arXiv:2106.09685","title":"Lora: Low-rank adaptation of large language models","author":[{"family":"Hu","given":"Edward J"},{"family":"Shen","given":"Yelong"},{"family":"Wallis","given":"Phillip"},{"family":"Allen-Zhu","given":"Zeyuan"},{"family":"Li","given":"Yuanzhi"},{"family":"Wang","given":"Shean"},{"family":"Wang","given":"Lu"},{"family":"Chen","given":"Weizhu"}],"issued":{"date-parts":[["2021"]]}}}],"schema":"https://github.com/citation-style-language/schema/raw/master/csl-citation.json"} </w:instrText>
      </w:r>
      <w:r w:rsidR="00095E96">
        <w:fldChar w:fldCharType="separate"/>
      </w:r>
      <w:r w:rsidR="00970D7F">
        <w:rPr>
          <w:rFonts w:eastAsiaTheme="minorHAnsi"/>
          <w:szCs w:val="24"/>
          <w14:ligatures w14:val="standardContextual"/>
        </w:rPr>
        <w:t>(Hu et al. 2021)</w:t>
      </w:r>
      <w:r w:rsidR="00095E96">
        <w:fldChar w:fldCharType="end"/>
      </w:r>
      <w:r>
        <w:t xml:space="preserve">. In </w:t>
      </w:r>
      <w:proofErr w:type="spellStart"/>
      <w:r>
        <w:t>LoRA</w:t>
      </w:r>
      <w:proofErr w:type="spellEnd"/>
      <w:r>
        <w:t xml:space="preserve">, certain layers of the model, typically within dense or attention layers, are re-parameterized by introducing low-rank matrices that effectively reduce the dimensionality of the weight updates needed for fine-tuning. Instead of updating the full set of parameters, </w:t>
      </w:r>
      <w:proofErr w:type="spellStart"/>
      <w:r>
        <w:t>LoRA</w:t>
      </w:r>
      <w:proofErr w:type="spellEnd"/>
      <w:r>
        <w:t xml:space="preserve"> learns a low-rank decomposition of parameter updates, which minimizes the number of trainable parameters while still allowing the model to capture task-specific nuances.</w:t>
      </w:r>
      <w:r w:rsidR="0094398C">
        <w:t xml:space="preserve"> There are also variants of </w:t>
      </w:r>
      <w:proofErr w:type="spellStart"/>
      <w:r w:rsidR="0094398C">
        <w:t>LoRA</w:t>
      </w:r>
      <w:proofErr w:type="spellEnd"/>
      <w:r w:rsidR="0094398C">
        <w:t xml:space="preserve"> reported in the </w:t>
      </w:r>
      <w:r w:rsidR="00E51EAB">
        <w:t xml:space="preserve">literature </w:t>
      </w:r>
      <w:r w:rsidR="00E51EAB">
        <w:fldChar w:fldCharType="begin"/>
      </w:r>
      <w:r w:rsidR="00E51EAB">
        <w:instrText xml:space="preserve"> ADDIN ZOTERO_ITEM CSL_CITATION {"citationID":"zpkKGlSv","properties":{"formattedCitation":"(Lialin et al. 2023; Kopiczko, Blankevoort, and Asano 2023; Li, Han, and Ji 2024)","plainCitation":"(Lialin et al. 2023; Kopiczko, Blankevoort, and Asano 2023; Li, Han, and Ji 2024)","noteIndex":0},"citationItems":[{"id":51,"uris":["http://zotero.org/users/local/laQS5fZL/items/N9D5V949"],"itemData":{"id":51,"type":"paper-conference","container-title":"The Twelfth International Conference on Learning Representations","title":"Relora: High-rank training through low-rank updates","author":[{"family":"Lialin","given":"Vladislav"},{"family":"Muckatira","given":"Sherin"},{"family":"Shivagunde","given":"Namrata"},{"family":"Rumshisky","given":"Anna"}],"issued":{"date-parts":[["2023"]]}}},{"id":50,"uris":["http://zotero.org/users/local/laQS5fZL/items/SMUW6W5U"],"itemData":{"id":50,"type":"article-journal","container-title":"arXiv preprint arXiv:2310.11454","title":"Vera: Vector-based random matrix adaptation","author":[{"family":"Kopiczko","given":"Dawid J"},{"family":"Blankevoort","given":"Tijmen"},{"family":"Asano","given":"Yuki M"}],"issued":{"date-parts":[["2023"]]}}},{"id":52,"uris":["http://zotero.org/users/local/laQS5fZL/items/TCAJ8A3N"],"itemData":{"id":52,"type":"article-journal","container-title":"arXiv preprint arXiv:2405.15179","title":"VB-LoRA: Extreme Parameter Efficient Fine-Tuning with Vector Banks","author":[{"family":"Li","given":"Yang"},{"family":"Han","given":"Shaobo"},{"family":"Ji","given":"Shihao"}],"issued":{"date-parts":[["2024"]]}}}],"schema":"https://github.com/citation-style-language/schema/raw/master/csl-citation.json"} </w:instrText>
      </w:r>
      <w:r w:rsidR="00E51EAB">
        <w:fldChar w:fldCharType="separate"/>
      </w:r>
      <w:r w:rsidR="00E51EAB">
        <w:rPr>
          <w:noProof/>
        </w:rPr>
        <w:t>(Lialin et al. 2023; Kopiczko, Blankevoort, and Asano 2023; Li, Han, and Ji 2024)</w:t>
      </w:r>
      <w:r w:rsidR="00E51EAB">
        <w:fldChar w:fldCharType="end"/>
      </w:r>
      <w:r w:rsidR="00E51EAB">
        <w:t>.</w:t>
      </w:r>
    </w:p>
    <w:p w14:paraId="181AC83B" w14:textId="77777777" w:rsidR="00682D14" w:rsidRDefault="00682D14" w:rsidP="00682D14">
      <w:pPr>
        <w:pStyle w:val="Standard"/>
        <w:jc w:val="both"/>
      </w:pPr>
    </w:p>
    <w:p w14:paraId="568034B5" w14:textId="27A2B0D9" w:rsidR="00682D14" w:rsidRPr="00597F97" w:rsidRDefault="000E380D" w:rsidP="00597F97">
      <w:pPr>
        <w:jc w:val="both"/>
        <w:rPr>
          <w:i/>
          <w:iCs/>
        </w:rPr>
      </w:pPr>
      <w:r w:rsidRPr="000E380D">
        <w:t xml:space="preserve">Inspired by the promising results achieved by </w:t>
      </w:r>
      <w:proofErr w:type="spellStart"/>
      <w:r w:rsidR="00682D14">
        <w:t>LoRA</w:t>
      </w:r>
      <w:proofErr w:type="spellEnd"/>
      <w:r w:rsidR="00331739">
        <w:t xml:space="preserve"> </w:t>
      </w:r>
      <w:r w:rsidR="00331739">
        <w:fldChar w:fldCharType="begin"/>
      </w:r>
      <w:r w:rsidR="00331739">
        <w:instrText xml:space="preserve"> ADDIN ZOTERO_ITEM CSL_CITATION {"citationID":"0QOHE3VG","properties":{"formattedCitation":"(Hu et al. 2021)","plainCitation":"(Hu et al. 2021)","noteIndex":0},"citationItems":[{"id":37,"uris":["http://zotero.org/users/local/laQS5fZL/items/FM3STULA"],"itemData":{"id":37,"type":"article-journal","container-title":"arXiv preprint arXiv:2106.09685","title":"Lora: Low-rank adaptation of large language models","author":[{"family":"Hu","given":"Edward J"},{"family":"Shen","given":"Yelong"},{"family":"Wallis","given":"Phillip"},{"family":"Allen-Zhu","given":"Zeyuan"},{"family":"Li","given":"Yuanzhi"},{"family":"Wang","given":"Shean"},{"family":"Wang","given":"Lu"},{"family":"Chen","given":"Weizhu"}],"issued":{"date-parts":[["2021"]]}}}],"schema":"https://github.com/citation-style-language/schema/raw/master/csl-citation.json"} </w:instrText>
      </w:r>
      <w:r w:rsidR="00331739">
        <w:fldChar w:fldCharType="separate"/>
      </w:r>
      <w:r w:rsidR="00331739">
        <w:rPr>
          <w:noProof/>
        </w:rPr>
        <w:t>(Hu et al. 2021)</w:t>
      </w:r>
      <w:r w:rsidR="00331739">
        <w:fldChar w:fldCharType="end"/>
      </w:r>
      <w:r w:rsidR="00682D14">
        <w:t>, we ask: Can we do even better?</w:t>
      </w:r>
      <w:r w:rsidR="00597F97">
        <w:t xml:space="preserve"> Can </w:t>
      </w:r>
      <w:r w:rsidR="00597F97" w:rsidRPr="00597F97">
        <w:t xml:space="preserve">we </w:t>
      </w:r>
      <w:r w:rsidR="00597F97">
        <w:t xml:space="preserve">further </w:t>
      </w:r>
      <w:r w:rsidR="00597F97" w:rsidRPr="00597F97">
        <w:t>reduce the number of trainable</w:t>
      </w:r>
      <w:r w:rsidR="00597F97" w:rsidRPr="00597F97">
        <w:t xml:space="preserve"> </w:t>
      </w:r>
      <w:r w:rsidR="00597F97" w:rsidRPr="00597F97">
        <w:t xml:space="preserve">parameters </w:t>
      </w:r>
      <w:r w:rsidR="00597F97">
        <w:t>while</w:t>
      </w:r>
      <w:r w:rsidR="00597F97" w:rsidRPr="00597F97">
        <w:t xml:space="preserve"> maintain</w:t>
      </w:r>
      <w:r w:rsidR="00597F97">
        <w:t>ing</w:t>
      </w:r>
      <w:r w:rsidR="00597F97" w:rsidRPr="00597F97">
        <w:t xml:space="preserve"> the s</w:t>
      </w:r>
      <w:r w:rsidR="00597F97">
        <w:t>imilar</w:t>
      </w:r>
      <w:r w:rsidR="00597F97" w:rsidRPr="00597F97">
        <w:t xml:space="preserve"> performance</w:t>
      </w:r>
      <w:r w:rsidR="00597F97">
        <w:t>?</w:t>
      </w:r>
      <w:r w:rsidR="00682D14">
        <w:t xml:space="preserve"> This paper introduces </w:t>
      </w:r>
      <w:proofErr w:type="spellStart"/>
      <w:r w:rsidR="00682D14">
        <w:t>TLoRA</w:t>
      </w:r>
      <w:proofErr w:type="spellEnd"/>
      <w:r w:rsidR="00682D14">
        <w:t>: Tri-Matrix Low-Rank Adaptation of Large Language Models, a novel technique that leverages a tri-matrix structure along with a clever adaptive scaling mechanism.</w:t>
      </w:r>
      <w:r w:rsidR="00D326DE">
        <w:t xml:space="preserve"> </w:t>
      </w:r>
      <w:proofErr w:type="spellStart"/>
      <w:r w:rsidR="00D326DE" w:rsidRPr="00D326DE">
        <w:t>TLoRA</w:t>
      </w:r>
      <w:proofErr w:type="spellEnd"/>
      <w:r w:rsidR="00D326DE" w:rsidRPr="00D326DE">
        <w:t xml:space="preserve">, introduced in this paper, </w:t>
      </w:r>
      <w:r w:rsidR="00D326DE">
        <w:t>offers</w:t>
      </w:r>
      <w:r w:rsidR="00D326DE" w:rsidRPr="00D326DE">
        <w:t xml:space="preserve"> a more flexible and efficient approach for adapting large language models to diverse tasks.</w:t>
      </w:r>
      <w:r w:rsidR="00682D14">
        <w:t xml:space="preserve"> This approach not only maintains the efficiency of low-rank adaptation but also enhances the model's ability to capture complex interactions and nuances in data. By exploring this innovative method, we aim to push the boundaries of efficient model fine-tuning, delivering superior performance with reduced resource requirements.</w:t>
      </w:r>
    </w:p>
    <w:p w14:paraId="0F72E337" w14:textId="77777777" w:rsidR="00682D14" w:rsidRDefault="00682D14" w:rsidP="00682D14">
      <w:pPr>
        <w:pStyle w:val="ListParagraph"/>
        <w:numPr>
          <w:ilvl w:val="0"/>
          <w:numId w:val="2"/>
        </w:numPr>
        <w:spacing w:before="240" w:after="120"/>
        <w:textAlignment w:val="auto"/>
        <w:rPr>
          <w:b/>
          <w:bCs/>
          <w:kern w:val="2"/>
          <w:sz w:val="24"/>
          <w:szCs w:val="24"/>
        </w:rPr>
      </w:pPr>
      <w:proofErr w:type="spellStart"/>
      <w:r>
        <w:rPr>
          <w:b/>
          <w:bCs/>
          <w:kern w:val="2"/>
          <w:sz w:val="24"/>
          <w:szCs w:val="24"/>
        </w:rPr>
        <w:t>TLoRA</w:t>
      </w:r>
      <w:proofErr w:type="spellEnd"/>
    </w:p>
    <w:p w14:paraId="45837831" w14:textId="77777777" w:rsidR="00682D14" w:rsidRDefault="00682D14" w:rsidP="00682D14">
      <w:pPr>
        <w:pStyle w:val="Standard"/>
        <w:widowControl w:val="0"/>
        <w:spacing w:before="200"/>
        <w:jc w:val="both"/>
        <w:rPr>
          <w:b/>
          <w:bCs/>
        </w:rPr>
      </w:pPr>
      <w:r>
        <w:rPr>
          <w:b/>
          <w:bCs/>
          <w:kern w:val="2"/>
        </w:rPr>
        <w:t>2.1 Objective functions</w:t>
      </w:r>
    </w:p>
    <w:p w14:paraId="5FA6C704" w14:textId="1549B75A" w:rsidR="00682D14" w:rsidRDefault="00682D14" w:rsidP="00682D14">
      <w:pPr>
        <w:pStyle w:val="Standard"/>
        <w:widowControl w:val="0"/>
        <w:spacing w:before="200"/>
        <w:jc w:val="both"/>
        <w:rPr>
          <w:kern w:val="2"/>
        </w:rPr>
      </w:pPr>
      <w:r>
        <w:rPr>
          <w:kern w:val="2"/>
        </w:rPr>
        <w:t xml:space="preserve">We know that a pre-trained autoregressive language model </w:t>
      </w:r>
      <m:oMath>
        <m:sSub>
          <m:sSubPr>
            <m:ctrlPr>
              <w:rPr>
                <w:rFonts w:ascii="Cambria Math" w:hAnsi="Cambria Math"/>
              </w:rPr>
            </m:ctrlPr>
          </m:sSubPr>
          <m:e>
            <m:r>
              <w:rPr>
                <w:rFonts w:ascii="Cambria Math" w:hAnsi="Cambria Math"/>
              </w:rPr>
              <m:t>P</m:t>
            </m:r>
          </m:e>
          <m:sub>
            <m:r>
              <w:rPr>
                <w:rFonts w:ascii="Cambria Math" w:hAnsi="Cambria Math"/>
              </w:rPr>
              <m:t>θ</m:t>
            </m:r>
          </m:sub>
        </m:sSub>
        <m:d>
          <m:dPr>
            <m:ctrlPr>
              <w:rPr>
                <w:rFonts w:ascii="Cambria Math" w:hAnsi="Cambria Math"/>
              </w:rPr>
            </m:ctrlPr>
          </m:dPr>
          <m:e>
            <m:r>
              <w:rPr>
                <w:rFonts w:ascii="Cambria Math" w:hAnsi="Cambria Math"/>
              </w:rPr>
              <m:t>y</m:t>
            </m:r>
            <m:ctrlPr>
              <w:rPr>
                <w:rFonts w:ascii="Cambria Math" w:eastAsia="MS Mincho" w:hAnsi="Cambria Math" w:cs="MS Mincho"/>
              </w:rPr>
            </m:ctrlPr>
          </m:e>
          <m:e>
            <m:r>
              <w:rPr>
                <w:rFonts w:ascii="Cambria Math" w:hAnsi="Cambria Math"/>
              </w:rPr>
              <m:t> x</m:t>
            </m:r>
          </m:e>
        </m:d>
      </m:oMath>
      <w:r w:rsidR="009047A7">
        <w:t xml:space="preserve"> </w:t>
      </w:r>
      <w:r>
        <w:rPr>
          <w:kern w:val="2"/>
        </w:rPr>
        <w:t xml:space="preserve">can be adapted for various downstream tasks by fine-tuning it on task-specific data. In these tasks, we generally use a training dataset of context-target pairs </w:t>
      </w:r>
      <m:oMath>
        <m:r>
          <m:rPr>
            <m:sty m:val="p"/>
          </m:rPr>
          <w:rPr>
            <w:rFonts w:ascii="Cambria Math" w:hAnsi="Cambria Math"/>
          </w:rPr>
          <m:t>Z</m:t>
        </m:r>
        <m:r>
          <w:rPr>
            <w:rFonts w:ascii="Cambria Math" w:hAnsi="Cambria Math"/>
          </w:rPr>
          <m:t>=</m:t>
        </m:r>
        <m:r>
          <m:rPr>
            <m:lit/>
            <m:nor/>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ctrlPr>
                  <w:rPr>
                    <w:rFonts w:ascii="Cambria Math" w:hAnsi="Cambria Math"/>
                    <w:i/>
                  </w:rPr>
                </m:ctrlPr>
              </m:e>
              <m:sub>
                <m:r>
                  <w:rPr>
                    <w:rFonts w:ascii="Cambria Math" w:hAnsi="Cambria Math"/>
                  </w:rPr>
                  <m:t>i</m:t>
                </m:r>
              </m:sub>
            </m:sSub>
          </m:e>
        </m:d>
        <m:sSub>
          <m:sSubPr>
            <m:ctrlPr>
              <w:rPr>
                <w:rFonts w:ascii="Cambria Math" w:hAnsi="Cambria Math"/>
              </w:rPr>
            </m:ctrlPr>
          </m:sSubPr>
          <m:e>
            <m:r>
              <m:rPr>
                <m:lit/>
                <m:nor/>
              </m:rPr>
              <w:rPr>
                <w:rFonts w:ascii="Cambria Math" w:hAnsi="Cambria Math"/>
              </w:rPr>
              <m:t>}</m:t>
            </m:r>
          </m:e>
          <m:sub>
            <w:proofErr w:type="spellStart"/>
            <m:r>
              <m:rPr>
                <m:nor/>
              </m:rPr>
              <w:rPr>
                <w:rFonts w:ascii="Cambria Math" w:hAnsi="Cambria Math"/>
              </w:rPr>
              <m:t>i</m:t>
            </m:r>
            <w:proofErr w:type="spellEnd"/>
            <m:r>
              <m:rPr>
                <m:nor/>
              </m:rPr>
              <w:rPr>
                <w:rFonts w:ascii="Cambria Math" w:hAnsi="Cambria Math"/>
              </w:rPr>
              <m:t>=1,…,N</m:t>
            </m:r>
          </m:sub>
        </m:sSub>
      </m:oMath>
      <w:r>
        <w:rPr>
          <w:i/>
          <w:iCs/>
          <w:kern w:val="2"/>
        </w:rPr>
        <w:t xml:space="preserve">, </w:t>
      </w:r>
      <w:r>
        <w:rPr>
          <w:kern w:val="2"/>
        </w:rPr>
        <w:t>where</w:t>
      </w:r>
      <w:r w:rsidR="0062196D">
        <w:rPr>
          <w:kern w:val="2"/>
        </w:rPr>
        <w:t xml:space="preserve"> </w:t>
      </w:r>
      <m:oMath>
        <m:sSub>
          <m:sSubPr>
            <m:ctrlPr>
              <w:rPr>
                <w:rFonts w:ascii="Cambria Math" w:hAnsi="Cambria Math"/>
                <w:i/>
                <w:kern w:val="2"/>
              </w:rPr>
            </m:ctrlPr>
          </m:sSubPr>
          <m:e>
            <m:r>
              <w:rPr>
                <w:rFonts w:ascii="Cambria Math" w:hAnsi="Cambria Math"/>
                <w:kern w:val="2"/>
              </w:rPr>
              <m:t>x</m:t>
            </m:r>
          </m:e>
          <m:sub>
            <m:r>
              <w:rPr>
                <w:rFonts w:ascii="Cambria Math" w:hAnsi="Cambria Math"/>
                <w:kern w:val="2"/>
              </w:rPr>
              <m:t>i</m:t>
            </m:r>
          </m:sub>
        </m:sSub>
      </m:oMath>
      <w:r>
        <w:rPr>
          <w:kern w:val="2"/>
        </w:rPr>
        <w:t xml:space="preserve"> </w:t>
      </w:r>
      <w:r w:rsidR="00423A8A" w:rsidRPr="00423A8A">
        <w:rPr>
          <w:kern w:val="2"/>
        </w:rPr>
        <w:t xml:space="preserve">consists of a sequence of tokens and </w:t>
      </w:r>
      <m:oMath>
        <m:sSub>
          <m:sSubPr>
            <m:ctrlPr>
              <w:rPr>
                <w:rFonts w:ascii="Cambria Math" w:hAnsi="Cambria Math"/>
                <w:i/>
                <w:kern w:val="2"/>
              </w:rPr>
            </m:ctrlPr>
          </m:sSubPr>
          <m:e>
            <m:r>
              <w:rPr>
                <w:rFonts w:ascii="Cambria Math" w:hAnsi="Cambria Math"/>
                <w:kern w:val="2"/>
              </w:rPr>
              <m:t>y</m:t>
            </m:r>
          </m:e>
          <m:sub>
            <m:r>
              <w:rPr>
                <w:rFonts w:ascii="Cambria Math" w:hAnsi="Cambria Math"/>
                <w:kern w:val="2"/>
              </w:rPr>
              <m:t>i</m:t>
            </m:r>
          </m:sub>
        </m:sSub>
      </m:oMath>
      <w:r w:rsidR="00423A8A">
        <w:rPr>
          <w:kern w:val="2"/>
        </w:rPr>
        <w:t xml:space="preserve"> </w:t>
      </w:r>
      <w:r>
        <w:rPr>
          <w:kern w:val="2"/>
        </w:rPr>
        <w:t>could either be a sequence of tokens corresponding to the answer generated by the model or a classification target, depending on the task. For example, in a natural language inference (NLI) task from the GLUE benchmark</w:t>
      </w:r>
      <w:r w:rsidR="00056648">
        <w:rPr>
          <w:kern w:val="2"/>
        </w:rPr>
        <w:t xml:space="preserve"> </w:t>
      </w:r>
      <w:r w:rsidR="00056648">
        <w:rPr>
          <w:kern w:val="2"/>
        </w:rPr>
        <w:fldChar w:fldCharType="begin"/>
      </w:r>
      <w:r w:rsidR="00056648">
        <w:rPr>
          <w:kern w:val="2"/>
        </w:rPr>
        <w:instrText xml:space="preserve"> ADDIN ZOTERO_ITEM CSL_CITATION {"citationID":"0Jfi61Wj","properties":{"formattedCitation":"(Nangia and Bowman 2019)","plainCitation":"(Nangia and Bowman 2019)","noteIndex":0},"citationItems":[{"id":39,"uris":["http://zotero.org/users/local/laQS5fZL/items/TVXGPTSQ"],"itemData":{"id":39,"type":"article-journal","container-title":"arXiv preprint arXiv:1905.10425","title":"Human vs. muppet: A conservative estimate of human performance on the GLUE benchmark","author":[{"family":"Nangia","given":"Nikita"},{"family":"Bowman","given":"Samuel R"}],"issued":{"date-parts":[["2019"]]}}}],"schema":"https://github.com/citation-style-language/schema/raw/master/csl-citation.json"} </w:instrText>
      </w:r>
      <w:r w:rsidR="00056648">
        <w:rPr>
          <w:kern w:val="2"/>
        </w:rPr>
        <w:fldChar w:fldCharType="separate"/>
      </w:r>
      <w:r w:rsidR="00056648">
        <w:rPr>
          <w:noProof/>
          <w:kern w:val="2"/>
        </w:rPr>
        <w:t>(Nangia and Bowman 2019)</w:t>
      </w:r>
      <w:r w:rsidR="00056648">
        <w:rPr>
          <w:kern w:val="2"/>
        </w:rPr>
        <w:fldChar w:fldCharType="end"/>
      </w:r>
      <w:r>
        <w:rPr>
          <w:kern w:val="2"/>
        </w:rPr>
        <w:t xml:space="preserve">, </w:t>
      </w:r>
      <m:oMath>
        <m:sSub>
          <m:sSubPr>
            <m:ctrlPr>
              <w:rPr>
                <w:rFonts w:ascii="Cambria Math" w:hAnsi="Cambria Math"/>
                <w:i/>
                <w:kern w:val="2"/>
              </w:rPr>
            </m:ctrlPr>
          </m:sSubPr>
          <m:e>
            <m:r>
              <w:rPr>
                <w:rFonts w:ascii="Cambria Math" w:hAnsi="Cambria Math"/>
                <w:kern w:val="2"/>
              </w:rPr>
              <m:t>x</m:t>
            </m:r>
          </m:e>
          <m:sub>
            <m:r>
              <w:rPr>
                <w:rFonts w:ascii="Cambria Math" w:hAnsi="Cambria Math"/>
                <w:kern w:val="2"/>
              </w:rPr>
              <m:t>i</m:t>
            </m:r>
          </m:sub>
        </m:sSub>
      </m:oMath>
      <w:r w:rsidR="00831D2D">
        <w:rPr>
          <w:kern w:val="2"/>
        </w:rPr>
        <w:t xml:space="preserve"> </w:t>
      </w:r>
      <w:r>
        <w:rPr>
          <w:kern w:val="2"/>
        </w:rPr>
        <w:t xml:space="preserve">represents a pair of sentences (e.g., a premise and a hypothesis), and </w:t>
      </w:r>
      <m:oMath>
        <m:sSub>
          <m:sSubPr>
            <m:ctrlPr>
              <w:rPr>
                <w:rFonts w:ascii="Cambria Math" w:hAnsi="Cambria Math"/>
                <w:i/>
                <w:kern w:val="2"/>
              </w:rPr>
            </m:ctrlPr>
          </m:sSubPr>
          <m:e>
            <m:r>
              <w:rPr>
                <w:rFonts w:ascii="Cambria Math" w:hAnsi="Cambria Math"/>
                <w:kern w:val="2"/>
              </w:rPr>
              <m:t>y</m:t>
            </m:r>
          </m:e>
          <m:sub>
            <m:r>
              <w:rPr>
                <w:rFonts w:ascii="Cambria Math" w:hAnsi="Cambria Math"/>
                <w:kern w:val="2"/>
              </w:rPr>
              <m:t>i</m:t>
            </m:r>
          </m:sub>
        </m:sSub>
      </m:oMath>
      <w:r>
        <w:rPr>
          <w:kern w:val="2"/>
        </w:rPr>
        <w:t>is the corresponding classification label. The LLM model is then updated to optimize its performance for the specific task.</w:t>
      </w:r>
    </w:p>
    <w:p w14:paraId="1C2DCEC7" w14:textId="44F729C5" w:rsidR="00682D14" w:rsidRDefault="00682D14" w:rsidP="00682D14">
      <w:pPr>
        <w:pStyle w:val="Standard"/>
        <w:widowControl w:val="0"/>
        <w:spacing w:before="200"/>
        <w:jc w:val="both"/>
        <w:rPr>
          <w:kern w:val="2"/>
        </w:rPr>
      </w:pPr>
      <w:r>
        <w:rPr>
          <w:kern w:val="2"/>
        </w:rPr>
        <w:t>If we opt for full fine-tuning, the pre-trained model parameters</w:t>
      </w:r>
      <w:r w:rsidR="005C0101">
        <w:rPr>
          <w:kern w:val="2"/>
        </w:rPr>
        <w:t xml:space="preserve"> </w:t>
      </w:r>
      <m:oMath>
        <m:sSub>
          <m:sSubPr>
            <m:ctrlPr>
              <w:rPr>
                <w:rFonts w:ascii="Cambria Math" w:hAnsi="Cambria Math"/>
                <w:i/>
                <w:kern w:val="2"/>
              </w:rPr>
            </m:ctrlPr>
          </m:sSubPr>
          <m:e>
            <m:r>
              <w:rPr>
                <w:rFonts w:ascii="Cambria Math" w:hAnsi="Cambria Math"/>
                <w:kern w:val="2"/>
              </w:rPr>
              <m:t>θ</m:t>
            </m:r>
            <m:ctrlPr>
              <w:rPr>
                <w:rFonts w:ascii="Cambria Math" w:hAnsi="Cambria Math"/>
                <w:kern w:val="2"/>
              </w:rPr>
            </m:ctrlPr>
          </m:e>
          <m:sub>
            <m:r>
              <w:rPr>
                <w:rFonts w:ascii="Cambria Math" w:hAnsi="Cambria Math"/>
                <w:kern w:val="2"/>
              </w:rPr>
              <m:t>0</m:t>
            </m:r>
          </m:sub>
        </m:sSub>
      </m:oMath>
      <w:r>
        <w:rPr>
          <w:kern w:val="2"/>
        </w:rPr>
        <w:t xml:space="preserve"> are updated directly to</w:t>
      </w:r>
      <w:r w:rsidR="002E5E67">
        <w:rPr>
          <w:kern w:val="2"/>
        </w:rPr>
        <w:t xml:space="preserve"> </w:t>
      </w:r>
      <m:oMath>
        <m:sSub>
          <m:sSubPr>
            <m:ctrlPr>
              <w:rPr>
                <w:rFonts w:ascii="Cambria Math" w:hAnsi="Cambria Math"/>
                <w:i/>
                <w:kern w:val="2"/>
              </w:rPr>
            </m:ctrlPr>
          </m:sSubPr>
          <m:e>
            <m:r>
              <m:rPr>
                <m:sty m:val="p"/>
              </m:rPr>
              <w:rPr>
                <w:rFonts w:ascii="Cambria Math" w:hAnsi="Cambria Math"/>
                <w:kern w:val="2"/>
              </w:rPr>
              <m:t>θ</m:t>
            </m:r>
            <m:ctrlPr>
              <w:rPr>
                <w:rFonts w:ascii="Cambria Math" w:hAnsi="Cambria Math"/>
                <w:kern w:val="2"/>
              </w:rPr>
            </m:ctrlPr>
          </m:e>
          <m:sub>
            <m:r>
              <w:rPr>
                <w:rFonts w:ascii="Cambria Math" w:hAnsi="Cambria Math"/>
                <w:kern w:val="2"/>
              </w:rPr>
              <m:t>0</m:t>
            </m:r>
          </m:sub>
        </m:sSub>
        <m:r>
          <w:rPr>
            <w:rFonts w:ascii="Cambria Math" w:hAnsi="Cambria Math"/>
            <w:kern w:val="2"/>
          </w:rPr>
          <m:t>+</m:t>
        </m:r>
        <m:r>
          <m:rPr>
            <m:sty m:val="p"/>
          </m:rPr>
          <w:rPr>
            <w:rFonts w:ascii="Cambria Math" w:hAnsi="Cambria Math"/>
            <w:kern w:val="2"/>
          </w:rPr>
          <m:t>Δθ</m:t>
        </m:r>
      </m:oMath>
      <w:r w:rsidR="002E5E67">
        <w:rPr>
          <w:kern w:val="2"/>
        </w:rPr>
        <w:t xml:space="preserve"> </w:t>
      </w:r>
      <w:r w:rsidR="005C0101">
        <w:rPr>
          <w:kern w:val="2"/>
        </w:rPr>
        <w:t xml:space="preserve"> </w:t>
      </w:r>
      <w:r>
        <w:rPr>
          <w:kern w:val="2"/>
        </w:rPr>
        <w:lastRenderedPageBreak/>
        <w:t xml:space="preserve">by maximizing the conditional language modeling objective. In the context of classification tasks, such as those in the GLUE benchmark, we seek to optimize the model to predict a discrete class label </w:t>
      </w:r>
      <m:oMath>
        <m:r>
          <w:rPr>
            <w:rFonts w:ascii="Cambria Math" w:hAnsi="Cambria Math"/>
            <w:kern w:val="2"/>
          </w:rPr>
          <m:t>y</m:t>
        </m:r>
      </m:oMath>
      <w:r>
        <w:rPr>
          <w:kern w:val="2"/>
        </w:rPr>
        <w:t xml:space="preserve"> based on an input sequence</w:t>
      </w:r>
      <w:r w:rsidR="005C0101">
        <w:rPr>
          <w:kern w:val="2"/>
        </w:rPr>
        <w:t xml:space="preserve"> </w:t>
      </w:r>
      <m:oMath>
        <m:r>
          <w:rPr>
            <w:rFonts w:ascii="Cambria Math" w:hAnsi="Cambria Math"/>
            <w:kern w:val="2"/>
          </w:rPr>
          <m:t>x</m:t>
        </m:r>
      </m:oMath>
      <w:r>
        <w:rPr>
          <w:kern w:val="2"/>
        </w:rPr>
        <w:t>. Therefore, the objective becomes:</w:t>
      </w:r>
    </w:p>
    <w:p w14:paraId="24627878" w14:textId="20AE91E3" w:rsidR="00682D14" w:rsidRDefault="00000000" w:rsidP="005C0101">
      <w:pPr>
        <w:pStyle w:val="Standard"/>
        <w:widowControl w:val="0"/>
        <w:spacing w:before="200"/>
        <w:jc w:val="both"/>
        <w:rPr>
          <w:kern w:val="2"/>
        </w:rPr>
      </w:pPr>
      <m:oMathPara>
        <m:oMath>
          <m:func>
            <m:funcPr>
              <m:ctrlPr>
                <w:rPr>
                  <w:rFonts w:ascii="Cambria Math" w:hAnsi="Cambria Math"/>
                  <w:kern w:val="2"/>
                </w:rPr>
              </m:ctrlPr>
            </m:funcPr>
            <m:fName>
              <m:limLow>
                <m:limLowPr>
                  <m:ctrlPr>
                    <w:rPr>
                      <w:rFonts w:ascii="Cambria Math" w:hAnsi="Cambria Math"/>
                      <w:i/>
                      <w:kern w:val="2"/>
                    </w:rPr>
                  </m:ctrlPr>
                </m:limLowPr>
                <m:e>
                  <m:r>
                    <m:rPr>
                      <m:sty m:val="p"/>
                    </m:rPr>
                    <w:rPr>
                      <w:rFonts w:ascii="Cambria Math" w:hAnsi="Cambria Math"/>
                      <w:kern w:val="2"/>
                    </w:rPr>
                    <m:t>max</m:t>
                  </m:r>
                  <m:ctrlPr>
                    <w:rPr>
                      <w:rFonts w:ascii="Cambria Math" w:hAnsi="Cambria Math"/>
                      <w:kern w:val="2"/>
                    </w:rPr>
                  </m:ctrlPr>
                </m:e>
                <m:lim>
                  <m:r>
                    <m:rPr>
                      <m:sty m:val="p"/>
                    </m:rPr>
                    <w:rPr>
                      <w:rFonts w:ascii="Cambria Math" w:hAnsi="Cambria Math"/>
                      <w:kern w:val="2"/>
                    </w:rPr>
                    <m:t>θ</m:t>
                  </m:r>
                  <m:ctrlPr>
                    <w:rPr>
                      <w:rFonts w:ascii="Cambria Math" w:hAnsi="Cambria Math"/>
                      <w:kern w:val="2"/>
                    </w:rPr>
                  </m:ctrlPr>
                </m:lim>
              </m:limLow>
            </m:fName>
            <m:e>
              <m:nary>
                <m:naryPr>
                  <m:chr m:val="∑"/>
                  <m:supHide m:val="1"/>
                  <m:ctrlPr>
                    <w:rPr>
                      <w:rFonts w:ascii="Cambria Math" w:hAnsi="Cambria Math"/>
                      <w:kern w:val="2"/>
                    </w:rPr>
                  </m:ctrlPr>
                </m:naryPr>
                <m:sub>
                  <m:d>
                    <m:dPr>
                      <m:ctrlPr>
                        <w:rPr>
                          <w:rFonts w:ascii="Cambria Math" w:hAnsi="Cambria Math"/>
                          <w:kern w:val="2"/>
                        </w:rPr>
                      </m:ctrlPr>
                    </m:dPr>
                    <m:e>
                      <m:r>
                        <m:rPr>
                          <m:sty m:val="p"/>
                        </m:rPr>
                        <w:rPr>
                          <w:rFonts w:ascii="Cambria Math" w:hAnsi="Cambria Math"/>
                          <w:kern w:val="2"/>
                        </w:rPr>
                        <m:t>x</m:t>
                      </m:r>
                      <m:r>
                        <w:rPr>
                          <w:rFonts w:ascii="Cambria Math" w:hAnsi="Cambria Math"/>
                          <w:kern w:val="2"/>
                        </w:rPr>
                        <m:t>,</m:t>
                      </m:r>
                      <m:r>
                        <m:rPr>
                          <m:sty m:val="p"/>
                        </m:rPr>
                        <w:rPr>
                          <w:rFonts w:ascii="Cambria Math" w:hAnsi="Cambria Math"/>
                          <w:kern w:val="2"/>
                        </w:rPr>
                        <m:t>y</m:t>
                      </m:r>
                      <m:ctrlPr>
                        <w:rPr>
                          <w:rFonts w:ascii="Cambria Math" w:hAnsi="Cambria Math"/>
                          <w:i/>
                          <w:kern w:val="2"/>
                        </w:rPr>
                      </m:ctrlPr>
                    </m:e>
                  </m:d>
                  <m:r>
                    <m:rPr>
                      <m:sty m:val="p"/>
                    </m:rPr>
                    <w:rPr>
                      <w:rFonts w:ascii="Cambria Math" w:hAnsi="Cambria Math"/>
                      <w:kern w:val="2"/>
                    </w:rPr>
                    <m:t>∈Z</m:t>
                  </m:r>
                  <m:ctrlPr>
                    <w:rPr>
                      <w:rFonts w:ascii="Cambria Math" w:hAnsi="Cambria Math"/>
                      <w:i/>
                      <w:kern w:val="2"/>
                    </w:rPr>
                  </m:ctrlPr>
                </m:sub>
                <m:sup/>
                <m:e>
                  <m:func>
                    <m:funcPr>
                      <m:ctrlPr>
                        <w:rPr>
                          <w:rFonts w:ascii="Cambria Math" w:hAnsi="Cambria Math"/>
                          <w:kern w:val="2"/>
                        </w:rPr>
                      </m:ctrlPr>
                    </m:funcPr>
                    <m:fName>
                      <m:r>
                        <m:rPr>
                          <m:sty m:val="p"/>
                        </m:rPr>
                        <w:rPr>
                          <w:rFonts w:ascii="Cambria Math" w:hAnsi="Cambria Math"/>
                          <w:kern w:val="2"/>
                        </w:rPr>
                        <m:t>log</m:t>
                      </m:r>
                    </m:fName>
                    <m:e>
                      <m:sSub>
                        <m:sSubPr>
                          <m:ctrlPr>
                            <w:rPr>
                              <w:rFonts w:ascii="Cambria Math" w:hAnsi="Cambria Math"/>
                              <w:i/>
                              <w:kern w:val="2"/>
                            </w:rPr>
                          </m:ctrlPr>
                        </m:sSubPr>
                        <m:e>
                          <m:r>
                            <m:rPr>
                              <m:sty m:val="p"/>
                            </m:rPr>
                            <w:rPr>
                              <w:rFonts w:ascii="Cambria Math" w:hAnsi="Cambria Math"/>
                              <w:kern w:val="2"/>
                            </w:rPr>
                            <m:t>P</m:t>
                          </m:r>
                          <m:ctrlPr>
                            <w:rPr>
                              <w:rFonts w:ascii="Cambria Math" w:hAnsi="Cambria Math"/>
                              <w:kern w:val="2"/>
                            </w:rPr>
                          </m:ctrlPr>
                        </m:e>
                        <m:sub>
                          <m:r>
                            <m:rPr>
                              <m:sty m:val="p"/>
                            </m:rPr>
                            <w:rPr>
                              <w:rFonts w:ascii="Cambria Math" w:hAnsi="Cambria Math"/>
                              <w:kern w:val="2"/>
                            </w:rPr>
                            <m:t>θ</m:t>
                          </m:r>
                        </m:sub>
                      </m:sSub>
                    </m:e>
                  </m:func>
                </m:e>
              </m:nary>
              <m:ctrlPr>
                <w:rPr>
                  <w:rFonts w:ascii="Cambria Math" w:hAnsi="Cambria Math"/>
                  <w:i/>
                  <w:kern w:val="2"/>
                </w:rPr>
              </m:ctrlPr>
            </m:e>
          </m:func>
          <m:d>
            <m:dPr>
              <m:ctrlPr>
                <w:rPr>
                  <w:rFonts w:ascii="Cambria Math" w:hAnsi="Cambria Math"/>
                  <w:kern w:val="2"/>
                </w:rPr>
              </m:ctrlPr>
            </m:dPr>
            <m:e>
              <m:r>
                <m:rPr>
                  <m:sty m:val="p"/>
                </m:rPr>
                <w:rPr>
                  <w:rFonts w:ascii="Cambria Math" w:hAnsi="Cambria Math"/>
                  <w:kern w:val="2"/>
                </w:rPr>
                <m:t>y</m:t>
              </m:r>
              <m:ctrlPr>
                <w:rPr>
                  <w:rFonts w:ascii="Cambria Math" w:eastAsia="MS Mincho" w:hAnsi="Cambria Math" w:cs="MS Mincho"/>
                  <w:kern w:val="2"/>
                </w:rPr>
              </m:ctrlPr>
            </m:e>
            <m:e>
              <m:r>
                <w:rPr>
                  <w:rFonts w:ascii="Cambria Math" w:hAnsi="Cambria Math"/>
                  <w:kern w:val="2"/>
                </w:rPr>
                <m:t> </m:t>
              </m:r>
              <m:r>
                <m:rPr>
                  <m:sty m:val="p"/>
                </m:rPr>
                <w:rPr>
                  <w:rFonts w:ascii="Cambria Math" w:hAnsi="Cambria Math"/>
                  <w:kern w:val="2"/>
                </w:rPr>
                <m:t>x</m:t>
              </m:r>
              <m:ctrlPr>
                <w:rPr>
                  <w:rFonts w:ascii="Cambria Math" w:hAnsi="Cambria Math"/>
                  <w:i/>
                  <w:kern w:val="2"/>
                </w:rPr>
              </m:ctrlPr>
            </m:e>
          </m:d>
        </m:oMath>
      </m:oMathPara>
    </w:p>
    <w:p w14:paraId="70B454B4" w14:textId="64535CFF" w:rsidR="00682D14" w:rsidRDefault="00682D14" w:rsidP="00682D14">
      <w:pPr>
        <w:pStyle w:val="Standard"/>
        <w:widowControl w:val="0"/>
        <w:spacing w:before="200"/>
        <w:jc w:val="both"/>
      </w:pPr>
      <w:r>
        <w:rPr>
          <w:kern w:val="2"/>
        </w:rPr>
        <w:t xml:space="preserve">where </w:t>
      </w:r>
      <m:oMath>
        <m:sSub>
          <m:sSubPr>
            <m:ctrlPr>
              <w:rPr>
                <w:rFonts w:ascii="Cambria Math" w:hAnsi="Cambria Math"/>
              </w:rPr>
            </m:ctrlPr>
          </m:sSubPr>
          <m:e>
            <m:r>
              <w:rPr>
                <w:rFonts w:ascii="Cambria Math" w:hAnsi="Cambria Math"/>
              </w:rPr>
              <m:t>P</m:t>
            </m:r>
          </m:e>
          <m:sub>
            <m:r>
              <w:rPr>
                <w:rFonts w:ascii="Cambria Math" w:hAnsi="Cambria Math"/>
              </w:rPr>
              <m:t>θ</m:t>
            </m:r>
          </m:sub>
        </m:sSub>
        <m:d>
          <m:dPr>
            <m:ctrlPr>
              <w:rPr>
                <w:rFonts w:ascii="Cambria Math" w:hAnsi="Cambria Math"/>
              </w:rPr>
            </m:ctrlPr>
          </m:dPr>
          <m:e>
            <m:r>
              <w:rPr>
                <w:rFonts w:ascii="Cambria Math" w:hAnsi="Cambria Math"/>
              </w:rPr>
              <m:t>y</m:t>
            </m:r>
            <m:ctrlPr>
              <w:rPr>
                <w:rFonts w:ascii="Cambria Math" w:eastAsia="MS Mincho" w:hAnsi="Cambria Math" w:cs="MS Mincho"/>
              </w:rPr>
            </m:ctrlPr>
          </m:e>
          <m:e>
            <m:r>
              <w:rPr>
                <w:rFonts w:ascii="Cambria Math" w:hAnsi="Cambria Math"/>
              </w:rPr>
              <m:t> x</m:t>
            </m:r>
          </m:e>
        </m:d>
      </m:oMath>
      <w:r w:rsidR="005C0101">
        <w:rPr>
          <w:kern w:val="2"/>
        </w:rPr>
        <w:t xml:space="preserve"> </w:t>
      </w:r>
      <w:r>
        <w:rPr>
          <w:kern w:val="2"/>
        </w:rPr>
        <w:t xml:space="preserve">is the probability distribution over class labels given the input </w:t>
      </w:r>
      <m:oMath>
        <m:r>
          <m:rPr>
            <m:sty m:val="p"/>
          </m:rPr>
          <w:rPr>
            <w:rFonts w:ascii="Cambria Math" w:hAnsi="Cambria Math"/>
          </w:rPr>
          <m:t>x</m:t>
        </m:r>
      </m:oMath>
      <w:r>
        <w:rPr>
          <w:kern w:val="2"/>
        </w:rPr>
        <w:t xml:space="preserve">, and </w:t>
      </w:r>
      <m:oMath>
        <m:r>
          <m:rPr>
            <m:sty m:val="p"/>
          </m:rPr>
          <w:rPr>
            <w:rFonts w:ascii="Cambria Math" w:hAnsi="Cambria Math"/>
          </w:rPr>
          <m:t>θ</m:t>
        </m:r>
      </m:oMath>
      <w:r>
        <w:rPr>
          <w:kern w:val="2"/>
        </w:rPr>
        <w:t xml:space="preserve"> represents the full set of model parameters</w:t>
      </w:r>
      <w:r w:rsidR="00943240">
        <w:rPr>
          <w:kern w:val="2"/>
        </w:rPr>
        <w:t xml:space="preserve">, </w:t>
      </w:r>
      <w:r>
        <w:rPr>
          <w:kern w:val="2"/>
        </w:rPr>
        <w:t xml:space="preserve">including the pre-trained ones </w:t>
      </w:r>
      <m:oMath>
        <m:sSub>
          <m:sSubPr>
            <m:ctrlPr>
              <w:rPr>
                <w:rFonts w:ascii="Cambria Math" w:hAnsi="Cambria Math"/>
                <w:i/>
                <w:kern w:val="2"/>
              </w:rPr>
            </m:ctrlPr>
          </m:sSubPr>
          <m:e>
            <m:r>
              <w:rPr>
                <w:rFonts w:ascii="Cambria Math" w:hAnsi="Cambria Math"/>
                <w:kern w:val="2"/>
              </w:rPr>
              <m:t>θ</m:t>
            </m:r>
            <m:ctrlPr>
              <w:rPr>
                <w:rFonts w:ascii="Cambria Math" w:hAnsi="Cambria Math"/>
                <w:kern w:val="2"/>
              </w:rPr>
            </m:ctrlPr>
          </m:e>
          <m:sub>
            <m:r>
              <w:rPr>
                <w:rFonts w:ascii="Cambria Math" w:hAnsi="Cambria Math"/>
                <w:kern w:val="2"/>
              </w:rPr>
              <m:t>0</m:t>
            </m:r>
          </m:sub>
        </m:sSub>
      </m:oMath>
      <w:r>
        <w:rPr>
          <w:kern w:val="2"/>
        </w:rPr>
        <w:t xml:space="preserve"> and the task-specific updates </w:t>
      </w:r>
      <m:oMath>
        <m:r>
          <m:rPr>
            <m:sty m:val="p"/>
          </m:rPr>
          <w:rPr>
            <w:rFonts w:ascii="Cambria Math" w:hAnsi="Cambria Math"/>
            <w:kern w:val="2"/>
          </w:rPr>
          <m:t>Δ</m:t>
        </m:r>
        <m:r>
          <w:rPr>
            <w:rFonts w:ascii="Cambria Math" w:hAnsi="Cambria Math"/>
            <w:kern w:val="2"/>
          </w:rPr>
          <m:t>θ</m:t>
        </m:r>
      </m:oMath>
      <w:r>
        <w:rPr>
          <w:kern w:val="2"/>
        </w:rPr>
        <w:t>.</w:t>
      </w:r>
    </w:p>
    <w:p w14:paraId="715B46A4" w14:textId="571B1A44" w:rsidR="00094C2B" w:rsidRPr="00FB1574" w:rsidRDefault="00682D14" w:rsidP="007E09A4">
      <w:pPr>
        <w:pStyle w:val="Standard"/>
        <w:widowControl w:val="0"/>
        <w:spacing w:before="200"/>
        <w:jc w:val="both"/>
      </w:pPr>
      <w:r>
        <w:rPr>
          <w:kern w:val="2"/>
        </w:rPr>
        <w:t>However, this full fine-tuning approach is computationally expensive, especially for large models with billions of parameters like GPT-3</w:t>
      </w:r>
      <w:r w:rsidR="00C01DB4">
        <w:rPr>
          <w:kern w:val="2"/>
        </w:rPr>
        <w:t xml:space="preserve"> </w:t>
      </w:r>
      <w:r w:rsidR="00C01DB4">
        <w:rPr>
          <w:kern w:val="2"/>
        </w:rPr>
        <w:fldChar w:fldCharType="begin"/>
      </w:r>
      <w:r w:rsidR="00C01DB4">
        <w:rPr>
          <w:kern w:val="2"/>
        </w:rPr>
        <w:instrText xml:space="preserve"> ADDIN ZOTERO_ITEM CSL_CITATION {"citationID":"P0abYRHw","properties":{"formattedCitation":"(Floridi and Chiriatti 2020)","plainCitation":"(Floridi and Chiriatti 2020)","noteIndex":0},"citationItems":[{"id":41,"uris":["http://zotero.org/users/local/laQS5fZL/items/YVEZFATK"],"itemData":{"id":41,"type":"article-journal","container-title":"Minds and Machines","note":"publisher: Springer","page":"681–694","title":"GPT-3: Its nature, scope, limits, and consequences","volume":"30","author":[{"family":"Floridi","given":"Luciano"},{"family":"Chiriatti","given":"Massimo"}],"issued":{"date-parts":[["2020"]]}}}],"schema":"https://github.com/citation-style-language/schema/raw/master/csl-citation.json"} </w:instrText>
      </w:r>
      <w:r w:rsidR="00C01DB4">
        <w:rPr>
          <w:kern w:val="2"/>
        </w:rPr>
        <w:fldChar w:fldCharType="separate"/>
      </w:r>
      <w:r w:rsidR="00C01DB4">
        <w:rPr>
          <w:noProof/>
          <w:kern w:val="2"/>
        </w:rPr>
        <w:t>(Floridi and Chiriatti 2020)</w:t>
      </w:r>
      <w:r w:rsidR="00C01DB4">
        <w:rPr>
          <w:kern w:val="2"/>
        </w:rPr>
        <w:fldChar w:fldCharType="end"/>
      </w:r>
      <w:r>
        <w:rPr>
          <w:kern w:val="2"/>
        </w:rPr>
        <w:t xml:space="preserve"> and Llama</w:t>
      </w:r>
      <w:r w:rsidR="00C01DB4">
        <w:rPr>
          <w:kern w:val="2"/>
        </w:rPr>
        <w:t xml:space="preserve"> </w:t>
      </w:r>
      <w:r w:rsidR="00C01DB4">
        <w:rPr>
          <w:kern w:val="2"/>
        </w:rPr>
        <w:fldChar w:fldCharType="begin"/>
      </w:r>
      <w:r w:rsidR="0015599D">
        <w:rPr>
          <w:kern w:val="2"/>
        </w:rPr>
        <w:instrText xml:space="preserve"> ADDIN ZOTERO_ITEM CSL_CITATION {"citationID":"NRnwM66t","properties":{"formattedCitation":"(Touvron et al. 2023b)","plainCitation":"(Touvron et al. 2023b)","noteIndex":0},"citationItems":[{"id":40,"uris":["http://zotero.org/users/local/laQS5fZL/items/PP95AZWC"],"itemData":{"id":40,"type":"article-journal","container-title":"arXiv preprint arXiv:2302.13971","title":"Llama: Open and efficient foundation language models","author":[{"family":"Touvron","given":"Hugo"},{"family":"Lavril","given":"Thibaut"},{"family":"Izacard","given":"Gautier"},{"family":"Martinet","given":"Xavier"},{"family":"Lachaux","given":"Marie-Anne"},{"family":"Lacroix","given":"Timothée"},{"family":"Rozière","given":"Baptiste"},{"family":"Goyal","given":"Naman"},{"family":"Hambro","given":"Eric"},{"family":"Azhar","given":"Faisal"},{"literal":"others"}],"issued":{"date-parts":[["2023"]]}}}],"schema":"https://github.com/citation-style-language/schema/raw/master/csl-citation.json"} </w:instrText>
      </w:r>
      <w:r w:rsidR="00C01DB4">
        <w:rPr>
          <w:kern w:val="2"/>
        </w:rPr>
        <w:fldChar w:fldCharType="separate"/>
      </w:r>
      <w:r w:rsidR="0015599D">
        <w:rPr>
          <w:noProof/>
          <w:kern w:val="2"/>
        </w:rPr>
        <w:t>(Touvron et al. 2023b)</w:t>
      </w:r>
      <w:r w:rsidR="00C01DB4">
        <w:rPr>
          <w:kern w:val="2"/>
        </w:rPr>
        <w:fldChar w:fldCharType="end"/>
      </w:r>
      <w:r>
        <w:rPr>
          <w:kern w:val="2"/>
        </w:rPr>
        <w:t>.</w:t>
      </w:r>
      <w:r w:rsidR="00FB1574">
        <w:t xml:space="preserve"> </w:t>
      </w:r>
      <w:r>
        <w:rPr>
          <w:kern w:val="2"/>
        </w:rPr>
        <w:t xml:space="preserve">To address this issue, low-rank adaptation technique is a more efficient alternative where only a small set of task-specific parameters </w:t>
      </w:r>
      <m:oMath>
        <m:r>
          <m:rPr>
            <m:sty m:val="p"/>
          </m:rPr>
          <w:rPr>
            <w:rFonts w:ascii="Cambria Math" w:hAnsi="Cambria Math"/>
            <w:kern w:val="2"/>
          </w:rPr>
          <m:t>ϕ</m:t>
        </m:r>
      </m:oMath>
      <w:r>
        <w:rPr>
          <w:kern w:val="2"/>
        </w:rPr>
        <w:t xml:space="preserve"> is learned. Instead of updating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00AE1149">
        <w:t xml:space="preserve"> </w:t>
      </w:r>
      <w:r>
        <w:rPr>
          <w:kern w:val="2"/>
        </w:rPr>
        <w:t xml:space="preserve">directly, </w:t>
      </w:r>
      <w:proofErr w:type="spellStart"/>
      <w:r>
        <w:rPr>
          <w:kern w:val="2"/>
        </w:rPr>
        <w:t>TLoRA</w:t>
      </w:r>
      <w:proofErr w:type="spellEnd"/>
      <w:r>
        <w:rPr>
          <w:kern w:val="2"/>
        </w:rPr>
        <w:t xml:space="preserve"> uses a low-rank update </w:t>
      </w:r>
      <w:proofErr w:type="spellStart"/>
      <m:oMath>
        <m:r>
          <m:rPr>
            <m:nor/>
          </m:rPr>
          <w:rPr>
            <w:rFonts w:ascii="Cambria Math" w:hAnsi="Cambria Math"/>
          </w:rPr>
          <m:t>Δθ</m:t>
        </m:r>
        <w:proofErr w:type="spellEnd"/>
        <m:d>
          <m:dPr>
            <m:ctrlPr>
              <w:rPr>
                <w:rFonts w:ascii="Cambria Math" w:hAnsi="Cambria Math"/>
              </w:rPr>
            </m:ctrlPr>
          </m:dPr>
          <m:e>
            <m:r>
              <m:rPr>
                <m:sty m:val="p"/>
              </m:rPr>
              <w:rPr>
                <w:rFonts w:ascii="Cambria Math" w:hAnsi="Cambria Math"/>
              </w:rPr>
              <m:t>ϕ</m:t>
            </m:r>
          </m:e>
        </m:d>
      </m:oMath>
      <w:r>
        <w:rPr>
          <w:kern w:val="2"/>
        </w:rPr>
        <w:t xml:space="preserve">, which is much smaller than the original parameter set </w:t>
      </w:r>
      <m:oMath>
        <m:sSub>
          <m:sSubPr>
            <m:ctrlPr>
              <w:rPr>
                <w:rFonts w:ascii="Cambria Math" w:hAnsi="Cambria Math"/>
              </w:rPr>
            </m:ctrlPr>
          </m:sSubPr>
          <m:e>
            <m:r>
              <w:rPr>
                <w:rFonts w:ascii="Cambria Math" w:hAnsi="Cambria Math"/>
              </w:rPr>
              <m:t>θ</m:t>
            </m:r>
          </m:e>
          <m:sub>
            <m:r>
              <w:rPr>
                <w:rFonts w:ascii="Cambria Math" w:hAnsi="Cambria Math"/>
              </w:rPr>
              <m:t>0</m:t>
            </m:r>
          </m:sub>
        </m:sSub>
      </m:oMath>
      <w:r>
        <w:rPr>
          <w:kern w:val="2"/>
        </w:rPr>
        <w:t>. The optimization problem then becomes:</w:t>
      </w:r>
    </w:p>
    <w:p w14:paraId="254FB3DB" w14:textId="459FF7E6" w:rsidR="00682D14" w:rsidRPr="00782280" w:rsidRDefault="00000000" w:rsidP="00782280">
      <w:pPr>
        <w:pStyle w:val="Standard"/>
        <w:spacing w:before="200"/>
        <w:jc w:val="both"/>
        <w:rPr>
          <w:rFonts w:ascii="Cambria Math" w:hAnsi="Cambria Math"/>
          <w:oMath/>
        </w:rPr>
      </w:pPr>
      <m:oMathPara>
        <m:oMath>
          <m:func>
            <m:funcPr>
              <m:ctrlPr>
                <w:rPr>
                  <w:rFonts w:ascii="Cambria Math" w:hAnsi="Cambria Math"/>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m:rPr>
                      <m:sty m:val="p"/>
                    </m:rPr>
                    <w:rPr>
                      <w:rFonts w:ascii="Cambria Math" w:hAnsi="Cambria Math"/>
                    </w:rPr>
                    <m:t>ϕ</m:t>
                  </m:r>
                  <m:ctrlPr>
                    <w:rPr>
                      <w:rFonts w:ascii="Cambria Math" w:hAnsi="Cambria Math"/>
                    </w:rPr>
                  </m:ctrlPr>
                </m:lim>
              </m:limLow>
            </m:fName>
            <m:e>
              <m:nary>
                <m:naryPr>
                  <m:chr m:val="∑"/>
                  <m:supHide m:val="1"/>
                  <m:ctrlPr>
                    <w:rPr>
                      <w:rFonts w:ascii="Cambria Math" w:hAnsi="Cambria Math"/>
                    </w:rPr>
                  </m:ctrlPr>
                </m:naryPr>
                <m:sub>
                  <m:d>
                    <m:dPr>
                      <m:ctrlPr>
                        <w:rPr>
                          <w:rFonts w:ascii="Cambria Math" w:hAnsi="Cambria Math"/>
                        </w:rPr>
                      </m:ctrlPr>
                    </m:dPr>
                    <m:e>
                      <m:r>
                        <m:rPr>
                          <m:sty m:val="p"/>
                        </m:rPr>
                        <w:rPr>
                          <w:rFonts w:ascii="Cambria Math" w:hAnsi="Cambria Math"/>
                        </w:rPr>
                        <m:t>x</m:t>
                      </m:r>
                      <m:r>
                        <w:rPr>
                          <w:rFonts w:ascii="Cambria Math" w:hAnsi="Cambria Math"/>
                        </w:rPr>
                        <m:t>,</m:t>
                      </m:r>
                      <m:r>
                        <m:rPr>
                          <m:sty m:val="p"/>
                        </m:rPr>
                        <w:rPr>
                          <w:rFonts w:ascii="Cambria Math" w:hAnsi="Cambria Math"/>
                        </w:rPr>
                        <m:t>y</m:t>
                      </m:r>
                      <m:ctrlPr>
                        <w:rPr>
                          <w:rFonts w:ascii="Cambria Math" w:hAnsi="Cambria Math"/>
                          <w:i/>
                        </w:rPr>
                      </m:ctrlPr>
                    </m:e>
                  </m:d>
                  <m:r>
                    <m:rPr>
                      <m:sty m:val="p"/>
                    </m:rPr>
                    <w:rPr>
                      <w:rFonts w:ascii="Cambria Math" w:hAnsi="Cambria Math"/>
                    </w:rPr>
                    <m:t>∈Z</m:t>
                  </m:r>
                  <m:ctrlPr>
                    <w:rPr>
                      <w:rFonts w:ascii="Cambria Math" w:hAnsi="Cambria Math"/>
                      <w:i/>
                    </w:rPr>
                  </m:ctrlPr>
                </m:sub>
                <m:sup/>
                <m:e>
                  <m:func>
                    <m:funcPr>
                      <m:ctrlPr>
                        <w:rPr>
                          <w:rFonts w:ascii="Cambria Math" w:hAnsi="Cambria Math"/>
                        </w:rPr>
                      </m:ctrlPr>
                    </m:funcPr>
                    <m:fName>
                      <m:r>
                        <m:rPr>
                          <m:sty m:val="p"/>
                        </m:rPr>
                        <w:rPr>
                          <w:rFonts w:ascii="Cambria Math" w:hAnsi="Cambria Math"/>
                        </w:rPr>
                        <m:t>log</m:t>
                      </m:r>
                    </m:fName>
                    <m:e>
                      <m:sSub>
                        <m:sSubPr>
                          <m:ctrlPr>
                            <w:rPr>
                              <w:rFonts w:ascii="Cambria Math" w:hAnsi="Cambria Math"/>
                              <w:i/>
                            </w:rPr>
                          </m:ctrlPr>
                        </m:sSubPr>
                        <m:e>
                          <m:r>
                            <m:rPr>
                              <m:sty m:val="p"/>
                            </m:rPr>
                            <w:rPr>
                              <w:rFonts w:ascii="Cambria Math" w:hAnsi="Cambria Math"/>
                            </w:rPr>
                            <m:t>P</m:t>
                          </m:r>
                          <m:ctrlPr>
                            <w:rPr>
                              <w:rFonts w:ascii="Cambria Math" w:hAnsi="Cambria Math"/>
                            </w:rPr>
                          </m:ctrlPr>
                        </m:e>
                        <m:sub>
                          <m:sSub>
                            <m:sSubPr>
                              <m:ctrlPr>
                                <w:rPr>
                                  <w:rFonts w:ascii="Cambria Math" w:hAnsi="Cambria Math"/>
                                  <w:i/>
                                </w:rPr>
                              </m:ctrlPr>
                            </m:sSubPr>
                            <m:e>
                              <m:r>
                                <m:rPr>
                                  <m:sty m:val="p"/>
                                </m:rPr>
                                <w:rPr>
                                  <w:rFonts w:ascii="Cambria Math" w:hAnsi="Cambria Math"/>
                                </w:rPr>
                                <m:t>θ</m:t>
                              </m:r>
                            </m:e>
                            <m:sub>
                              <m:r>
                                <w:rPr>
                                  <w:rFonts w:ascii="Cambria Math" w:hAnsi="Cambria Math"/>
                                </w:rPr>
                                <m:t>0</m:t>
                              </m:r>
                            </m:sub>
                          </m:sSub>
                          <m:r>
                            <w:rPr>
                              <w:rFonts w:ascii="Cambria Math" w:hAnsi="Cambria Math"/>
                            </w:rPr>
                            <m:t>+</m:t>
                          </m:r>
                          <m:r>
                            <m:rPr>
                              <m:sty m:val="p"/>
                            </m:rPr>
                            <w:rPr>
                              <w:rFonts w:ascii="Cambria Math" w:hAnsi="Cambria Math"/>
                            </w:rPr>
                            <m:t>Δθ</m:t>
                          </m:r>
                          <m:d>
                            <m:dPr>
                              <m:ctrlPr>
                                <w:rPr>
                                  <w:rFonts w:ascii="Cambria Math" w:hAnsi="Cambria Math"/>
                                </w:rPr>
                              </m:ctrlPr>
                            </m:dPr>
                            <m:e>
                              <m:r>
                                <m:rPr>
                                  <m:sty m:val="p"/>
                                </m:rPr>
                                <w:rPr>
                                  <w:rFonts w:ascii="Cambria Math" w:hAnsi="Cambria Math"/>
                                </w:rPr>
                                <m:t>ϕ</m:t>
                              </m:r>
                              <m:ctrlPr>
                                <w:rPr>
                                  <w:rFonts w:ascii="Cambria Math" w:hAnsi="Cambria Math"/>
                                  <w:i/>
                                </w:rPr>
                              </m:ctrlPr>
                            </m:e>
                          </m:d>
                        </m:sub>
                      </m:sSub>
                    </m:e>
                  </m:func>
                </m:e>
              </m:nary>
              <m:ctrlPr>
                <w:rPr>
                  <w:rFonts w:ascii="Cambria Math" w:hAnsi="Cambria Math"/>
                  <w:i/>
                </w:rPr>
              </m:ctrlPr>
            </m:e>
          </m:func>
          <m:d>
            <m:dPr>
              <m:ctrlPr>
                <w:rPr>
                  <w:rFonts w:ascii="Cambria Math" w:hAnsi="Cambria Math"/>
                </w:rPr>
              </m:ctrlPr>
            </m:dPr>
            <m:e>
              <m:r>
                <m:rPr>
                  <m:sty m:val="p"/>
                </m:rPr>
                <w:rPr>
                  <w:rFonts w:ascii="Cambria Math" w:hAnsi="Cambria Math"/>
                </w:rPr>
                <m:t>y</m:t>
              </m:r>
              <m:ctrlPr>
                <w:rPr>
                  <w:rFonts w:ascii="Cambria Math" w:eastAsia="MS Mincho" w:hAnsi="Cambria Math" w:cs="MS Mincho"/>
                </w:rPr>
              </m:ctrlPr>
            </m:e>
            <m:e>
              <m:r>
                <w:rPr>
                  <w:rFonts w:ascii="Cambria Math" w:hAnsi="Cambria Math"/>
                </w:rPr>
                <m:t> </m:t>
              </m:r>
              <m:r>
                <m:rPr>
                  <m:sty m:val="p"/>
                </m:rPr>
                <w:rPr>
                  <w:rFonts w:ascii="Cambria Math" w:hAnsi="Cambria Math"/>
                </w:rPr>
                <m:t>x</m:t>
              </m:r>
              <m:ctrlPr>
                <w:rPr>
                  <w:rFonts w:ascii="Cambria Math" w:hAnsi="Cambria Math"/>
                  <w:i/>
                </w:rPr>
              </m:ctrlPr>
            </m:e>
          </m:d>
        </m:oMath>
      </m:oMathPara>
    </w:p>
    <w:p w14:paraId="65552BE5" w14:textId="77777777" w:rsidR="0097332D" w:rsidRDefault="00682D14" w:rsidP="0097332D">
      <w:pPr>
        <w:pStyle w:val="Standard"/>
        <w:spacing w:before="200"/>
        <w:jc w:val="both"/>
        <w:rPr>
          <w:kern w:val="2"/>
        </w:rPr>
      </w:pPr>
      <w:r>
        <w:rPr>
          <w:kern w:val="2"/>
        </w:rPr>
        <w:t xml:space="preserve">where </w:t>
      </w:r>
      <w:proofErr w:type="spellStart"/>
      <m:oMath>
        <m:r>
          <m:rPr>
            <m:nor/>
          </m:rPr>
          <w:rPr>
            <w:rFonts w:ascii="Cambria Math" w:hAnsi="Cambria Math"/>
          </w:rPr>
          <m:t>Δθ</m:t>
        </m:r>
        <w:proofErr w:type="spellEnd"/>
        <m:d>
          <m:dPr>
            <m:ctrlPr>
              <w:rPr>
                <w:rFonts w:ascii="Cambria Math" w:hAnsi="Cambria Math"/>
              </w:rPr>
            </m:ctrlPr>
          </m:dPr>
          <m:e>
            <m:r>
              <w:rPr>
                <w:rFonts w:ascii="Cambria Math" w:hAnsi="Cambria Math"/>
              </w:rPr>
              <m:t>ϕ</m:t>
            </m:r>
          </m:e>
        </m:d>
      </m:oMath>
      <w:r>
        <w:rPr>
          <w:kern w:val="2"/>
        </w:rPr>
        <w:t xml:space="preserve"> is the task-specific parameter update encoded by </w:t>
      </w:r>
      <w:bookmarkStart w:id="1" w:name="_Hlk184510027"/>
      <m:oMath>
        <m:r>
          <w:rPr>
            <w:rFonts w:ascii="Cambria Math" w:hAnsi="Cambria Math"/>
            <w:kern w:val="2"/>
          </w:rPr>
          <m:t>ϕ</m:t>
        </m:r>
      </m:oMath>
      <w:bookmarkEnd w:id="1"/>
      <w:r>
        <w:rPr>
          <w:kern w:val="2"/>
        </w:rPr>
        <w:t xml:space="preserve">, and </w:t>
      </w:r>
      <w:r w:rsidR="0097332D" w:rsidRPr="0097332D">
        <w:rPr>
          <w:rFonts w:ascii="Cambria Math" w:hAnsi="Cambria Math"/>
        </w:rPr>
        <w:br/>
      </w:r>
      <m:oMath>
        <m:sSub>
          <m:sSubPr>
            <m:ctrlPr>
              <w:rPr>
                <w:rFonts w:ascii="Cambria Math" w:hAnsi="Cambria Math"/>
                <w:i/>
              </w:rPr>
            </m:ctrlPr>
          </m:sSubPr>
          <m:e>
            <m:r>
              <w:rPr>
                <w:rFonts w:ascii="Cambria Math" w:hAnsi="Cambria Math"/>
              </w:rPr>
              <m:t>P</m:t>
            </m:r>
            <m:ctrlPr>
              <w:rPr>
                <w:rFonts w:ascii="Cambria Math" w:hAnsi="Cambria Math"/>
              </w:rPr>
            </m:ctrlPr>
          </m:e>
          <m:sub>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r>
              <m:rPr>
                <m:sty m:val="p"/>
              </m:rPr>
              <w:rPr>
                <w:rFonts w:ascii="Cambria Math" w:hAnsi="Cambria Math"/>
              </w:rPr>
              <m:t>Δ</m:t>
            </m:r>
            <m:r>
              <w:rPr>
                <w:rFonts w:ascii="Cambria Math" w:hAnsi="Cambria Math"/>
              </w:rPr>
              <m:t>θ</m:t>
            </m:r>
            <m:d>
              <m:dPr>
                <m:ctrlPr>
                  <w:rPr>
                    <w:rFonts w:ascii="Cambria Math" w:hAnsi="Cambria Math"/>
                  </w:rPr>
                </m:ctrlPr>
              </m:dPr>
              <m:e>
                <m:r>
                  <w:rPr>
                    <w:rFonts w:ascii="Cambria Math" w:hAnsi="Cambria Math"/>
                  </w:rPr>
                  <m:t>ϕ</m:t>
                </m:r>
                <m:ctrlPr>
                  <w:rPr>
                    <w:rFonts w:ascii="Cambria Math" w:hAnsi="Cambria Math"/>
                    <w:i/>
                  </w:rPr>
                </m:ctrlPr>
              </m:e>
            </m:d>
          </m:sub>
        </m:sSub>
        <m:d>
          <m:dPr>
            <m:ctrlPr>
              <w:rPr>
                <w:rFonts w:ascii="Cambria Math" w:hAnsi="Cambria Math"/>
              </w:rPr>
            </m:ctrlPr>
          </m:dPr>
          <m:e>
            <m:r>
              <w:rPr>
                <w:rFonts w:ascii="Cambria Math" w:hAnsi="Cambria Math"/>
              </w:rPr>
              <m:t>y</m:t>
            </m:r>
            <m:ctrlPr>
              <w:rPr>
                <w:rFonts w:ascii="Cambria Math" w:eastAsia="MS Mincho" w:hAnsi="Cambria Math" w:cs="MS Mincho"/>
              </w:rPr>
            </m:ctrlPr>
          </m:e>
          <m:e>
            <m:r>
              <w:rPr>
                <w:rFonts w:ascii="Cambria Math" w:hAnsi="Cambria Math"/>
              </w:rPr>
              <m:t> x</m:t>
            </m:r>
            <m:ctrlPr>
              <w:rPr>
                <w:rFonts w:ascii="Cambria Math" w:hAnsi="Cambria Math"/>
                <w:i/>
              </w:rPr>
            </m:ctrlPr>
          </m:e>
        </m:d>
      </m:oMath>
      <w:r>
        <w:rPr>
          <w:kern w:val="2"/>
        </w:rPr>
        <w:t xml:space="preserve"> </w:t>
      </w:r>
      <w:r w:rsidR="0097332D">
        <w:rPr>
          <w:kern w:val="2"/>
        </w:rPr>
        <w:t>is the probability distribution over class labels for the adapted model.</w:t>
      </w:r>
    </w:p>
    <w:p w14:paraId="6C47351D" w14:textId="08AF58C3" w:rsidR="00682D14" w:rsidRDefault="003D2421" w:rsidP="000C70B3">
      <w:pPr>
        <w:pStyle w:val="Standard"/>
        <w:spacing w:before="200"/>
        <w:jc w:val="both"/>
        <w:rPr>
          <w:kern w:val="2"/>
        </w:rPr>
      </w:pPr>
      <w:r>
        <w:rPr>
          <w:noProof/>
        </w:rPr>
        <w:drawing>
          <wp:anchor distT="0" distB="0" distL="114300" distR="114300" simplePos="0" relativeHeight="251672576" behindDoc="0" locked="0" layoutInCell="0" allowOverlap="1" wp14:anchorId="16FA6FE0" wp14:editId="5C9A7B71">
            <wp:simplePos x="0" y="0"/>
            <wp:positionH relativeFrom="column">
              <wp:posOffset>486691</wp:posOffset>
            </wp:positionH>
            <wp:positionV relativeFrom="paragraph">
              <wp:posOffset>1251783</wp:posOffset>
            </wp:positionV>
            <wp:extent cx="4218305" cy="3836670"/>
            <wp:effectExtent l="0" t="0" r="0" b="0"/>
            <wp:wrapTopAndBottom/>
            <wp:docPr id="13" name="Image1" descr="A diagram of a mathematical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A diagram of a mathematical model&#10;&#10;Description automatically generated"/>
                    <pic:cNvPicPr>
                      <a:picLocks noChangeAspect="1" noChangeArrowheads="1"/>
                    </pic:cNvPicPr>
                  </pic:nvPicPr>
                  <pic:blipFill>
                    <a:blip r:embed="rId8"/>
                    <a:stretch>
                      <a:fillRect/>
                    </a:stretch>
                  </pic:blipFill>
                  <pic:spPr bwMode="auto">
                    <a:xfrm>
                      <a:off x="0" y="0"/>
                      <a:ext cx="4218305" cy="3836670"/>
                    </a:xfrm>
                    <a:prstGeom prst="rect">
                      <a:avLst/>
                    </a:prstGeom>
                    <a:noFill/>
                  </pic:spPr>
                </pic:pic>
              </a:graphicData>
            </a:graphic>
            <wp14:sizeRelH relativeFrom="margin">
              <wp14:pctWidth>0</wp14:pctWidth>
            </wp14:sizeRelH>
            <wp14:sizeRelV relativeFrom="margin">
              <wp14:pctHeight>0</wp14:pctHeight>
            </wp14:sizeRelV>
          </wp:anchor>
        </w:drawing>
      </w:r>
      <w:r w:rsidR="0093657A">
        <w:rPr>
          <w:kern w:val="2"/>
        </w:rPr>
        <w:t>Like</w:t>
      </w:r>
      <w:r w:rsidR="00FB1574">
        <w:rPr>
          <w:kern w:val="2"/>
        </w:rPr>
        <w:t xml:space="preserve"> the</w:t>
      </w:r>
      <w:r w:rsidR="00682D14">
        <w:rPr>
          <w:kern w:val="2"/>
        </w:rPr>
        <w:t xml:space="preserve"> </w:t>
      </w:r>
      <w:proofErr w:type="spellStart"/>
      <w:r w:rsidR="00682D14">
        <w:rPr>
          <w:kern w:val="2"/>
        </w:rPr>
        <w:t>LoRA</w:t>
      </w:r>
      <w:proofErr w:type="spellEnd"/>
      <w:r w:rsidR="00682D14">
        <w:rPr>
          <w:kern w:val="2"/>
        </w:rPr>
        <w:t xml:space="preserve">, in </w:t>
      </w:r>
      <w:proofErr w:type="spellStart"/>
      <w:r w:rsidR="00682D14">
        <w:rPr>
          <w:kern w:val="2"/>
        </w:rPr>
        <w:t>TLoRA</w:t>
      </w:r>
      <w:proofErr w:type="spellEnd"/>
      <w:r w:rsidR="00682D14">
        <w:rPr>
          <w:kern w:val="2"/>
        </w:rPr>
        <w:t xml:space="preserve">, the update </w:t>
      </w:r>
      <w:proofErr w:type="spellStart"/>
      <m:oMath>
        <m:r>
          <m:rPr>
            <m:nor/>
          </m:rPr>
          <w:rPr>
            <w:rFonts w:ascii="Cambria Math" w:hAnsi="Cambria Math"/>
          </w:rPr>
          <m:t>Δθ</m:t>
        </m:r>
        <w:proofErr w:type="spellEnd"/>
        <m:d>
          <m:dPr>
            <m:ctrlPr>
              <w:rPr>
                <w:rFonts w:ascii="Cambria Math" w:hAnsi="Cambria Math"/>
              </w:rPr>
            </m:ctrlPr>
          </m:dPr>
          <m:e>
            <m:r>
              <w:rPr>
                <w:rFonts w:ascii="Cambria Math" w:hAnsi="Cambria Math"/>
              </w:rPr>
              <m:t>ϕ</m:t>
            </m:r>
          </m:e>
        </m:d>
      </m:oMath>
      <w:r w:rsidR="00682D14">
        <w:rPr>
          <w:kern w:val="2"/>
        </w:rPr>
        <w:t xml:space="preserve"> is represented in a low-rank form to make the adaptation both memory- and computation-efficient. By restricting the update to a low-rank representation, we ensure that the number of learnable parameters </w:t>
      </w:r>
      <w:r w:rsidR="00C01DB4">
        <w:rPr>
          <w:kern w:val="2"/>
        </w:rPr>
        <w:t>|</w:t>
      </w:r>
      <m:oMath>
        <m:r>
          <m:rPr>
            <m:sty m:val="p"/>
          </m:rPr>
          <w:rPr>
            <w:rFonts w:ascii="Cambria Math" w:hAnsi="Cambria Math"/>
            <w:kern w:val="2"/>
          </w:rPr>
          <m:t>ϕ</m:t>
        </m:r>
        <m:r>
          <w:rPr>
            <w:rFonts w:ascii="Cambria Math" w:hAnsi="Cambria Math"/>
            <w:kern w:val="2"/>
          </w:rPr>
          <m:t>|</m:t>
        </m:r>
      </m:oMath>
      <w:r w:rsidR="00682D14">
        <w:rPr>
          <w:kern w:val="2"/>
        </w:rPr>
        <w:t xml:space="preserve"> is much smaller than the size of the original model</w:t>
      </w:r>
      <w:r w:rsidR="00862266">
        <w:rPr>
          <w:kern w:val="2"/>
        </w:rPr>
        <w:t xml:space="preserve"> </w:t>
      </w:r>
      <m:oMath>
        <m:d>
          <m:dPr>
            <m:begChr m:val="|"/>
            <m:endChr m:val="|"/>
            <m:ctrlPr>
              <w:rPr>
                <w:rFonts w:ascii="Cambria Math" w:hAnsi="Cambria Math"/>
                <w:kern w:val="2"/>
              </w:rPr>
            </m:ctrlPr>
          </m:dPr>
          <m:e>
            <m:sSub>
              <m:sSubPr>
                <m:ctrlPr>
                  <w:rPr>
                    <w:rFonts w:ascii="Cambria Math" w:hAnsi="Cambria Math"/>
                    <w:i/>
                    <w:kern w:val="2"/>
                  </w:rPr>
                </m:ctrlPr>
              </m:sSubPr>
              <m:e>
                <m:r>
                  <m:rPr>
                    <m:sty m:val="p"/>
                  </m:rPr>
                  <w:rPr>
                    <w:rFonts w:ascii="Cambria Math" w:hAnsi="Cambria Math"/>
                    <w:kern w:val="2"/>
                  </w:rPr>
                  <m:t>θ</m:t>
                </m:r>
                <m:ctrlPr>
                  <w:rPr>
                    <w:rFonts w:ascii="Cambria Math" w:hAnsi="Cambria Math"/>
                    <w:kern w:val="2"/>
                  </w:rPr>
                </m:ctrlPr>
              </m:e>
              <m:sub>
                <m:r>
                  <w:rPr>
                    <w:rFonts w:ascii="Cambria Math" w:hAnsi="Cambria Math"/>
                    <w:kern w:val="2"/>
                  </w:rPr>
                  <m:t>0</m:t>
                </m:r>
              </m:sub>
            </m:sSub>
            <m:ctrlPr>
              <w:rPr>
                <w:rFonts w:ascii="Cambria Math" w:hAnsi="Cambria Math"/>
                <w:i/>
                <w:kern w:val="2"/>
              </w:rPr>
            </m:ctrlPr>
          </m:e>
        </m:d>
      </m:oMath>
      <w:r w:rsidR="00682D14">
        <w:rPr>
          <w:kern w:val="2"/>
        </w:rPr>
        <w:t>.</w:t>
      </w:r>
      <w:r w:rsidR="000C70B3">
        <w:t xml:space="preserve"> </w:t>
      </w:r>
      <w:r w:rsidR="00682D14">
        <w:rPr>
          <w:kern w:val="2"/>
        </w:rPr>
        <w:t xml:space="preserve">In this setting, the model’s classification objective remains the same as in full fine-tuning, but now, instead of optimizing </w:t>
      </w:r>
      <w:proofErr w:type="gramStart"/>
      <w:r w:rsidR="00682D14">
        <w:rPr>
          <w:kern w:val="2"/>
        </w:rPr>
        <w:t xml:space="preserve">all </w:t>
      </w:r>
      <w:r w:rsidR="0093657A">
        <w:rPr>
          <w:kern w:val="2"/>
        </w:rPr>
        <w:t>of</w:t>
      </w:r>
      <w:proofErr w:type="gramEnd"/>
      <w:r w:rsidR="00682D14">
        <w:rPr>
          <w:kern w:val="2"/>
        </w:rPr>
        <w:t xml:space="preserve"> </w:t>
      </w:r>
      <m:oMath>
        <m:r>
          <w:rPr>
            <w:rFonts w:ascii="Cambria Math" w:hAnsi="Cambria Math"/>
          </w:rPr>
          <m:t>θ</m:t>
        </m:r>
      </m:oMath>
      <w:r w:rsidR="00682D14">
        <w:rPr>
          <w:kern w:val="2"/>
        </w:rPr>
        <w:t xml:space="preserve">, we only need to optimize the much smaller parameter set </w:t>
      </w:r>
      <m:oMath>
        <m:r>
          <w:rPr>
            <w:rFonts w:ascii="Cambria Math" w:hAnsi="Cambria Math"/>
            <w:kern w:val="2"/>
          </w:rPr>
          <m:t>ϕ</m:t>
        </m:r>
      </m:oMath>
      <w:r w:rsidR="00682D14">
        <w:rPr>
          <w:kern w:val="2"/>
        </w:rPr>
        <w:t>, which encodes the low-rank adaptation.</w:t>
      </w:r>
    </w:p>
    <w:p w14:paraId="57D98C9B" w14:textId="2F4517D0" w:rsidR="009E355A" w:rsidRDefault="009E355A" w:rsidP="000C70B3">
      <w:pPr>
        <w:pStyle w:val="Standard"/>
        <w:spacing w:before="200"/>
        <w:jc w:val="both"/>
        <w:rPr>
          <w:kern w:val="2"/>
        </w:rPr>
      </w:pPr>
    </w:p>
    <w:p w14:paraId="36DFD9B7" w14:textId="3755E3A0" w:rsidR="009E355A" w:rsidRPr="000C70B3" w:rsidRDefault="009E355A" w:rsidP="000C70B3">
      <w:pPr>
        <w:pStyle w:val="Standard"/>
        <w:spacing w:before="200"/>
        <w:jc w:val="both"/>
        <w:rPr>
          <w:noProof/>
        </w:rPr>
      </w:pPr>
      <w:r w:rsidRPr="001D5F50">
        <w:rPr>
          <w:b/>
          <w:bCs/>
          <w:noProof/>
        </w:rPr>
        <w:t>Figure 1:</w:t>
      </w:r>
      <w:r w:rsidRPr="001D5F50">
        <w:rPr>
          <w:noProof/>
        </w:rPr>
        <w:t xml:space="preserve"> Schematic representation of TLoRA. The weight update is decomposed into a tri-matrix structure consisting of two fixed random matrices </w:t>
      </w:r>
      <m:oMath>
        <m:r>
          <w:rPr>
            <w:rFonts w:ascii="Cambria Math" w:hAnsi="Cambria Math"/>
            <w:noProof/>
          </w:rPr>
          <m:t>A</m:t>
        </m:r>
      </m:oMath>
      <w:r w:rsidRPr="001D5F50">
        <w:rPr>
          <w:noProof/>
        </w:rPr>
        <w:t xml:space="preserve"> and </w:t>
      </w:r>
      <m:oMath>
        <m:r>
          <w:rPr>
            <w:rFonts w:ascii="Cambria Math" w:hAnsi="Cambria Math"/>
            <w:noProof/>
          </w:rPr>
          <m:t>C</m:t>
        </m:r>
      </m:oMath>
      <w:r w:rsidRPr="001D5F50">
        <w:rPr>
          <w:noProof/>
        </w:rPr>
        <w:t xml:space="preserve">, and a trainable matrix BBB. The input </w:t>
      </w:r>
      <m:oMath>
        <m:r>
          <w:rPr>
            <w:rFonts w:ascii="Cambria Math" w:hAnsi="Cambria Math"/>
            <w:noProof/>
          </w:rPr>
          <m:t>x</m:t>
        </m:r>
      </m:oMath>
      <w:r w:rsidRPr="001D5F50">
        <w:rPr>
          <w:noProof/>
        </w:rPr>
        <w:t xml:space="preserve"> is projected through the sequence of matrices </w:t>
      </w:r>
      <m:oMath>
        <m:r>
          <w:rPr>
            <w:rFonts w:ascii="Cambria Math" w:hAnsi="Cambria Math"/>
            <w:noProof/>
          </w:rPr>
          <m:t>A, B, C</m:t>
        </m:r>
      </m:oMath>
      <w:r w:rsidRPr="001D5F50">
        <w:rPr>
          <w:noProof/>
        </w:rPr>
        <w:t>, followed by a learnable scaling factor to control the magnitude of the adaptation. This tri-matrix design enables efficient low-rank adaptation while minimizing trainable parameters.</w:t>
      </w:r>
    </w:p>
    <w:p w14:paraId="02CD7FF7" w14:textId="77777777" w:rsidR="00682D14" w:rsidRDefault="00682D14" w:rsidP="00682D14">
      <w:pPr>
        <w:pStyle w:val="Standard"/>
        <w:widowControl w:val="0"/>
        <w:spacing w:before="200"/>
        <w:jc w:val="both"/>
        <w:rPr>
          <w:b/>
          <w:bCs/>
        </w:rPr>
      </w:pPr>
      <w:r>
        <w:rPr>
          <w:b/>
          <w:bCs/>
          <w:kern w:val="2"/>
        </w:rPr>
        <w:t>2.2 Tri-matrix decomposition and adaptive scaling</w:t>
      </w:r>
    </w:p>
    <w:p w14:paraId="20B2E5E6" w14:textId="371D9E8B" w:rsidR="00682D14" w:rsidRDefault="00682D14" w:rsidP="00682D14">
      <w:pPr>
        <w:pStyle w:val="Standard"/>
        <w:widowControl w:val="0"/>
        <w:spacing w:before="200"/>
        <w:jc w:val="both"/>
      </w:pPr>
      <w:proofErr w:type="spellStart"/>
      <w:r>
        <w:rPr>
          <w:kern w:val="2"/>
        </w:rPr>
        <w:t>TLoRA</w:t>
      </w:r>
      <w:proofErr w:type="spellEnd"/>
      <w:r>
        <w:rPr>
          <w:kern w:val="2"/>
        </w:rPr>
        <w:t xml:space="preserve"> is an extension of the Low-Rank Adaptation (</w:t>
      </w:r>
      <w:proofErr w:type="spellStart"/>
      <w:r>
        <w:rPr>
          <w:kern w:val="2"/>
        </w:rPr>
        <w:t>LoRA</w:t>
      </w:r>
      <w:proofErr w:type="spellEnd"/>
      <w:r>
        <w:rPr>
          <w:kern w:val="2"/>
        </w:rPr>
        <w:t xml:space="preserve">) technique </w:t>
      </w:r>
      <w:r w:rsidR="00C01DB4">
        <w:rPr>
          <w:kern w:val="2"/>
        </w:rPr>
        <w:fldChar w:fldCharType="begin"/>
      </w:r>
      <w:r w:rsidR="00C01DB4">
        <w:rPr>
          <w:kern w:val="2"/>
        </w:rPr>
        <w:instrText xml:space="preserve"> ADDIN ZOTERO_ITEM CSL_CITATION {"citationID":"i3txCpoI","properties":{"formattedCitation":"(Hu et al. 2021)","plainCitation":"(Hu et al. 2021)","noteIndex":0},"citationItems":[{"id":37,"uris":["http://zotero.org/users/local/laQS5fZL/items/FM3STULA"],"itemData":{"id":37,"type":"article-journal","container-title":"arXiv preprint arXiv:2106.09685","title":"Lora: Low-rank adaptation of large language models","author":[{"family":"Hu","given":"Edward J"},{"family":"Shen","given":"Yelong"},{"family":"Wallis","given":"Phillip"},{"family":"Allen-Zhu","given":"Zeyuan"},{"family":"Li","given":"Yuanzhi"},{"family":"Wang","given":"Shean"},{"family":"Wang","given":"Lu"},{"family":"Chen","given":"Weizhu"}],"issued":{"date-parts":[["2021"]]}}}],"schema":"https://github.com/citation-style-language/schema/raw/master/csl-citation.json"} </w:instrText>
      </w:r>
      <w:r w:rsidR="00C01DB4">
        <w:rPr>
          <w:kern w:val="2"/>
        </w:rPr>
        <w:fldChar w:fldCharType="separate"/>
      </w:r>
      <w:r w:rsidR="00C01DB4">
        <w:rPr>
          <w:noProof/>
          <w:kern w:val="2"/>
        </w:rPr>
        <w:t>(Hu et al. 2021)</w:t>
      </w:r>
      <w:r w:rsidR="00C01DB4">
        <w:rPr>
          <w:kern w:val="2"/>
        </w:rPr>
        <w:fldChar w:fldCharType="end"/>
      </w:r>
      <w:r w:rsidR="00C01DB4">
        <w:rPr>
          <w:kern w:val="2"/>
        </w:rPr>
        <w:t xml:space="preserve"> </w:t>
      </w:r>
      <w:r>
        <w:rPr>
          <w:kern w:val="2"/>
        </w:rPr>
        <w:t xml:space="preserve">that uses a tri-matrix decomposition for more flexible and efficient adaptation of pre-trained language models to downstream tasks. </w:t>
      </w:r>
      <w:proofErr w:type="spellStart"/>
      <w:r>
        <w:rPr>
          <w:kern w:val="2"/>
        </w:rPr>
        <w:t>TLoRA</w:t>
      </w:r>
      <w:proofErr w:type="spellEnd"/>
      <w:r>
        <w:rPr>
          <w:kern w:val="2"/>
        </w:rPr>
        <w:t xml:space="preserve"> allows for a more granular adaptation of the model's weights while maintaining a minimal increase in parameters by introducing three low-rank matrices. Additionally, </w:t>
      </w:r>
      <w:proofErr w:type="spellStart"/>
      <w:r>
        <w:rPr>
          <w:kern w:val="2"/>
        </w:rPr>
        <w:t>TLoRA</w:t>
      </w:r>
      <w:proofErr w:type="spellEnd"/>
      <w:r>
        <w:rPr>
          <w:kern w:val="2"/>
        </w:rPr>
        <w:t xml:space="preserve"> incorporates a trainable scaling factor to control the magnitude of the low-rank update. </w:t>
      </w:r>
      <w:r w:rsidR="00BB736D" w:rsidRPr="00BB736D">
        <w:rPr>
          <w:kern w:val="2"/>
        </w:rPr>
        <w:t xml:space="preserve">Figure 1 provides a visual representation of </w:t>
      </w:r>
      <w:proofErr w:type="spellStart"/>
      <w:r w:rsidR="00BB736D" w:rsidRPr="00BB736D">
        <w:rPr>
          <w:kern w:val="2"/>
        </w:rPr>
        <w:t>TLoRA's</w:t>
      </w:r>
      <w:proofErr w:type="spellEnd"/>
      <w:r w:rsidR="00BB736D" w:rsidRPr="00BB736D">
        <w:rPr>
          <w:kern w:val="2"/>
        </w:rPr>
        <w:t xml:space="preserve"> fine-tuning process</w:t>
      </w:r>
      <w:r>
        <w:rPr>
          <w:kern w:val="2"/>
        </w:rPr>
        <w:t>.</w:t>
      </w:r>
    </w:p>
    <w:p w14:paraId="16CE9F70" w14:textId="77777777" w:rsidR="00682D14" w:rsidRDefault="00682D14" w:rsidP="00682D14">
      <w:pPr>
        <w:pStyle w:val="Standard"/>
        <w:widowControl w:val="0"/>
        <w:spacing w:before="200"/>
        <w:jc w:val="both"/>
        <w:rPr>
          <w:b/>
          <w:bCs/>
          <w:i/>
          <w:iCs/>
        </w:rPr>
      </w:pPr>
      <w:proofErr w:type="spellStart"/>
      <w:r>
        <w:rPr>
          <w:b/>
          <w:bCs/>
          <w:i/>
          <w:iCs/>
        </w:rPr>
        <w:t>TLoRA</w:t>
      </w:r>
      <w:proofErr w:type="spellEnd"/>
      <w:r>
        <w:rPr>
          <w:b/>
          <w:bCs/>
          <w:i/>
          <w:iCs/>
        </w:rPr>
        <w:t xml:space="preserve"> Decomposition and Weight Update</w:t>
      </w:r>
    </w:p>
    <w:p w14:paraId="0FC73E91" w14:textId="5BFAEE97" w:rsidR="00682D14" w:rsidRDefault="00682D14" w:rsidP="00682D14">
      <w:pPr>
        <w:pStyle w:val="Standard"/>
        <w:widowControl w:val="0"/>
        <w:spacing w:before="200"/>
        <w:jc w:val="both"/>
      </w:pPr>
      <w:r>
        <w:t xml:space="preserve">Given a pre-trained </w:t>
      </w:r>
      <w:r>
        <w:rPr>
          <w:kern w:val="2"/>
        </w:rPr>
        <w:t xml:space="preserve">autoregressive language model with </w:t>
      </w:r>
      <w:r>
        <w:t>weight matrix</w:t>
      </w:r>
      <w:r w:rsidR="00D85AE5">
        <w:t xml:space="preserve"> </w:t>
      </w:r>
      <m:oMath>
        <m:sSub>
          <m:sSubPr>
            <m:ctrlPr>
              <w:rPr>
                <w:rFonts w:ascii="Cambria Math" w:hAnsi="Cambria Math"/>
                <w:i/>
              </w:rPr>
            </m:ctrlPr>
          </m:sSubPr>
          <m:e>
            <m:r>
              <w:rPr>
                <w:rFonts w:ascii="Cambria Math" w:hAnsi="Cambria Math"/>
              </w:rPr>
              <m:t>W</m:t>
            </m:r>
          </m:e>
          <m:sub>
            <m:r>
              <w:rPr>
                <w:rFonts w:ascii="Cambria Math" w:hAnsi="Cambria Math"/>
              </w:rPr>
              <m:t>0</m:t>
            </m:r>
          </m:sub>
        </m:sSub>
        <m:r>
          <m:rPr>
            <m:sty m:val="p"/>
          </m:rP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r>
              <m:rPr>
                <m:sty m:val="p"/>
              </m:rPr>
              <w:rPr>
                <w:rFonts w:ascii="Cambria Math" w:hAnsi="Cambria Math"/>
              </w:rPr>
              <m:t>×</m:t>
            </m:r>
            <m:r>
              <w:rPr>
                <w:rFonts w:ascii="Cambria Math" w:hAnsi="Cambria Math"/>
              </w:rPr>
              <m:t>k</m:t>
            </m:r>
          </m:sup>
        </m:sSup>
      </m:oMath>
      <w:r>
        <w:t xml:space="preserve">, </w:t>
      </w:r>
      <w:proofErr w:type="spellStart"/>
      <w:r>
        <w:t>TLoRA</w:t>
      </w:r>
      <w:proofErr w:type="spellEnd"/>
      <w:r>
        <w:t xml:space="preserve"> computes the weight update</w:t>
      </w:r>
      <w:r w:rsidR="006F5505">
        <w:t xml:space="preserve"> </w:t>
      </w:r>
      <m:oMath>
        <m:r>
          <m:rPr>
            <m:sty m:val="p"/>
          </m:rPr>
          <w:rPr>
            <w:rFonts w:ascii="Cambria Math" w:hAnsi="Cambria Math"/>
          </w:rPr>
          <m:t>Δ</m:t>
        </m:r>
        <m:r>
          <w:rPr>
            <w:rFonts w:ascii="Cambria Math" w:hAnsi="Cambria Math"/>
          </w:rPr>
          <m:t>W</m:t>
        </m:r>
      </m:oMath>
      <w:r>
        <w:t xml:space="preserve"> through a tri-matrix decomposition. </w:t>
      </w:r>
      <w:r w:rsidR="002F4A3C" w:rsidRPr="002F4A3C">
        <w:t>Specifically, the update is decomposed into three low-rank matrices</w:t>
      </w:r>
      <w:r>
        <w:t>:</w:t>
      </w:r>
    </w:p>
    <w:p w14:paraId="69B800F6" w14:textId="2F6310AD" w:rsidR="00682D14" w:rsidRDefault="00101E74" w:rsidP="00101E74">
      <w:pPr>
        <w:pStyle w:val="Standard"/>
        <w:widowControl w:val="0"/>
        <w:spacing w:before="200"/>
        <w:jc w:val="both"/>
      </w:pPr>
      <m:oMathPara>
        <m:oMath>
          <m:r>
            <w:rPr>
              <w:rFonts w:ascii="Cambria Math" w:hAnsi="Cambria Math"/>
            </w:rPr>
            <m:t>A</m:t>
          </m:r>
          <m:r>
            <m:rPr>
              <m:sty m:val="p"/>
            </m:rP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k</m:t>
              </m:r>
              <m:r>
                <m:rPr>
                  <m:sty m:val="p"/>
                </m:rPr>
                <w:rPr>
                  <w:rFonts w:ascii="Cambria Math" w:hAnsi="Cambria Math"/>
                </w:rPr>
                <m:t>×</m:t>
              </m:r>
              <m:r>
                <w:rPr>
                  <w:rFonts w:ascii="Cambria Math" w:hAnsi="Cambria Math"/>
                </w:rPr>
                <m:t>r</m:t>
              </m:r>
            </m:sup>
          </m:sSup>
          <m:r>
            <w:rPr>
              <w:rFonts w:ascii="Cambria Math" w:hAnsi="Cambria Math"/>
            </w:rPr>
            <m:t>,</m:t>
          </m:r>
          <m:r>
            <m:rPr>
              <m:sty m:val="p"/>
            </m:rPr>
            <w:rPr>
              <w:rFonts w:ascii="Cambria Math" w:hAnsi="Cambria Math"/>
            </w:rPr>
            <m:t> </m:t>
          </m:r>
          <m:r>
            <w:rPr>
              <w:rFonts w:ascii="Cambria Math" w:hAnsi="Cambria Math"/>
            </w:rPr>
            <m:t>B</m:t>
          </m:r>
          <m:r>
            <m:rPr>
              <m:sty m:val="p"/>
            </m:rP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r</m:t>
              </m:r>
              <m:r>
                <m:rPr>
                  <m:sty m:val="p"/>
                </m:rPr>
                <w:rPr>
                  <w:rFonts w:ascii="Cambria Math" w:hAnsi="Cambria Math"/>
                </w:rPr>
                <m:t>×</m:t>
              </m:r>
              <m:r>
                <w:rPr>
                  <w:rFonts w:ascii="Cambria Math" w:hAnsi="Cambria Math"/>
                </w:rPr>
                <m:t>r</m:t>
              </m:r>
            </m:sup>
          </m:sSup>
          <m:r>
            <w:rPr>
              <w:rFonts w:ascii="Cambria Math" w:hAnsi="Cambria Math"/>
            </w:rPr>
            <m:t>,</m:t>
          </m:r>
          <m:r>
            <m:rPr>
              <m:sty m:val="p"/>
            </m:rPr>
            <w:rPr>
              <w:rFonts w:ascii="Cambria Math" w:hAnsi="Cambria Math"/>
            </w:rPr>
            <m:t> </m:t>
          </m:r>
          <m:r>
            <w:rPr>
              <w:rFonts w:ascii="Cambria Math" w:hAnsi="Cambria Math"/>
            </w:rPr>
            <m:t>C</m:t>
          </m:r>
          <m:r>
            <m:rPr>
              <m:sty m:val="p"/>
            </m:rP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r</m:t>
              </m:r>
              <m:r>
                <m:rPr>
                  <m:sty m:val="p"/>
                </m:rPr>
                <w:rPr>
                  <w:rFonts w:ascii="Cambria Math" w:hAnsi="Cambria Math"/>
                </w:rPr>
                <m:t>×</m:t>
              </m:r>
              <m:r>
                <w:rPr>
                  <w:rFonts w:ascii="Cambria Math" w:hAnsi="Cambria Math"/>
                </w:rPr>
                <m:t>d</m:t>
              </m:r>
            </m:sup>
          </m:sSup>
        </m:oMath>
      </m:oMathPara>
    </w:p>
    <w:p w14:paraId="5309D7B9" w14:textId="0D39DB8B" w:rsidR="00682D14" w:rsidRDefault="00682D14" w:rsidP="00682D14">
      <w:pPr>
        <w:pStyle w:val="Standard"/>
        <w:widowControl w:val="0"/>
        <w:spacing w:before="200"/>
        <w:jc w:val="both"/>
      </w:pPr>
      <w:r>
        <w:rPr>
          <w:kern w:val="2"/>
        </w:rPr>
        <w:t xml:space="preserve">where </w:t>
      </w:r>
      <m:oMath>
        <m:r>
          <w:rPr>
            <w:rFonts w:ascii="Cambria Math" w:hAnsi="Cambria Math"/>
            <w:kern w:val="2"/>
          </w:rPr>
          <m:t>r</m:t>
        </m:r>
      </m:oMath>
      <w:r>
        <w:rPr>
          <w:kern w:val="2"/>
        </w:rPr>
        <w:t xml:space="preserve"> is the rank of the decomposition, typically much smaller than</w:t>
      </w:r>
      <w:r w:rsidR="00660FF2">
        <w:rPr>
          <w:kern w:val="2"/>
        </w:rPr>
        <w:t xml:space="preserve"> </w:t>
      </w:r>
      <m:oMath>
        <m:r>
          <w:rPr>
            <w:rFonts w:ascii="Cambria Math" w:hAnsi="Cambria Math"/>
            <w:kern w:val="2"/>
          </w:rPr>
          <m:t>d</m:t>
        </m:r>
      </m:oMath>
      <w:r w:rsidR="00E307F2">
        <w:rPr>
          <w:kern w:val="2"/>
        </w:rPr>
        <w:t>,</w:t>
      </w:r>
      <w:r w:rsidR="00660FF2">
        <w:rPr>
          <w:kern w:val="2"/>
        </w:rPr>
        <w:t xml:space="preserve"> (</w:t>
      </w:r>
      <m:oMath>
        <m:r>
          <w:rPr>
            <w:rFonts w:ascii="Cambria Math" w:hAnsi="Cambria Math"/>
            <w:kern w:val="2"/>
          </w:rPr>
          <m:t xml:space="preserve"> r </m:t>
        </m:r>
        <m:r>
          <m:rPr>
            <m:sty m:val="p"/>
          </m:rPr>
          <w:rPr>
            <w:rFonts w:ascii="Cambria Math" w:hAnsi="Cambria Math"/>
            <w:kern w:val="2"/>
          </w:rPr>
          <m:t>≪</m:t>
        </m:r>
        <m:r>
          <w:rPr>
            <w:rFonts w:ascii="Cambria Math" w:hAnsi="Cambria Math"/>
            <w:kern w:val="2"/>
          </w:rPr>
          <m:t>d</m:t>
        </m:r>
      </m:oMath>
      <w:r w:rsidR="00660FF2">
        <w:rPr>
          <w:kern w:val="2"/>
        </w:rPr>
        <w:t xml:space="preserve">) </w:t>
      </w:r>
      <w:r>
        <w:rPr>
          <w:kern w:val="2"/>
        </w:rPr>
        <w:t>to ensure that the number of parameters added during adaptation remains small. The original weight matrix</w:t>
      </w:r>
      <w:r w:rsidR="00660FF2">
        <w:rPr>
          <w:kern w:val="2"/>
        </w:rPr>
        <w:t xml:space="preserve"> </w:t>
      </w:r>
      <m:oMath>
        <m:sSub>
          <m:sSubPr>
            <m:ctrlPr>
              <w:rPr>
                <w:rFonts w:ascii="Cambria Math" w:hAnsi="Cambria Math"/>
                <w:i/>
                <w:kern w:val="2"/>
              </w:rPr>
            </m:ctrlPr>
          </m:sSubPr>
          <m:e>
            <m:r>
              <w:rPr>
                <w:rFonts w:ascii="Cambria Math" w:hAnsi="Cambria Math"/>
                <w:kern w:val="2"/>
              </w:rPr>
              <m:t>W</m:t>
            </m:r>
          </m:e>
          <m:sub>
            <m:r>
              <w:rPr>
                <w:rFonts w:ascii="Cambria Math" w:hAnsi="Cambria Math"/>
                <w:kern w:val="2"/>
              </w:rPr>
              <m:t>0</m:t>
            </m:r>
          </m:sub>
        </m:sSub>
      </m:oMath>
      <w:r>
        <w:rPr>
          <w:kern w:val="2"/>
        </w:rPr>
        <w:t xml:space="preserve"> of the layer remains frozen.</w:t>
      </w:r>
    </w:p>
    <w:p w14:paraId="3BA5C5CD" w14:textId="68B410FB" w:rsidR="00682D14" w:rsidRDefault="00682D14" w:rsidP="00682D14">
      <w:pPr>
        <w:pStyle w:val="Standard"/>
        <w:widowControl w:val="0"/>
        <w:spacing w:before="200"/>
        <w:jc w:val="both"/>
      </w:pPr>
      <w:r>
        <w:t xml:space="preserve">In </w:t>
      </w:r>
      <w:proofErr w:type="spellStart"/>
      <w:r>
        <w:t>TLoRA</w:t>
      </w:r>
      <w:proofErr w:type="spellEnd"/>
      <w:r>
        <w:t>, only the matrix</w:t>
      </w:r>
      <w:r w:rsidR="00371D23">
        <w:t xml:space="preserve"> </w:t>
      </w:r>
      <m:oMath>
        <m:r>
          <w:rPr>
            <w:rFonts w:ascii="Cambria Math" w:hAnsi="Cambria Math"/>
          </w:rPr>
          <m:t>B</m:t>
        </m:r>
      </m:oMath>
      <w:r>
        <w:t xml:space="preserve"> is trainable, while matrices </w:t>
      </w:r>
      <m:oMath>
        <m:r>
          <w:rPr>
            <w:rFonts w:ascii="Cambria Math" w:hAnsi="Cambria Math"/>
          </w:rPr>
          <m:t>A</m:t>
        </m:r>
      </m:oMath>
      <w:r>
        <w:t xml:space="preserve"> and </w:t>
      </w:r>
      <m:oMath>
        <m:r>
          <w:rPr>
            <w:rFonts w:ascii="Cambria Math" w:hAnsi="Cambria Math"/>
          </w:rPr>
          <m:t>C</m:t>
        </m:r>
      </m:oMath>
      <w:r>
        <w:t xml:space="preserve"> are randomly initialized and fixed (non-trainable) throughout adaptation. This design leverages the efficiency of low-rank updates without requiring significant parameter growth. The technical rationale for keeping </w:t>
      </w:r>
      <m:oMath>
        <m:r>
          <w:rPr>
            <w:rFonts w:ascii="Cambria Math" w:hAnsi="Cambria Math"/>
          </w:rPr>
          <m:t>A</m:t>
        </m:r>
      </m:oMath>
      <w:r w:rsidR="006C1B7A">
        <w:t xml:space="preserve"> and </w:t>
      </w:r>
      <m:oMath>
        <m:r>
          <w:rPr>
            <w:rFonts w:ascii="Cambria Math" w:hAnsi="Cambria Math"/>
          </w:rPr>
          <m:t>C</m:t>
        </m:r>
      </m:oMath>
      <w:r>
        <w:t xml:space="preserve"> fixed and random is to create a structured yet efficient transformation that enhances model flexibility with minimal additional parameters. By making </w:t>
      </w:r>
      <m:oMath>
        <m:r>
          <w:rPr>
            <w:rFonts w:ascii="Cambria Math" w:hAnsi="Cambria Math"/>
          </w:rPr>
          <m:t>B</m:t>
        </m:r>
      </m:oMath>
      <w:r>
        <w:t xml:space="preserve"> trainable, TLoRA allows the model to learn a task-specific transformation within a constrained low-rank space defined by </w:t>
      </w:r>
      <m:oMath>
        <m:r>
          <w:rPr>
            <w:rFonts w:ascii="Cambria Math" w:hAnsi="Cambria Math"/>
          </w:rPr>
          <m:t>A</m:t>
        </m:r>
      </m:oMath>
      <w:r w:rsidR="00371D23">
        <w:t xml:space="preserve"> and </w:t>
      </w:r>
      <m:oMath>
        <m:r>
          <w:rPr>
            <w:rFonts w:ascii="Cambria Math" w:hAnsi="Cambria Math"/>
          </w:rPr>
          <m:t>C</m:t>
        </m:r>
      </m:oMath>
      <w:r>
        <w:t>.</w:t>
      </w:r>
    </w:p>
    <w:p w14:paraId="61A20B08" w14:textId="77777777" w:rsidR="00682D14" w:rsidRDefault="00682D14" w:rsidP="00682D14">
      <w:pPr>
        <w:pStyle w:val="Standard"/>
        <w:widowControl w:val="0"/>
        <w:spacing w:before="200"/>
        <w:jc w:val="both"/>
      </w:pPr>
      <w:r>
        <w:t>The low-rank update is computed as the product of these three matrices:</w:t>
      </w:r>
    </w:p>
    <w:p w14:paraId="208E2FA3" w14:textId="26C8673E" w:rsidR="00682D14" w:rsidRDefault="006C1B7A" w:rsidP="00682D14">
      <w:pPr>
        <w:pStyle w:val="Standard"/>
        <w:widowControl w:val="0"/>
        <w:spacing w:before="200"/>
        <w:jc w:val="center"/>
      </w:pPr>
      <m:oMathPara>
        <m:oMath>
          <m:r>
            <m:rPr>
              <m:sty m:val="p"/>
            </m:rPr>
            <w:rPr>
              <w:rFonts w:ascii="Cambria Math" w:hAnsi="Cambria Math"/>
            </w:rPr>
            <m:t>Δ</m:t>
          </m:r>
          <m:r>
            <w:rPr>
              <w:rFonts w:ascii="Cambria Math" w:hAnsi="Cambria Math"/>
            </w:rPr>
            <m:t>W = A B C</m:t>
          </m:r>
        </m:oMath>
      </m:oMathPara>
    </w:p>
    <w:p w14:paraId="09C6521D" w14:textId="085CDD8E" w:rsidR="00682D14" w:rsidRDefault="00682D14" w:rsidP="00682D14">
      <w:pPr>
        <w:pStyle w:val="Standard"/>
        <w:widowControl w:val="0"/>
        <w:spacing w:before="200"/>
        <w:jc w:val="both"/>
      </w:pPr>
      <w:r>
        <w:t xml:space="preserve">The adapted weight matrix </w:t>
      </w:r>
      <m:oMath>
        <m:sSub>
          <m:sSubPr>
            <m:ctrlPr>
              <w:rPr>
                <w:rFonts w:ascii="Cambria Math" w:hAnsi="Cambria Math"/>
              </w:rPr>
            </m:ctrlPr>
          </m:sSubPr>
          <m:e>
            <m:r>
              <m:rPr>
                <m:sty m:val="p"/>
              </m:rPr>
              <w:rPr>
                <w:rFonts w:ascii="Cambria Math" w:hAnsi="Cambria Math"/>
              </w:rPr>
              <m:t>W</m:t>
            </m:r>
          </m:e>
          <m:sub>
            <m:r>
              <m:rPr>
                <m:nor/>
              </m:rPr>
              <w:rPr>
                <w:rFonts w:ascii="Cambria Math" w:hAnsi="Cambria Math"/>
              </w:rPr>
              <m:t>adapted</m:t>
            </m:r>
          </m:sub>
        </m:sSub>
      </m:oMath>
      <w:r>
        <w:t xml:space="preserve"> is then the sum of the original weight matrix </w:t>
      </w:r>
      <m:oMath>
        <m:sSub>
          <m:sSubPr>
            <m:ctrlPr>
              <w:rPr>
                <w:rFonts w:ascii="Cambria Math" w:hAnsi="Cambria Math"/>
                <w:i/>
                <w:kern w:val="2"/>
              </w:rPr>
            </m:ctrlPr>
          </m:sSubPr>
          <m:e>
            <m:r>
              <w:rPr>
                <w:rFonts w:ascii="Cambria Math" w:hAnsi="Cambria Math"/>
                <w:kern w:val="2"/>
              </w:rPr>
              <m:t>W</m:t>
            </m:r>
          </m:e>
          <m:sub>
            <m:r>
              <w:rPr>
                <w:rFonts w:ascii="Cambria Math" w:hAnsi="Cambria Math"/>
                <w:kern w:val="2"/>
              </w:rPr>
              <m:t>0</m:t>
            </m:r>
          </m:sub>
        </m:sSub>
      </m:oMath>
      <w:r>
        <w:t xml:space="preserve"> and the low-rank update </w:t>
      </w:r>
      <m:oMath>
        <m:r>
          <m:rPr>
            <m:sty m:val="p"/>
          </m:rPr>
          <w:rPr>
            <w:rFonts w:ascii="Cambria Math" w:hAnsi="Cambria Math"/>
          </w:rPr>
          <m:t>Δ</m:t>
        </m:r>
        <m:r>
          <w:rPr>
            <w:rFonts w:ascii="Cambria Math" w:hAnsi="Cambria Math"/>
          </w:rPr>
          <m:t>W</m:t>
        </m:r>
      </m:oMath>
      <w:r>
        <w:t>:</w:t>
      </w:r>
    </w:p>
    <w:p w14:paraId="4057BF75" w14:textId="6D8076E6" w:rsidR="00682D14" w:rsidRPr="00DB0813" w:rsidRDefault="00000000" w:rsidP="00DB0813">
      <w:pPr>
        <w:pStyle w:val="Standard"/>
        <w:spacing w:before="200"/>
        <w:jc w:val="center"/>
        <w:rPr>
          <w:i/>
        </w:rPr>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adapted</m:t>
              </m:r>
            </m:sub>
          </m:sSub>
          <m:r>
            <w:rPr>
              <w:rFonts w:ascii="Cambria Math" w:hAnsi="Cambria Math"/>
            </w:rPr>
            <m:t>=</m:t>
          </m:r>
          <m:sSub>
            <m:sSubPr>
              <m:ctrlPr>
                <w:rPr>
                  <w:rFonts w:ascii="Cambria Math" w:hAnsi="Cambria Math"/>
                </w:rPr>
              </m:ctrlPr>
            </m:sSubPr>
            <m:e>
              <m:r>
                <m:rPr>
                  <m:sty m:val="p"/>
                </m:rPr>
                <w:rPr>
                  <w:rFonts w:ascii="Cambria Math" w:hAnsi="Cambria Math"/>
                </w:rPr>
                <m:t>W</m:t>
              </m:r>
              <m:ctrlPr>
                <w:rPr>
                  <w:rFonts w:ascii="Cambria Math" w:hAnsi="Cambria Math"/>
                  <w:i/>
                </w:rPr>
              </m:ctrlPr>
            </m:e>
            <m:sub>
              <m:r>
                <w:rPr>
                  <w:rFonts w:ascii="Cambria Math" w:hAnsi="Cambria Math"/>
                </w:rPr>
                <m:t>0</m:t>
              </m:r>
            </m:sub>
          </m:sSub>
          <m:r>
            <w:rPr>
              <w:rFonts w:ascii="Cambria Math" w:hAnsi="Cambria Math"/>
            </w:rPr>
            <m:t>+</m:t>
          </m:r>
          <m:r>
            <m:rPr>
              <m:sty m:val="p"/>
            </m:rPr>
            <w:rPr>
              <w:rFonts w:ascii="Cambria Math" w:hAnsi="Cambria Math"/>
            </w:rPr>
            <m:t>α</m:t>
          </m:r>
          <m:r>
            <m:rPr>
              <m:sty m:val="p"/>
            </m:rPr>
            <w:rPr>
              <w:rFonts w:ascii="Cambria Math" w:hAnsi="Cambria Math"/>
            </w:rPr>
            <m:t>Δ</m:t>
          </m:r>
          <m:r>
            <w:rPr>
              <w:rFonts w:ascii="Cambria Math" w:hAnsi="Cambria Math"/>
            </w:rPr>
            <m:t> </m:t>
          </m:r>
          <m:r>
            <m:rPr>
              <m:sty m:val="p"/>
            </m:rPr>
            <w:rPr>
              <w:rFonts w:ascii="Cambria Math" w:hAnsi="Cambria Math"/>
            </w:rPr>
            <m:t>W</m:t>
          </m:r>
          <m:r>
            <w:rPr>
              <w:rFonts w:ascii="Cambria Math" w:hAnsi="Cambria Math"/>
            </w:rPr>
            <m:t>=</m:t>
          </m:r>
          <m:sSub>
            <m:sSubPr>
              <m:ctrlPr>
                <w:rPr>
                  <w:rFonts w:ascii="Cambria Math" w:hAnsi="Cambria Math"/>
                </w:rPr>
              </m:ctrlPr>
            </m:sSubPr>
            <m:e>
              <m:r>
                <m:rPr>
                  <m:sty m:val="p"/>
                </m:rPr>
                <w:rPr>
                  <w:rFonts w:ascii="Cambria Math" w:hAnsi="Cambria Math"/>
                </w:rPr>
                <m:t>W</m:t>
              </m:r>
              <m:ctrlPr>
                <w:rPr>
                  <w:rFonts w:ascii="Cambria Math" w:hAnsi="Cambria Math"/>
                  <w:i/>
                </w:rPr>
              </m:ctrlPr>
            </m:e>
            <m:sub>
              <m:r>
                <w:rPr>
                  <w:rFonts w:ascii="Cambria Math" w:hAnsi="Cambria Math"/>
                </w:rPr>
                <m:t>0</m:t>
              </m:r>
            </m:sub>
          </m:sSub>
          <m:r>
            <w:rPr>
              <w:rFonts w:ascii="Cambria Math" w:hAnsi="Cambria Math"/>
            </w:rPr>
            <m:t>+</m:t>
          </m:r>
          <m:r>
            <m:rPr>
              <m:sty m:val="p"/>
            </m:rPr>
            <w:rPr>
              <w:rFonts w:ascii="Cambria Math" w:hAnsi="Cambria Math"/>
            </w:rPr>
            <m:t>α</m:t>
          </m:r>
          <m:r>
            <w:rPr>
              <w:rFonts w:ascii="Cambria Math" w:hAnsi="Cambria Math"/>
            </w:rPr>
            <m:t> </m:t>
          </m:r>
          <m:r>
            <m:rPr>
              <m:sty m:val="p"/>
            </m:rPr>
            <w:rPr>
              <w:rFonts w:ascii="Cambria Math" w:hAnsi="Cambria Math"/>
            </w:rPr>
            <m:t>ABC</m:t>
          </m:r>
        </m:oMath>
      </m:oMathPara>
    </w:p>
    <w:p w14:paraId="0158B862" w14:textId="3DBCA543" w:rsidR="00682D14" w:rsidRDefault="00682D14" w:rsidP="00682D14">
      <w:pPr>
        <w:pStyle w:val="Standard"/>
        <w:widowControl w:val="0"/>
        <w:spacing w:before="200"/>
        <w:jc w:val="both"/>
      </w:pPr>
      <w:r>
        <w:t>where</w:t>
      </w:r>
      <w:r w:rsidR="00DB0813">
        <w:t xml:space="preserve"> </w:t>
      </w:r>
      <m:oMath>
        <m:r>
          <m:rPr>
            <m:sty m:val="p"/>
          </m:rPr>
          <w:rPr>
            <w:rFonts w:ascii="Cambria Math" w:hAnsi="Cambria Math"/>
          </w:rPr>
          <m:t>α</m:t>
        </m:r>
      </m:oMath>
      <w:r>
        <w:t xml:space="preserve"> is a trainable scaling factor that controls the contribution of the low-rank adaptation.</w:t>
      </w:r>
    </w:p>
    <w:p w14:paraId="43A64904" w14:textId="06E3517D" w:rsidR="00682D14" w:rsidRDefault="00682D14" w:rsidP="00682D14">
      <w:pPr>
        <w:pStyle w:val="Standard"/>
        <w:widowControl w:val="0"/>
        <w:spacing w:before="200"/>
        <w:jc w:val="both"/>
      </w:pPr>
      <w:r>
        <w:t xml:space="preserve">In the forward pass of the </w:t>
      </w:r>
      <w:proofErr w:type="spellStart"/>
      <w:r>
        <w:t>TLoRA</w:t>
      </w:r>
      <w:proofErr w:type="spellEnd"/>
      <w:r>
        <w:t xml:space="preserve"> layer, the model performs the following steps. The input </w:t>
      </w:r>
      <m:oMath>
        <m:r>
          <w:rPr>
            <w:rFonts w:ascii="Cambria Math" w:hAnsi="Cambria Math"/>
          </w:rPr>
          <m:t>x</m:t>
        </m:r>
        <m:r>
          <m:rPr>
            <m:sty m:val="p"/>
          </m:rP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oMath>
      <w:r>
        <w:t xml:space="preserve"> is passed through the original pre-trained linear transformation represented by</w:t>
      </w:r>
      <w:r w:rsidR="00352D5E">
        <w:t xml:space="preserve">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t>:</w:t>
      </w:r>
    </w:p>
    <w:p w14:paraId="5D4BE7E2" w14:textId="03A26C1B" w:rsidR="00682D14" w:rsidRDefault="00000000" w:rsidP="0031257B">
      <w:pPr>
        <w:pStyle w:val="Standard"/>
        <w:widowControl w:val="0"/>
        <w:spacing w:before="200"/>
        <w:jc w:val="both"/>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oMath>
      </m:oMathPara>
    </w:p>
    <w:p w14:paraId="440BAEB4" w14:textId="7C0049CE" w:rsidR="00682D14" w:rsidRDefault="00682D14" w:rsidP="00682D14">
      <w:pPr>
        <w:pStyle w:val="Standard"/>
        <w:widowControl w:val="0"/>
        <w:spacing w:before="200"/>
        <w:jc w:val="both"/>
      </w:pPr>
      <w:r>
        <w:t xml:space="preserve">Here, </w:t>
      </w:r>
      <m:oMath>
        <m:r>
          <w:rPr>
            <w:rFonts w:ascii="Cambria Math" w:hAnsi="Cambria Math"/>
          </w:rPr>
          <m:t>x</m:t>
        </m:r>
      </m:oMath>
      <w:r>
        <w:t xml:space="preserve"> is the input (e.g., a token embedding), and</w:t>
      </w:r>
      <w:r w:rsidR="00352D5E">
        <w:t xml:space="preserve"> </w:t>
      </w:r>
      <m:oMath>
        <m:sSub>
          <m:sSubPr>
            <m:ctrlPr>
              <w:rPr>
                <w:rFonts w:ascii="Cambria Math" w:hAnsi="Cambria Math"/>
                <w:i/>
              </w:rPr>
            </m:ctrlPr>
          </m:sSubPr>
          <m:e>
            <m:r>
              <w:rPr>
                <w:rFonts w:ascii="Cambria Math" w:hAnsi="Cambria Math"/>
              </w:rPr>
              <m:t>h</m:t>
            </m:r>
          </m:e>
          <m:sub>
            <m:r>
              <w:rPr>
                <w:rFonts w:ascii="Cambria Math" w:hAnsi="Cambria Math"/>
              </w:rPr>
              <m:t>0</m:t>
            </m:r>
          </m:sub>
        </m:sSub>
        <m:r>
          <m:rPr>
            <m:sty m:val="p"/>
          </m:rP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oMath>
      <w:r>
        <w:t xml:space="preserve"> is the output of the standard linear transformation.</w:t>
      </w:r>
    </w:p>
    <w:p w14:paraId="0F3A14EC" w14:textId="0D81E63A" w:rsidR="00682D14" w:rsidRDefault="00682D14" w:rsidP="00682D14">
      <w:pPr>
        <w:pStyle w:val="Standard"/>
        <w:widowControl w:val="0"/>
        <w:spacing w:before="200"/>
        <w:jc w:val="both"/>
      </w:pPr>
      <w:r>
        <w:t xml:space="preserve">The low-rank adaptation is computed by multiplying the input </w:t>
      </w:r>
      <m:oMath>
        <m:r>
          <w:rPr>
            <w:rFonts w:ascii="Cambria Math" w:hAnsi="Cambria Math"/>
          </w:rPr>
          <m:t>x</m:t>
        </m:r>
      </m:oMath>
      <w:r>
        <w:t xml:space="preserve"> with the tri-matrix decomposition:</w:t>
      </w:r>
    </w:p>
    <w:p w14:paraId="424159EE" w14:textId="6B51A9C6" w:rsidR="00682D14" w:rsidRDefault="009E2881" w:rsidP="009E2881">
      <w:pPr>
        <w:pStyle w:val="Standard"/>
        <w:widowControl w:val="0"/>
        <w:spacing w:before="200"/>
        <w:jc w:val="both"/>
      </w:pPr>
      <m:oMathPara>
        <m:oMath>
          <m:r>
            <m:rPr>
              <m:sty m:val="p"/>
            </m:rPr>
            <w:rPr>
              <w:rFonts w:ascii="Cambria Math" w:hAnsi="Cambria Math"/>
            </w:rPr>
            <w:lastRenderedPageBreak/>
            <m:t>Δ</m:t>
          </m:r>
          <m:r>
            <w:rPr>
              <w:rFonts w:ascii="Cambria Math" w:hAnsi="Cambria Math"/>
            </w:rPr>
            <m:t>h=</m:t>
          </m:r>
          <m:r>
            <m:rPr>
              <m:sty m:val="p"/>
            </m:rPr>
            <w:rPr>
              <w:rFonts w:ascii="Cambria Math" w:hAnsi="Cambria Math"/>
            </w:rPr>
            <m:t>α</m:t>
          </m:r>
          <m:r>
            <m:rPr>
              <m:sty m:val="p"/>
            </m:rPr>
            <w:rPr>
              <w:rFonts w:ascii="Cambria Math" w:hAnsi="Cambria Math"/>
            </w:rPr>
            <m:t>⋅</m:t>
          </m:r>
          <m:d>
            <m:dPr>
              <m:ctrlPr>
                <w:rPr>
                  <w:rFonts w:ascii="Cambria Math" w:hAnsi="Cambria Math"/>
                  <w:i/>
                </w:rPr>
              </m:ctrlPr>
            </m:dPr>
            <m:e>
              <m:r>
                <w:rPr>
                  <w:rFonts w:ascii="Cambria Math" w:hAnsi="Cambria Math"/>
                </w:rPr>
                <m:t>xABC</m:t>
              </m:r>
            </m:e>
          </m:d>
        </m:oMath>
      </m:oMathPara>
    </w:p>
    <w:p w14:paraId="6023E224" w14:textId="77777777" w:rsidR="00682D14" w:rsidRDefault="00682D14" w:rsidP="00682D14">
      <w:pPr>
        <w:pStyle w:val="Standard"/>
        <w:widowControl w:val="0"/>
        <w:spacing w:before="200"/>
        <w:jc w:val="both"/>
      </w:pPr>
      <w:r>
        <w:t>Dropout is then applied to the low-rank update to regularize the model:</w:t>
      </w:r>
    </w:p>
    <w:p w14:paraId="5BA76162" w14:textId="3FA16CEC" w:rsidR="00682D14" w:rsidRDefault="006B17B3" w:rsidP="006B17B3">
      <w:pPr>
        <w:pStyle w:val="Standard"/>
        <w:widowControl w:val="0"/>
        <w:spacing w:before="200"/>
        <w:jc w:val="both"/>
      </w:pPr>
      <m:oMathPara>
        <m:oMath>
          <m:r>
            <m:rPr>
              <m:sty m:val="p"/>
            </m:rPr>
            <w:rPr>
              <w:rFonts w:ascii="Cambria Math" w:hAnsi="Cambria Math"/>
            </w:rPr>
            <m:t>Δ</m:t>
          </m:r>
          <m:sSub>
            <m:sSubPr>
              <m:ctrlPr>
                <w:rPr>
                  <w:rFonts w:ascii="Cambria Math" w:hAnsi="Cambria Math"/>
                  <w:i/>
                </w:rPr>
              </m:ctrlPr>
            </m:sSubPr>
            <m:e>
              <m:r>
                <w:rPr>
                  <w:rFonts w:ascii="Cambria Math" w:hAnsi="Cambria Math"/>
                </w:rPr>
                <m:t>h</m:t>
              </m:r>
            </m:e>
            <m:sub>
              <m:r>
                <m:rPr>
                  <m:nor/>
                </m:rPr>
                <w:rPr>
                  <w:rFonts w:ascii="Cambria Math" w:hAnsi="Cambria Math"/>
                </w:rPr>
                <m:t>dropout</m:t>
              </m:r>
            </m:sub>
          </m:sSub>
          <m:r>
            <w:rPr>
              <w:rFonts w:ascii="Cambria Math" w:hAnsi="Cambria Math"/>
            </w:rPr>
            <m:t>=</m:t>
          </m:r>
          <m:r>
            <m:rPr>
              <m:nor/>
            </m:rPr>
            <w:rPr>
              <w:rFonts w:ascii="Cambria Math" w:hAnsi="Cambria Math"/>
            </w:rPr>
            <m:t>Dropout</m:t>
          </m:r>
          <m:d>
            <m:dPr>
              <m:ctrlPr>
                <w:rPr>
                  <w:rFonts w:ascii="Cambria Math" w:hAnsi="Cambria Math"/>
                  <w:i/>
                </w:rPr>
              </m:ctrlPr>
            </m:dPr>
            <m:e>
              <m:r>
                <m:rPr>
                  <m:sty m:val="p"/>
                </m:rPr>
                <w:rPr>
                  <w:rFonts w:ascii="Cambria Math" w:hAnsi="Cambria Math"/>
                </w:rPr>
                <m:t>Δ</m:t>
              </m:r>
              <m:r>
                <w:rPr>
                  <w:rFonts w:ascii="Cambria Math" w:hAnsi="Cambria Math"/>
                </w:rPr>
                <m:t>h</m:t>
              </m:r>
            </m:e>
          </m:d>
        </m:oMath>
      </m:oMathPara>
    </w:p>
    <w:p w14:paraId="3F4FD26E" w14:textId="77777777" w:rsidR="00682D14" w:rsidRDefault="00682D14" w:rsidP="00682D14">
      <w:pPr>
        <w:pStyle w:val="Standard"/>
        <w:widowControl w:val="0"/>
        <w:spacing w:before="200"/>
        <w:jc w:val="both"/>
      </w:pPr>
      <w:r>
        <w:t xml:space="preserve">The final output of the </w:t>
      </w:r>
      <w:proofErr w:type="spellStart"/>
      <w:r>
        <w:t>TLoRA</w:t>
      </w:r>
      <w:proofErr w:type="spellEnd"/>
      <w:r>
        <w:t xml:space="preserve"> layer is the sum of the standard linear transformation and the low-rank update with dropout:</w:t>
      </w:r>
    </w:p>
    <w:p w14:paraId="74489A07" w14:textId="7331DD21" w:rsidR="00682D14" w:rsidRDefault="006B17B3" w:rsidP="006B17B3">
      <w:pPr>
        <w:pStyle w:val="Standard"/>
        <w:widowControl w:val="0"/>
        <w:spacing w:before="200"/>
        <w:jc w:val="both"/>
      </w:pPr>
      <m:oMathPara>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h</m:t>
              </m:r>
            </m:e>
            <m:sub>
              <m:r>
                <m:rPr>
                  <m:nor/>
                </m:rPr>
                <w:rPr>
                  <w:rFonts w:ascii="Cambria Math" w:hAnsi="Cambria Math"/>
                </w:rPr>
                <m:t>dropout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r>
            <m:rPr>
              <m:sty m:val="p"/>
            </m:rPr>
            <w:rPr>
              <w:rFonts w:ascii="Cambria Math" w:hAnsi="Cambria Math"/>
            </w:rPr>
            <m:t>α</m:t>
          </m:r>
          <m:r>
            <m:rPr>
              <m:sty m:val="p"/>
            </m:rPr>
            <w:rPr>
              <w:rFonts w:ascii="Cambria Math" w:hAnsi="Cambria Math"/>
            </w:rPr>
            <m:t>⋅</m:t>
          </m:r>
          <m:d>
            <m:dPr>
              <m:ctrlPr>
                <w:rPr>
                  <w:rFonts w:ascii="Cambria Math" w:hAnsi="Cambria Math"/>
                  <w:i/>
                </w:rPr>
              </m:ctrlPr>
            </m:dPr>
            <m:e>
              <m:r>
                <w:rPr>
                  <w:rFonts w:ascii="Cambria Math" w:hAnsi="Cambria Math"/>
                </w:rPr>
                <m:t>xABC</m:t>
              </m:r>
            </m:e>
          </m:d>
        </m:oMath>
      </m:oMathPara>
    </w:p>
    <w:p w14:paraId="2049F71B" w14:textId="77777777" w:rsidR="00682D14" w:rsidRDefault="00682D14" w:rsidP="00682D14">
      <w:pPr>
        <w:pStyle w:val="Standard"/>
        <w:widowControl w:val="0"/>
        <w:spacing w:before="200"/>
        <w:jc w:val="both"/>
        <w:rPr>
          <w:b/>
          <w:bCs/>
          <w:i/>
          <w:iCs/>
        </w:rPr>
      </w:pPr>
      <w:r>
        <w:rPr>
          <w:b/>
          <w:bCs/>
          <w:i/>
          <w:iCs/>
        </w:rPr>
        <w:t>Trainable Scaling Factor</w:t>
      </w:r>
    </w:p>
    <w:p w14:paraId="50998453" w14:textId="3BBAC92C" w:rsidR="00682D14" w:rsidRDefault="00682D14" w:rsidP="00682D14">
      <w:pPr>
        <w:pStyle w:val="Standard"/>
        <w:widowControl w:val="0"/>
        <w:spacing w:before="200"/>
        <w:jc w:val="both"/>
      </w:pPr>
      <w:r>
        <w:t xml:space="preserve">The scaling factor </w:t>
      </w:r>
      <m:oMath>
        <m:r>
          <m:rPr>
            <m:sty m:val="p"/>
          </m:rPr>
          <w:rPr>
            <w:rFonts w:ascii="Cambria Math" w:hAnsi="Cambria Math"/>
          </w:rPr>
          <m:t>α</m:t>
        </m:r>
      </m:oMath>
      <w:r>
        <w:t xml:space="preserve"> in TLoRA is a trainable parameter, which allows the model to dynamically adjust the contribution of the low-rank adaptation during training. This means that unlike in the original LoRA where </w:t>
      </w:r>
      <m:oMath>
        <m:r>
          <w:rPr>
            <w:rFonts w:ascii="Cambria Math" w:hAnsi="Cambria Math"/>
          </w:rPr>
          <m:t>α</m:t>
        </m:r>
      </m:oMath>
      <w:r>
        <w:t xml:space="preserve"> is determined through a fixed hyperparameter, in TLoRA, </w:t>
      </w:r>
      <m:oMath>
        <m:r>
          <w:rPr>
            <w:rFonts w:ascii="Cambria Math" w:hAnsi="Cambria Math"/>
          </w:rPr>
          <m:t>α</m:t>
        </m:r>
      </m:oMath>
      <w:r>
        <w:t xml:space="preserve"> is learned during training, allowing the model to adjust the strength of the low-rank update dynamically. This trainable scaling factor enables the model to fine-tune the balance between preserving the pre-trained knowledge and incorporating task-specific adaptations. During training, </w:t>
      </w:r>
      <m:oMath>
        <m:r>
          <w:rPr>
            <w:rFonts w:ascii="Cambria Math" w:hAnsi="Cambria Math"/>
          </w:rPr>
          <m:t>α</m:t>
        </m:r>
      </m:oMath>
      <w:r>
        <w:t xml:space="preserve"> is optimized through gradient descent along with other model parameters. By learning the optimal scaling factor for the target layer, TLoRA can flexibly control the strength of the low-rank update, allowing for more precise adaptation to specific tasks without introducing excessive complexity.</w:t>
      </w:r>
    </w:p>
    <w:p w14:paraId="2C7642DD" w14:textId="77777777" w:rsidR="00682D14" w:rsidRDefault="00682D14" w:rsidP="00682D14">
      <w:pPr>
        <w:pStyle w:val="ListHeading"/>
      </w:pPr>
    </w:p>
    <w:p w14:paraId="4FEFE28A" w14:textId="77777777" w:rsidR="00682D14" w:rsidRDefault="00682D14" w:rsidP="00682D14">
      <w:pPr>
        <w:pStyle w:val="ListHeading"/>
        <w:rPr>
          <w:b/>
          <w:bCs/>
        </w:rPr>
      </w:pPr>
      <w:r>
        <w:rPr>
          <w:b/>
          <w:bCs/>
        </w:rPr>
        <w:t>2.3. Parameter count</w:t>
      </w:r>
    </w:p>
    <w:p w14:paraId="5E41EB7F" w14:textId="77777777" w:rsidR="00897491" w:rsidRDefault="00897491" w:rsidP="00B7479E">
      <w:pPr>
        <w:pStyle w:val="Standard"/>
        <w:jc w:val="both"/>
      </w:pPr>
    </w:p>
    <w:p w14:paraId="40D2A232" w14:textId="43D657BD" w:rsidR="00682D14" w:rsidRPr="00B7479E" w:rsidRDefault="00682D14" w:rsidP="00B7479E">
      <w:pPr>
        <w:pStyle w:val="Standard"/>
        <w:jc w:val="both"/>
      </w:pPr>
      <w:r w:rsidRPr="00B7479E">
        <w:t xml:space="preserve">In </w:t>
      </w:r>
      <w:proofErr w:type="spellStart"/>
      <w:r w:rsidRPr="00B7479E">
        <w:t>TLoRA</w:t>
      </w:r>
      <w:proofErr w:type="spellEnd"/>
      <w:r w:rsidRPr="00B7479E">
        <w:t xml:space="preserve">, we achieve significant parameter reduction compared to conventional fine-tuning and </w:t>
      </w:r>
      <w:proofErr w:type="spellStart"/>
      <w:r w:rsidRPr="00B7479E">
        <w:t>LoRA</w:t>
      </w:r>
      <w:proofErr w:type="spellEnd"/>
      <w:r w:rsidRPr="00B7479E">
        <w:t xml:space="preserve"> while maintaining similar adaptation capacity. For example, in a model like </w:t>
      </w:r>
      <w:bookmarkStart w:id="2" w:name="_Hlk184553463"/>
      <w:proofErr w:type="spellStart"/>
      <w:r w:rsidRPr="00B7479E">
        <w:t>RoBERTa</w:t>
      </w:r>
      <w:bookmarkEnd w:id="2"/>
      <w:proofErr w:type="spellEnd"/>
      <w:r w:rsidRPr="00B7479E">
        <w:t xml:space="preserve"> large </w:t>
      </w:r>
      <w:r w:rsidR="00E307F2">
        <w:fldChar w:fldCharType="begin"/>
      </w:r>
      <w:r w:rsidR="00E307F2">
        <w:instrText xml:space="preserve"> ADDIN ZOTERO_ITEM CSL_CITATION {"citationID":"DRjkgJHV","properties":{"formattedCitation":"(Y. Liu 2019)","plainCitation":"(Y. Liu 2019)","noteIndex":0},"citationItems":[{"id":44,"uris":["http://zotero.org/users/local/laQS5fZL/items/J89R5E7K"],"itemData":{"id":44,"type":"article-journal","container-title":"arXiv preprint arXiv:1907.11692","title":"Roberta: A robustly optimized bert pretraining approach","volume":"364","author":[{"family":"Liu","given":"Yinhan"}],"issued":{"date-parts":[["2019"]]}}}],"schema":"https://github.com/citation-style-language/schema/raw/master/csl-citation.json"} </w:instrText>
      </w:r>
      <w:r w:rsidR="00E307F2">
        <w:fldChar w:fldCharType="separate"/>
      </w:r>
      <w:r w:rsidR="00E307F2">
        <w:rPr>
          <w:noProof/>
        </w:rPr>
        <w:t>(Y. Liu 2019)</w:t>
      </w:r>
      <w:r w:rsidR="00E307F2">
        <w:fldChar w:fldCharType="end"/>
      </w:r>
      <w:r w:rsidR="00E307F2">
        <w:t xml:space="preserve"> </w:t>
      </w:r>
      <w:r w:rsidRPr="00B7479E">
        <w:t xml:space="preserve">with 355 million parameters, a standard fine-tuning approach requires training all parameters, resulting in a high computational burden and storage cost. In contrast, </w:t>
      </w:r>
      <w:proofErr w:type="spellStart"/>
      <w:r w:rsidRPr="00B7479E">
        <w:t>LoRA</w:t>
      </w:r>
      <w:proofErr w:type="spellEnd"/>
      <w:r w:rsidRPr="00B7479E">
        <w:t xml:space="preserve"> achieves a reduction by introducing only low-rank matrices of rank </w:t>
      </w:r>
      <m:oMath>
        <m:r>
          <w:rPr>
            <w:rFonts w:ascii="Cambria Math" w:hAnsi="Cambria Math"/>
          </w:rPr>
          <m:t>r</m:t>
        </m:r>
      </m:oMath>
      <w:r w:rsidRPr="00B7479E">
        <w:t xml:space="preserve">, where the trainable parameter count is proportional to </w:t>
      </w:r>
      <m:oMath>
        <m:r>
          <w:rPr>
            <w:rFonts w:ascii="Cambria Math" w:hAnsi="Cambria Math"/>
          </w:rPr>
          <m:t>r</m:t>
        </m:r>
      </m:oMath>
      <w:r w:rsidRPr="00B7479E">
        <w:t xml:space="preserve">. For instance, with  </w:t>
      </w:r>
      <m:oMath>
        <m:r>
          <w:rPr>
            <w:rFonts w:ascii="Cambria Math" w:hAnsi="Cambria Math"/>
          </w:rPr>
          <m:t>r</m:t>
        </m:r>
      </m:oMath>
      <w:r w:rsidRPr="00B7479E">
        <w:t xml:space="preserve"> = 8, LoRA requires 786,432 trainable parameters, and this count increases with the increase in  </w:t>
      </w:r>
      <m:oMath>
        <m:r>
          <w:rPr>
            <w:rFonts w:ascii="Cambria Math" w:hAnsi="Cambria Math"/>
          </w:rPr>
          <m:t>r</m:t>
        </m:r>
      </m:oMath>
      <w:r w:rsidRPr="00B7479E">
        <w:t xml:space="preserve">, reaching 3,145,728 trainable parameters for  </w:t>
      </w:r>
      <m:oMath>
        <m:r>
          <w:rPr>
            <w:rFonts w:ascii="Cambria Math" w:hAnsi="Cambria Math"/>
          </w:rPr>
          <m:t>r</m:t>
        </m:r>
      </m:oMath>
      <w:r w:rsidRPr="00B7479E">
        <w:t xml:space="preserve"> = 32.</w:t>
      </w:r>
    </w:p>
    <w:p w14:paraId="01E64945" w14:textId="1A424595" w:rsidR="00813EED" w:rsidRDefault="00813EED" w:rsidP="00682D14">
      <w:pPr>
        <w:pStyle w:val="Standard"/>
        <w:widowControl w:val="0"/>
        <w:spacing w:before="120" w:line="218" w:lineRule="auto"/>
        <w:jc w:val="both"/>
      </w:pPr>
    </w:p>
    <w:p w14:paraId="5585A69F" w14:textId="23DE922E" w:rsidR="00813EED" w:rsidRDefault="00682D14" w:rsidP="00682D14">
      <w:pPr>
        <w:pStyle w:val="Standard"/>
        <w:widowControl w:val="0"/>
        <w:spacing w:before="120" w:line="218" w:lineRule="auto"/>
        <w:jc w:val="both"/>
      </w:pPr>
      <w:r>
        <w:rPr>
          <w:noProof/>
        </w:rPr>
        <w:drawing>
          <wp:anchor distT="0" distB="0" distL="114300" distR="114300" simplePos="0" relativeHeight="251660288" behindDoc="0" locked="0" layoutInCell="0" allowOverlap="1" wp14:anchorId="4836C751" wp14:editId="11B38A05">
            <wp:simplePos x="0" y="0"/>
            <wp:positionH relativeFrom="column">
              <wp:align>center</wp:align>
            </wp:positionH>
            <wp:positionV relativeFrom="paragraph">
              <wp:posOffset>635</wp:posOffset>
            </wp:positionV>
            <wp:extent cx="3830320" cy="2804795"/>
            <wp:effectExtent l="0" t="0" r="0" b="0"/>
            <wp:wrapTopAndBottom/>
            <wp:docPr id="47" name="Image2"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 descr="A comparison of a graph&#10;&#10;Description automatically generated with medium confidence"/>
                    <pic:cNvPicPr>
                      <a:picLocks noChangeAspect="1" noChangeArrowheads="1"/>
                    </pic:cNvPicPr>
                  </pic:nvPicPr>
                  <pic:blipFill>
                    <a:blip r:embed="rId9"/>
                    <a:stretch>
                      <a:fillRect/>
                    </a:stretch>
                  </pic:blipFill>
                  <pic:spPr bwMode="auto">
                    <a:xfrm>
                      <a:off x="0" y="0"/>
                      <a:ext cx="3830320" cy="2804795"/>
                    </a:xfrm>
                    <a:prstGeom prst="rect">
                      <a:avLst/>
                    </a:prstGeom>
                    <a:noFill/>
                  </pic:spPr>
                </pic:pic>
              </a:graphicData>
            </a:graphic>
          </wp:anchor>
        </w:drawing>
      </w:r>
    </w:p>
    <w:p w14:paraId="4E9C9B44" w14:textId="01DE25EC" w:rsidR="00813EED" w:rsidRPr="00813EED" w:rsidRDefault="00813EED" w:rsidP="00813EED">
      <w:pPr>
        <w:pStyle w:val="Standard"/>
        <w:widowControl w:val="0"/>
        <w:spacing w:before="120" w:line="218" w:lineRule="auto"/>
        <w:jc w:val="both"/>
      </w:pPr>
      <w:r w:rsidRPr="00813EED">
        <w:rPr>
          <w:b/>
          <w:bCs/>
        </w:rPr>
        <w:t>Figure 2:</w:t>
      </w:r>
      <w:r w:rsidRPr="00813EED">
        <w:t xml:space="preserve"> Comparison of trainable parameters across different fine-tuning methods. The bar chart </w:t>
      </w:r>
      <w:r w:rsidRPr="00813EED">
        <w:lastRenderedPageBreak/>
        <w:t xml:space="preserve">illustrates the parameter count for full fine-tuning (Full FT), </w:t>
      </w:r>
      <w:proofErr w:type="spellStart"/>
      <w:r w:rsidRPr="00813EED">
        <w:t>LoRA</w:t>
      </w:r>
      <w:proofErr w:type="spellEnd"/>
      <w:r w:rsidRPr="00813EED">
        <w:t xml:space="preserve"> (rank </w:t>
      </w:r>
      <m:oMath>
        <m:r>
          <w:rPr>
            <w:rFonts w:ascii="Cambria Math" w:hAnsi="Cambria Math"/>
          </w:rPr>
          <m:t>r</m:t>
        </m:r>
      </m:oMath>
      <w:r w:rsidRPr="00813EED">
        <w:t>=</w:t>
      </w:r>
      <w:r>
        <w:t>32</w:t>
      </w:r>
      <w:r w:rsidRPr="00813EED">
        <w:t xml:space="preserve">), and </w:t>
      </w:r>
      <w:proofErr w:type="spellStart"/>
      <w:r w:rsidRPr="00813EED">
        <w:t>TLoRA</w:t>
      </w:r>
      <w:proofErr w:type="spellEnd"/>
      <w:r w:rsidRPr="00813EED">
        <w:t xml:space="preserve"> (rank </w:t>
      </w:r>
      <m:oMath>
        <m:r>
          <w:rPr>
            <w:rFonts w:ascii="Cambria Math" w:hAnsi="Cambria Math"/>
          </w:rPr>
          <m:t>r</m:t>
        </m:r>
        <m:r>
          <w:rPr>
            <w:rFonts w:ascii="Cambria Math" w:hAnsi="Cambria Math"/>
          </w:rPr>
          <m:t>=32</m:t>
        </m:r>
      </m:oMath>
      <w:r w:rsidRPr="00813EED">
        <w:t>). TLoRA significantly reduces the number of trainable parameters compared to LoRA, showcasing its parameter efficiency while maintaining competitive performance.</w:t>
      </w:r>
    </w:p>
    <w:p w14:paraId="5EF4DE12" w14:textId="77777777" w:rsidR="00682D14" w:rsidRDefault="00682D14" w:rsidP="00682D14">
      <w:pPr>
        <w:pStyle w:val="Standard"/>
        <w:widowControl w:val="0"/>
        <w:spacing w:before="120" w:line="218" w:lineRule="auto"/>
        <w:jc w:val="both"/>
      </w:pPr>
    </w:p>
    <w:p w14:paraId="72F84016" w14:textId="7F677393" w:rsidR="00682D14" w:rsidRDefault="00682D14" w:rsidP="00682D14">
      <w:pPr>
        <w:pStyle w:val="Standard"/>
        <w:jc w:val="both"/>
      </w:pPr>
      <w:proofErr w:type="spellStart"/>
      <w:r>
        <w:t>TLoRA</w:t>
      </w:r>
      <w:proofErr w:type="spellEnd"/>
      <w:r>
        <w:t xml:space="preserve"> further optimizes parameter efficiency by leveraging a tri-matrix decomposition where only the middle matrix </w:t>
      </w:r>
      <w:r>
        <w:rPr>
          <w:noProof/>
        </w:rPr>
        <w:drawing>
          <wp:inline distT="0" distB="0" distL="0" distR="0" wp14:anchorId="45868BCC" wp14:editId="55ADF18B">
            <wp:extent cx="114300" cy="103505"/>
            <wp:effectExtent l="0" t="0" r="0" b="0"/>
            <wp:docPr id="48" name="Shape70" descr="TexMaths&#10;12§display§$$ B $$§svg§6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hape70" descr="TexMaths&#10;12§display§$$ B $$§svg§600§FALSE§"/>
                    <pic:cNvPicPr>
                      <a:picLocks noChangeAspect="1" noChangeArrowheads="1"/>
                    </pic:cNvPicPr>
                  </pic:nvPicPr>
                  <pic:blipFill>
                    <a:blip r:embed="rId10">
                      <a:extLst>
                        <a:ext uri="{96DAC541-7B7A-43D3-8B79-37D633B846F1}">
                          <asvg:svgBlip xmlns:asvg="http://schemas.microsoft.com/office/drawing/2016/SVG/main" r:embed="rId11"/>
                        </a:ext>
                      </a:extLst>
                    </a:blip>
                    <a:stretch>
                      <a:fillRect/>
                    </a:stretch>
                  </pic:blipFill>
                  <pic:spPr bwMode="auto">
                    <a:xfrm>
                      <a:off x="0" y="0"/>
                      <a:ext cx="114300" cy="103505"/>
                    </a:xfrm>
                    <a:prstGeom prst="rect">
                      <a:avLst/>
                    </a:prstGeom>
                    <a:noFill/>
                  </pic:spPr>
                </pic:pic>
              </a:graphicData>
            </a:graphic>
          </wp:inline>
        </w:drawing>
      </w:r>
      <w:r>
        <w:t xml:space="preserve"> is trainable, reducing the parameter count even more. This structure results in </w:t>
      </w:r>
      <w:proofErr w:type="spellStart"/>
      <w:r>
        <w:t>TLoRA</w:t>
      </w:r>
      <w:proofErr w:type="spellEnd"/>
      <w:r>
        <w:t xml:space="preserve"> needing only 3,120 trainable parameters at  </w:t>
      </w:r>
      <m:oMath>
        <m:r>
          <w:rPr>
            <w:rFonts w:ascii="Cambria Math" w:hAnsi="Cambria Math"/>
          </w:rPr>
          <m:t>r</m:t>
        </m:r>
      </m:oMath>
      <w:r>
        <w:t xml:space="preserve">  = 8, representing a 252x reduction in trainable parameters compared to full fine-tuning. As  </w:t>
      </w:r>
      <m:oMath>
        <m:r>
          <w:rPr>
            <w:rFonts w:ascii="Cambria Math" w:hAnsi="Cambria Math"/>
          </w:rPr>
          <m:t>r</m:t>
        </m:r>
      </m:oMath>
      <w:r>
        <w:t xml:space="preserve"> increases, TLoRA maintains substantial parameter savings over LoRA, with a 128x reduction at   </w:t>
      </w:r>
      <m:oMath>
        <m:r>
          <w:rPr>
            <w:rFonts w:ascii="Cambria Math" w:hAnsi="Cambria Math"/>
          </w:rPr>
          <m:t>r</m:t>
        </m:r>
      </m:oMath>
      <w:r>
        <w:t xml:space="preserve"> = 16 and a 64x reduction at </w:t>
      </w:r>
      <m:oMath>
        <m:r>
          <w:rPr>
            <w:rFonts w:ascii="Cambria Math" w:hAnsi="Cambria Math"/>
          </w:rPr>
          <m:t>r</m:t>
        </m:r>
      </m:oMath>
      <w:r>
        <w:t xml:space="preserve"> = 32. A visual illustration is shown in Figure </w:t>
      </w:r>
      <w:r w:rsidR="00E307F2">
        <w:t>2</w:t>
      </w:r>
      <w:r w:rsidR="00813EED">
        <w:t xml:space="preserve"> for </w:t>
      </w:r>
      <m:oMath>
        <m:r>
          <w:rPr>
            <w:rFonts w:ascii="Cambria Math" w:hAnsi="Cambria Math"/>
          </w:rPr>
          <m:t>r</m:t>
        </m:r>
      </m:oMath>
      <w:r w:rsidR="00813EED">
        <w:t xml:space="preserve"> </w:t>
      </w:r>
      <w:r w:rsidR="00813EED">
        <w:t>= 32</w:t>
      </w:r>
      <w:r>
        <w:t>.</w:t>
      </w:r>
    </w:p>
    <w:p w14:paraId="037ABF85" w14:textId="77777777" w:rsidR="005A65F6" w:rsidRDefault="005A65F6" w:rsidP="00682D14">
      <w:pPr>
        <w:pStyle w:val="Standard"/>
        <w:jc w:val="both"/>
      </w:pPr>
    </w:p>
    <w:p w14:paraId="38BF8D3F" w14:textId="7B602152" w:rsidR="00682D14" w:rsidRDefault="00682D14" w:rsidP="00682D14">
      <w:pPr>
        <w:pStyle w:val="Standard"/>
        <w:widowControl w:val="0"/>
        <w:spacing w:before="120" w:line="218" w:lineRule="auto"/>
        <w:jc w:val="both"/>
      </w:pPr>
      <w:r w:rsidRPr="005A65F6">
        <w:rPr>
          <w:b/>
          <w:bCs/>
        </w:rPr>
        <w:t xml:space="preserve">Table </w:t>
      </w:r>
      <w:r w:rsidR="005A65F6" w:rsidRPr="005A65F6">
        <w:rPr>
          <w:b/>
          <w:bCs/>
        </w:rPr>
        <w:t>1</w:t>
      </w:r>
      <w:r w:rsidRPr="005A65F6">
        <w:rPr>
          <w:b/>
          <w:bCs/>
        </w:rPr>
        <w:t>:</w:t>
      </w:r>
      <w:r w:rsidR="005A65F6">
        <w:t xml:space="preserve"> Theoretical trainable parameters between </w:t>
      </w:r>
      <w:proofErr w:type="spellStart"/>
      <w:r w:rsidR="005A65F6">
        <w:t>LoRA</w:t>
      </w:r>
      <w:proofErr w:type="spellEnd"/>
      <w:r w:rsidR="005A65F6">
        <w:t xml:space="preserve"> and </w:t>
      </w:r>
      <w:proofErr w:type="spellStart"/>
      <w:r w:rsidR="005A65F6">
        <w:t>TLoRA</w:t>
      </w:r>
      <w:proofErr w:type="spellEnd"/>
      <w:r w:rsidR="005A65F6">
        <w:t>.</w:t>
      </w:r>
    </w:p>
    <w:p w14:paraId="279A6A1A" w14:textId="77777777" w:rsidR="00682D14" w:rsidRDefault="00682D14" w:rsidP="00682D14">
      <w:pPr>
        <w:pStyle w:val="Standard"/>
        <w:widowControl w:val="0"/>
        <w:spacing w:before="120" w:line="218" w:lineRule="auto"/>
        <w:jc w:val="both"/>
      </w:pPr>
    </w:p>
    <w:tbl>
      <w:tblPr>
        <w:tblW w:w="7710" w:type="dxa"/>
        <w:tblInd w:w="-30" w:type="dxa"/>
        <w:tblLayout w:type="fixed"/>
        <w:tblCellMar>
          <w:left w:w="0" w:type="dxa"/>
          <w:right w:w="0" w:type="dxa"/>
        </w:tblCellMar>
        <w:tblLook w:val="04A0" w:firstRow="1" w:lastRow="0" w:firstColumn="1" w:lastColumn="0" w:noHBand="0" w:noVBand="1"/>
      </w:tblPr>
      <w:tblGrid>
        <w:gridCol w:w="1310"/>
        <w:gridCol w:w="1280"/>
        <w:gridCol w:w="1279"/>
        <w:gridCol w:w="1283"/>
        <w:gridCol w:w="1279"/>
        <w:gridCol w:w="1279"/>
      </w:tblGrid>
      <w:tr w:rsidR="00682D14" w14:paraId="13E3F807" w14:textId="77777777" w:rsidTr="00D339C7">
        <w:trPr>
          <w:trHeight w:val="1166"/>
        </w:trPr>
        <w:tc>
          <w:tcPr>
            <w:tcW w:w="1309" w:type="dxa"/>
            <w:tcBorders>
              <w:top w:val="single" w:sz="6" w:space="0" w:color="000000"/>
              <w:bottom w:val="single" w:sz="6" w:space="0" w:color="000000"/>
            </w:tcBorders>
            <w:shd w:val="clear" w:color="auto" w:fill="auto"/>
            <w:vAlign w:val="bottom"/>
          </w:tcPr>
          <w:p w14:paraId="69E53478" w14:textId="77777777" w:rsidR="00682D14" w:rsidRDefault="00682D14" w:rsidP="00D339C7">
            <w:pPr>
              <w:pStyle w:val="Standard"/>
              <w:rPr>
                <w:b/>
                <w:bCs/>
                <w:color w:val="000000"/>
              </w:rPr>
            </w:pPr>
            <w:r>
              <w:rPr>
                <w:b/>
                <w:bCs/>
                <w:color w:val="000000"/>
              </w:rPr>
              <w:t>Rank</w:t>
            </w:r>
          </w:p>
        </w:tc>
        <w:tc>
          <w:tcPr>
            <w:tcW w:w="1280" w:type="dxa"/>
            <w:tcBorders>
              <w:top w:val="single" w:sz="6" w:space="0" w:color="000000"/>
              <w:bottom w:val="single" w:sz="6" w:space="0" w:color="000000"/>
            </w:tcBorders>
            <w:shd w:val="clear" w:color="auto" w:fill="auto"/>
            <w:vAlign w:val="bottom"/>
          </w:tcPr>
          <w:p w14:paraId="191AD54F" w14:textId="77777777" w:rsidR="00682D14" w:rsidRDefault="00682D14" w:rsidP="00D339C7">
            <w:pPr>
              <w:pStyle w:val="Standard"/>
              <w:rPr>
                <w:b/>
                <w:bCs/>
                <w:color w:val="000000"/>
              </w:rPr>
            </w:pPr>
            <w:r>
              <w:rPr>
                <w:b/>
                <w:bCs/>
                <w:color w:val="000000"/>
              </w:rPr>
              <w:t>Full FT</w:t>
            </w:r>
          </w:p>
          <w:p w14:paraId="3575F8E3" w14:textId="77777777" w:rsidR="00682D14" w:rsidRDefault="00682D14" w:rsidP="00D339C7">
            <w:pPr>
              <w:pStyle w:val="Standard"/>
              <w:rPr>
                <w:b/>
                <w:bCs/>
                <w:color w:val="000000"/>
              </w:rPr>
            </w:pPr>
            <w:r>
              <w:rPr>
                <w:b/>
                <w:bCs/>
                <w:color w:val="000000"/>
              </w:rPr>
              <w:t># Trainable Parameters</w:t>
            </w:r>
          </w:p>
        </w:tc>
        <w:tc>
          <w:tcPr>
            <w:tcW w:w="1279" w:type="dxa"/>
            <w:tcBorders>
              <w:top w:val="single" w:sz="6" w:space="0" w:color="000000"/>
              <w:bottom w:val="single" w:sz="6" w:space="0" w:color="000000"/>
            </w:tcBorders>
            <w:shd w:val="clear" w:color="auto" w:fill="auto"/>
            <w:vAlign w:val="bottom"/>
          </w:tcPr>
          <w:p w14:paraId="09D9F75B" w14:textId="77777777" w:rsidR="00682D14" w:rsidRDefault="00682D14" w:rsidP="00D339C7">
            <w:pPr>
              <w:pStyle w:val="Standard"/>
              <w:rPr>
                <w:b/>
                <w:bCs/>
                <w:color w:val="000000"/>
              </w:rPr>
            </w:pPr>
            <w:proofErr w:type="spellStart"/>
            <w:r>
              <w:rPr>
                <w:b/>
                <w:bCs/>
                <w:color w:val="000000"/>
              </w:rPr>
              <w:t>LoRA</w:t>
            </w:r>
            <w:proofErr w:type="spellEnd"/>
          </w:p>
          <w:p w14:paraId="09F31E33" w14:textId="77777777" w:rsidR="00682D14" w:rsidRDefault="00682D14" w:rsidP="00D339C7">
            <w:pPr>
              <w:pStyle w:val="Standard"/>
              <w:rPr>
                <w:b/>
                <w:bCs/>
                <w:color w:val="000000"/>
              </w:rPr>
            </w:pPr>
            <w:r>
              <w:rPr>
                <w:b/>
                <w:bCs/>
                <w:color w:val="000000"/>
              </w:rPr>
              <w:t># Trainable Parameters</w:t>
            </w:r>
          </w:p>
        </w:tc>
        <w:tc>
          <w:tcPr>
            <w:tcW w:w="1283" w:type="dxa"/>
            <w:tcBorders>
              <w:top w:val="single" w:sz="6" w:space="0" w:color="000000"/>
              <w:bottom w:val="single" w:sz="6" w:space="0" w:color="000000"/>
            </w:tcBorders>
            <w:shd w:val="clear" w:color="auto" w:fill="auto"/>
            <w:vAlign w:val="bottom"/>
          </w:tcPr>
          <w:p w14:paraId="4EDA5096" w14:textId="77777777" w:rsidR="00682D14" w:rsidRDefault="00682D14" w:rsidP="00D339C7">
            <w:pPr>
              <w:pStyle w:val="Standard"/>
              <w:rPr>
                <w:b/>
                <w:bCs/>
                <w:color w:val="000000"/>
              </w:rPr>
            </w:pPr>
            <w:proofErr w:type="spellStart"/>
            <w:r>
              <w:rPr>
                <w:b/>
                <w:bCs/>
                <w:color w:val="000000"/>
              </w:rPr>
              <w:t>TLoRA</w:t>
            </w:r>
            <w:proofErr w:type="spellEnd"/>
          </w:p>
          <w:p w14:paraId="28525DF7" w14:textId="77777777" w:rsidR="00682D14" w:rsidRDefault="00682D14" w:rsidP="00D339C7">
            <w:pPr>
              <w:pStyle w:val="Standard"/>
              <w:rPr>
                <w:b/>
                <w:bCs/>
                <w:color w:val="000000"/>
              </w:rPr>
            </w:pPr>
            <w:r>
              <w:rPr>
                <w:b/>
                <w:bCs/>
                <w:color w:val="000000"/>
              </w:rPr>
              <w:t># Trainable Parameters</w:t>
            </w:r>
          </w:p>
        </w:tc>
        <w:tc>
          <w:tcPr>
            <w:tcW w:w="1279" w:type="dxa"/>
            <w:tcBorders>
              <w:top w:val="single" w:sz="6" w:space="0" w:color="000000"/>
              <w:bottom w:val="single" w:sz="6" w:space="0" w:color="000000"/>
            </w:tcBorders>
            <w:shd w:val="clear" w:color="auto" w:fill="auto"/>
            <w:vAlign w:val="bottom"/>
          </w:tcPr>
          <w:p w14:paraId="7AEB8D8A" w14:textId="77777777" w:rsidR="00682D14" w:rsidRDefault="00682D14" w:rsidP="00D339C7">
            <w:pPr>
              <w:pStyle w:val="Standard"/>
              <w:rPr>
                <w:b/>
                <w:bCs/>
                <w:color w:val="000000"/>
              </w:rPr>
            </w:pPr>
            <w:r>
              <w:rPr>
                <w:b/>
                <w:bCs/>
                <w:color w:val="000000"/>
              </w:rPr>
              <w:t>Parameter Improvement by same rank</w:t>
            </w:r>
          </w:p>
        </w:tc>
        <w:tc>
          <w:tcPr>
            <w:tcW w:w="1279" w:type="dxa"/>
            <w:tcBorders>
              <w:top w:val="single" w:sz="6" w:space="0" w:color="000000"/>
              <w:bottom w:val="single" w:sz="6" w:space="0" w:color="000000"/>
            </w:tcBorders>
            <w:shd w:val="clear" w:color="auto" w:fill="auto"/>
            <w:vAlign w:val="bottom"/>
          </w:tcPr>
          <w:p w14:paraId="39A1EBE8" w14:textId="77777777" w:rsidR="00682D14" w:rsidRDefault="00682D14" w:rsidP="00D339C7">
            <w:pPr>
              <w:pStyle w:val="Standard"/>
              <w:rPr>
                <w:b/>
                <w:bCs/>
                <w:color w:val="000000"/>
              </w:rPr>
            </w:pPr>
            <w:r>
              <w:rPr>
                <w:b/>
                <w:bCs/>
                <w:color w:val="000000"/>
              </w:rPr>
              <w:t>Parameter Improvement by (</w:t>
            </w:r>
            <w:proofErr w:type="spellStart"/>
            <w:r>
              <w:rPr>
                <w:b/>
                <w:bCs/>
                <w:color w:val="000000"/>
              </w:rPr>
              <w:t>TLoRA</w:t>
            </w:r>
            <w:proofErr w:type="spellEnd"/>
            <w:r>
              <w:rPr>
                <w:b/>
                <w:bCs/>
                <w:color w:val="000000"/>
              </w:rPr>
              <w:t xml:space="preserve"> r=32/</w:t>
            </w:r>
            <w:proofErr w:type="spellStart"/>
            <w:r>
              <w:rPr>
                <w:b/>
                <w:bCs/>
                <w:color w:val="000000"/>
              </w:rPr>
              <w:t>LoRA</w:t>
            </w:r>
            <w:proofErr w:type="spellEnd"/>
            <w:r>
              <w:rPr>
                <w:b/>
                <w:bCs/>
                <w:color w:val="000000"/>
              </w:rPr>
              <w:t xml:space="preserve"> r=8)</w:t>
            </w:r>
          </w:p>
        </w:tc>
      </w:tr>
      <w:tr w:rsidR="00682D14" w14:paraId="6D16932D" w14:textId="77777777" w:rsidTr="00D339C7">
        <w:trPr>
          <w:trHeight w:val="256"/>
        </w:trPr>
        <w:tc>
          <w:tcPr>
            <w:tcW w:w="1309" w:type="dxa"/>
            <w:shd w:val="clear" w:color="auto" w:fill="auto"/>
            <w:vAlign w:val="bottom"/>
          </w:tcPr>
          <w:p w14:paraId="2BAEE8BB" w14:textId="77777777" w:rsidR="00682D14" w:rsidRDefault="00682D14" w:rsidP="00D339C7">
            <w:pPr>
              <w:pStyle w:val="Standard"/>
              <w:rPr>
                <w:color w:val="000000"/>
              </w:rPr>
            </w:pPr>
            <w:r>
              <w:rPr>
                <w:color w:val="000000"/>
              </w:rPr>
              <w:t>8</w:t>
            </w:r>
          </w:p>
        </w:tc>
        <w:tc>
          <w:tcPr>
            <w:tcW w:w="1280" w:type="dxa"/>
            <w:shd w:val="clear" w:color="auto" w:fill="auto"/>
            <w:vAlign w:val="bottom"/>
          </w:tcPr>
          <w:p w14:paraId="70230CA5" w14:textId="77777777" w:rsidR="00682D14" w:rsidRDefault="00682D14" w:rsidP="00D339C7">
            <w:pPr>
              <w:pStyle w:val="Standard"/>
              <w:rPr>
                <w:color w:val="000000"/>
              </w:rPr>
            </w:pPr>
            <w:r>
              <w:rPr>
                <w:color w:val="000000"/>
              </w:rPr>
              <w:t>355362819</w:t>
            </w:r>
          </w:p>
        </w:tc>
        <w:tc>
          <w:tcPr>
            <w:tcW w:w="1279" w:type="dxa"/>
            <w:shd w:val="clear" w:color="auto" w:fill="auto"/>
            <w:vAlign w:val="bottom"/>
          </w:tcPr>
          <w:p w14:paraId="0BA9176C" w14:textId="77777777" w:rsidR="00682D14" w:rsidRDefault="00682D14" w:rsidP="00D339C7">
            <w:pPr>
              <w:pStyle w:val="Standard"/>
              <w:rPr>
                <w:color w:val="000000"/>
              </w:rPr>
            </w:pPr>
            <w:r>
              <w:rPr>
                <w:color w:val="000000"/>
              </w:rPr>
              <w:t>786432</w:t>
            </w:r>
          </w:p>
        </w:tc>
        <w:tc>
          <w:tcPr>
            <w:tcW w:w="1283" w:type="dxa"/>
            <w:shd w:val="clear" w:color="auto" w:fill="auto"/>
            <w:vAlign w:val="bottom"/>
          </w:tcPr>
          <w:p w14:paraId="70F438E9" w14:textId="77777777" w:rsidR="00682D14" w:rsidRDefault="00682D14" w:rsidP="00D339C7">
            <w:pPr>
              <w:pStyle w:val="Standard"/>
              <w:rPr>
                <w:color w:val="000000"/>
              </w:rPr>
            </w:pPr>
            <w:r>
              <w:rPr>
                <w:color w:val="000000"/>
              </w:rPr>
              <w:t>3120</w:t>
            </w:r>
          </w:p>
        </w:tc>
        <w:tc>
          <w:tcPr>
            <w:tcW w:w="1279" w:type="dxa"/>
            <w:shd w:val="clear" w:color="auto" w:fill="auto"/>
            <w:vAlign w:val="bottom"/>
          </w:tcPr>
          <w:p w14:paraId="64384910" w14:textId="77777777" w:rsidR="00682D14" w:rsidRDefault="00682D14" w:rsidP="00D339C7">
            <w:pPr>
              <w:pStyle w:val="Standard"/>
              <w:rPr>
                <w:color w:val="000000"/>
              </w:rPr>
            </w:pPr>
            <w:r>
              <w:rPr>
                <w:color w:val="000000"/>
              </w:rPr>
              <w:t>252x</w:t>
            </w:r>
          </w:p>
        </w:tc>
        <w:tc>
          <w:tcPr>
            <w:tcW w:w="1279" w:type="dxa"/>
            <w:shd w:val="clear" w:color="auto" w:fill="auto"/>
            <w:vAlign w:val="bottom"/>
          </w:tcPr>
          <w:p w14:paraId="5E57E5C5" w14:textId="77777777" w:rsidR="00682D14" w:rsidRDefault="00682D14" w:rsidP="00D339C7">
            <w:pPr>
              <w:pStyle w:val="Standard"/>
              <w:rPr>
                <w:color w:val="000000"/>
              </w:rPr>
            </w:pPr>
          </w:p>
        </w:tc>
      </w:tr>
      <w:tr w:rsidR="00682D14" w14:paraId="2F4AC8E4" w14:textId="77777777" w:rsidTr="00D339C7">
        <w:trPr>
          <w:trHeight w:val="256"/>
        </w:trPr>
        <w:tc>
          <w:tcPr>
            <w:tcW w:w="1309" w:type="dxa"/>
            <w:shd w:val="clear" w:color="auto" w:fill="auto"/>
            <w:vAlign w:val="bottom"/>
          </w:tcPr>
          <w:p w14:paraId="161912AC" w14:textId="77777777" w:rsidR="00682D14" w:rsidRDefault="00682D14" w:rsidP="00D339C7">
            <w:pPr>
              <w:pStyle w:val="Standard"/>
              <w:rPr>
                <w:color w:val="000000"/>
              </w:rPr>
            </w:pPr>
            <w:r>
              <w:rPr>
                <w:color w:val="000000"/>
              </w:rPr>
              <w:t>16</w:t>
            </w:r>
          </w:p>
        </w:tc>
        <w:tc>
          <w:tcPr>
            <w:tcW w:w="1280" w:type="dxa"/>
            <w:shd w:val="clear" w:color="auto" w:fill="auto"/>
            <w:vAlign w:val="bottom"/>
          </w:tcPr>
          <w:p w14:paraId="5AEE048F" w14:textId="77777777" w:rsidR="00682D14" w:rsidRDefault="00682D14" w:rsidP="00D339C7">
            <w:pPr>
              <w:pStyle w:val="Standard"/>
              <w:rPr>
                <w:color w:val="000000"/>
              </w:rPr>
            </w:pPr>
          </w:p>
        </w:tc>
        <w:tc>
          <w:tcPr>
            <w:tcW w:w="1279" w:type="dxa"/>
            <w:shd w:val="clear" w:color="auto" w:fill="auto"/>
            <w:vAlign w:val="bottom"/>
          </w:tcPr>
          <w:p w14:paraId="7831C500" w14:textId="77777777" w:rsidR="00682D14" w:rsidRDefault="00682D14" w:rsidP="00D339C7">
            <w:pPr>
              <w:pStyle w:val="Standard"/>
              <w:rPr>
                <w:color w:val="000000"/>
              </w:rPr>
            </w:pPr>
            <w:r>
              <w:rPr>
                <w:color w:val="000000"/>
              </w:rPr>
              <w:t>1572864</w:t>
            </w:r>
          </w:p>
        </w:tc>
        <w:tc>
          <w:tcPr>
            <w:tcW w:w="1283" w:type="dxa"/>
            <w:shd w:val="clear" w:color="auto" w:fill="auto"/>
            <w:vAlign w:val="bottom"/>
          </w:tcPr>
          <w:p w14:paraId="285F9626" w14:textId="77777777" w:rsidR="00682D14" w:rsidRDefault="00682D14" w:rsidP="00D339C7">
            <w:pPr>
              <w:pStyle w:val="Standard"/>
              <w:rPr>
                <w:color w:val="000000"/>
              </w:rPr>
            </w:pPr>
            <w:r>
              <w:rPr>
                <w:color w:val="000000"/>
              </w:rPr>
              <w:t>12336</w:t>
            </w:r>
          </w:p>
        </w:tc>
        <w:tc>
          <w:tcPr>
            <w:tcW w:w="1279" w:type="dxa"/>
            <w:shd w:val="clear" w:color="auto" w:fill="auto"/>
            <w:vAlign w:val="bottom"/>
          </w:tcPr>
          <w:p w14:paraId="76100119" w14:textId="77777777" w:rsidR="00682D14" w:rsidRDefault="00682D14" w:rsidP="00D339C7">
            <w:pPr>
              <w:pStyle w:val="Standard"/>
              <w:rPr>
                <w:color w:val="000000"/>
              </w:rPr>
            </w:pPr>
            <w:r>
              <w:rPr>
                <w:color w:val="000000"/>
              </w:rPr>
              <w:t>128x</w:t>
            </w:r>
          </w:p>
        </w:tc>
        <w:tc>
          <w:tcPr>
            <w:tcW w:w="1279" w:type="dxa"/>
            <w:shd w:val="clear" w:color="auto" w:fill="auto"/>
            <w:vAlign w:val="bottom"/>
          </w:tcPr>
          <w:p w14:paraId="5F071F5B" w14:textId="77777777" w:rsidR="00682D14" w:rsidRDefault="00682D14" w:rsidP="00D339C7">
            <w:pPr>
              <w:pStyle w:val="Standard"/>
              <w:rPr>
                <w:color w:val="000000"/>
              </w:rPr>
            </w:pPr>
          </w:p>
        </w:tc>
      </w:tr>
      <w:tr w:rsidR="00682D14" w14:paraId="0313F07C" w14:textId="77777777" w:rsidTr="00D339C7">
        <w:trPr>
          <w:trHeight w:val="256"/>
        </w:trPr>
        <w:tc>
          <w:tcPr>
            <w:tcW w:w="1309" w:type="dxa"/>
            <w:tcBorders>
              <w:bottom w:val="single" w:sz="6" w:space="0" w:color="000000"/>
            </w:tcBorders>
            <w:shd w:val="clear" w:color="auto" w:fill="auto"/>
            <w:vAlign w:val="bottom"/>
          </w:tcPr>
          <w:p w14:paraId="63099CB5" w14:textId="77777777" w:rsidR="00682D14" w:rsidRDefault="00682D14" w:rsidP="00D339C7">
            <w:pPr>
              <w:pStyle w:val="Standard"/>
              <w:rPr>
                <w:color w:val="000000"/>
              </w:rPr>
            </w:pPr>
            <w:r>
              <w:rPr>
                <w:color w:val="000000"/>
              </w:rPr>
              <w:t>32</w:t>
            </w:r>
          </w:p>
        </w:tc>
        <w:tc>
          <w:tcPr>
            <w:tcW w:w="1280" w:type="dxa"/>
            <w:tcBorders>
              <w:bottom w:val="single" w:sz="6" w:space="0" w:color="000000"/>
            </w:tcBorders>
            <w:shd w:val="clear" w:color="auto" w:fill="auto"/>
            <w:vAlign w:val="bottom"/>
          </w:tcPr>
          <w:p w14:paraId="02CDA958" w14:textId="77777777" w:rsidR="00682D14" w:rsidRDefault="00682D14" w:rsidP="00D339C7">
            <w:pPr>
              <w:pStyle w:val="Standard"/>
              <w:rPr>
                <w:color w:val="000000"/>
              </w:rPr>
            </w:pPr>
          </w:p>
        </w:tc>
        <w:tc>
          <w:tcPr>
            <w:tcW w:w="1279" w:type="dxa"/>
            <w:tcBorders>
              <w:bottom w:val="single" w:sz="6" w:space="0" w:color="000000"/>
            </w:tcBorders>
            <w:shd w:val="clear" w:color="auto" w:fill="auto"/>
            <w:vAlign w:val="bottom"/>
          </w:tcPr>
          <w:p w14:paraId="26E6436D" w14:textId="77777777" w:rsidR="00682D14" w:rsidRDefault="00682D14" w:rsidP="00D339C7">
            <w:pPr>
              <w:pStyle w:val="Standard"/>
              <w:rPr>
                <w:color w:val="000000"/>
              </w:rPr>
            </w:pPr>
            <w:r>
              <w:rPr>
                <w:color w:val="000000"/>
              </w:rPr>
              <w:t>3145728</w:t>
            </w:r>
          </w:p>
        </w:tc>
        <w:tc>
          <w:tcPr>
            <w:tcW w:w="1283" w:type="dxa"/>
            <w:tcBorders>
              <w:bottom w:val="single" w:sz="6" w:space="0" w:color="000000"/>
            </w:tcBorders>
            <w:shd w:val="clear" w:color="auto" w:fill="auto"/>
            <w:vAlign w:val="bottom"/>
          </w:tcPr>
          <w:p w14:paraId="6AB577C0" w14:textId="77777777" w:rsidR="00682D14" w:rsidRDefault="00682D14" w:rsidP="00D339C7">
            <w:pPr>
              <w:pStyle w:val="Standard"/>
              <w:rPr>
                <w:color w:val="000000"/>
              </w:rPr>
            </w:pPr>
            <w:r>
              <w:rPr>
                <w:color w:val="000000"/>
              </w:rPr>
              <w:t>49200</w:t>
            </w:r>
          </w:p>
        </w:tc>
        <w:tc>
          <w:tcPr>
            <w:tcW w:w="1279" w:type="dxa"/>
            <w:tcBorders>
              <w:bottom w:val="single" w:sz="6" w:space="0" w:color="000000"/>
            </w:tcBorders>
            <w:shd w:val="clear" w:color="auto" w:fill="auto"/>
            <w:vAlign w:val="bottom"/>
          </w:tcPr>
          <w:p w14:paraId="4EBFF8B6" w14:textId="77777777" w:rsidR="00682D14" w:rsidRDefault="00682D14" w:rsidP="00D339C7">
            <w:pPr>
              <w:pStyle w:val="Standard"/>
              <w:rPr>
                <w:color w:val="000000"/>
              </w:rPr>
            </w:pPr>
            <w:r>
              <w:rPr>
                <w:color w:val="000000"/>
              </w:rPr>
              <w:t>64x</w:t>
            </w:r>
          </w:p>
        </w:tc>
        <w:tc>
          <w:tcPr>
            <w:tcW w:w="1279" w:type="dxa"/>
            <w:tcBorders>
              <w:bottom w:val="single" w:sz="6" w:space="0" w:color="000000"/>
            </w:tcBorders>
            <w:shd w:val="clear" w:color="auto" w:fill="auto"/>
            <w:vAlign w:val="bottom"/>
          </w:tcPr>
          <w:p w14:paraId="35B5308A" w14:textId="77777777" w:rsidR="00682D14" w:rsidRDefault="00682D14" w:rsidP="00D339C7">
            <w:pPr>
              <w:pStyle w:val="Standard"/>
              <w:rPr>
                <w:color w:val="000000"/>
              </w:rPr>
            </w:pPr>
            <w:r>
              <w:rPr>
                <w:color w:val="000000"/>
              </w:rPr>
              <w:t>16x</w:t>
            </w:r>
          </w:p>
        </w:tc>
      </w:tr>
    </w:tbl>
    <w:p w14:paraId="2EFD6A10" w14:textId="77777777" w:rsidR="00682D14" w:rsidRDefault="00682D14" w:rsidP="00682D14">
      <w:pPr>
        <w:pStyle w:val="Standard"/>
      </w:pPr>
    </w:p>
    <w:p w14:paraId="43B75E31" w14:textId="6A53E3B8" w:rsidR="00682D14" w:rsidRDefault="00682D14" w:rsidP="00682D14">
      <w:pPr>
        <w:pStyle w:val="Standard"/>
        <w:widowControl w:val="0"/>
        <w:spacing w:before="120" w:line="218" w:lineRule="auto"/>
        <w:jc w:val="both"/>
      </w:pPr>
      <w:r>
        <w:t xml:space="preserve">Notably, even at a higher effective rank (e.g., </w:t>
      </w:r>
      <w:proofErr w:type="spellStart"/>
      <w:r>
        <w:t>TLoRA</w:t>
      </w:r>
      <w:proofErr w:type="spellEnd"/>
      <w:r>
        <w:t xml:space="preserve"> with </w:t>
      </w:r>
      <m:oMath>
        <m:r>
          <w:rPr>
            <w:rFonts w:ascii="Cambria Math" w:hAnsi="Cambria Math"/>
          </w:rPr>
          <m:t>r</m:t>
        </m:r>
      </m:oMath>
      <w:r>
        <w:t xml:space="preserve"> = 32</w:t>
      </w:r>
      <w:r w:rsidR="00ED68DF">
        <w:t>)</w:t>
      </w:r>
      <w:r>
        <w:t xml:space="preserve">, </w:t>
      </w:r>
      <w:proofErr w:type="spellStart"/>
      <w:r>
        <w:t>TLoRA</w:t>
      </w:r>
      <w:proofErr w:type="spellEnd"/>
      <w:r>
        <w:t xml:space="preserve"> achieves a parameter count improvement of 16x over LoRA at </w:t>
      </w:r>
      <m:oMath>
        <m:r>
          <w:rPr>
            <w:rFonts w:ascii="Cambria Math" w:hAnsi="Cambria Math"/>
          </w:rPr>
          <m:t>r</m:t>
        </m:r>
      </m:oMath>
      <w:r>
        <w:t xml:space="preserve"> = 8, demonstrating TLoRA's ability to match LoRA’s performance with significantly fewer trainable parameters, enhancing memory efficiency and enabling scalability for large language models on parameter-constrained hardware. The detailed comparison of parameters count of </w:t>
      </w:r>
      <w:proofErr w:type="spellStart"/>
      <w:r>
        <w:t>TLoRA</w:t>
      </w:r>
      <w:proofErr w:type="spellEnd"/>
      <w:r>
        <w:t xml:space="preserve"> to </w:t>
      </w:r>
      <w:proofErr w:type="spellStart"/>
      <w:r>
        <w:t>LoRA</w:t>
      </w:r>
      <w:proofErr w:type="spellEnd"/>
      <w:r>
        <w:t xml:space="preserve"> is shown in Table </w:t>
      </w:r>
      <w:r w:rsidR="00ED68DF">
        <w:t>1</w:t>
      </w:r>
      <w:r>
        <w:t>.</w:t>
      </w:r>
    </w:p>
    <w:p w14:paraId="6CA54761" w14:textId="77777777" w:rsidR="00682D14" w:rsidRDefault="00682D14" w:rsidP="00682D14">
      <w:pPr>
        <w:pStyle w:val="Standard"/>
        <w:widowControl w:val="0"/>
        <w:spacing w:before="120" w:line="218" w:lineRule="auto"/>
        <w:jc w:val="both"/>
      </w:pPr>
    </w:p>
    <w:p w14:paraId="1BB03C51" w14:textId="77777777" w:rsidR="00682D14" w:rsidRDefault="00682D14" w:rsidP="00682D14">
      <w:pPr>
        <w:pStyle w:val="ListHeading"/>
        <w:rPr>
          <w:b/>
          <w:bCs/>
        </w:rPr>
      </w:pPr>
      <w:r>
        <w:rPr>
          <w:b/>
          <w:bCs/>
        </w:rPr>
        <w:t>2.4. Initialization</w:t>
      </w:r>
    </w:p>
    <w:p w14:paraId="042423E5" w14:textId="77777777" w:rsidR="00B4798A" w:rsidRDefault="00B4798A" w:rsidP="0036640A">
      <w:pPr>
        <w:pStyle w:val="Standard"/>
        <w:jc w:val="both"/>
      </w:pPr>
    </w:p>
    <w:p w14:paraId="5306AE71" w14:textId="1B42D7A6" w:rsidR="00682D14" w:rsidRDefault="00682D14" w:rsidP="0036640A">
      <w:pPr>
        <w:pStyle w:val="Standard"/>
        <w:jc w:val="both"/>
      </w:pPr>
      <w:r>
        <w:t xml:space="preserve">In </w:t>
      </w:r>
      <w:proofErr w:type="spellStart"/>
      <w:r>
        <w:t>TLoRA</w:t>
      </w:r>
      <w:proofErr w:type="spellEnd"/>
      <w:r>
        <w:t xml:space="preserve">, non-Trainable Matrices </w:t>
      </w:r>
      <m:oMath>
        <m:r>
          <w:rPr>
            <w:rFonts w:ascii="Cambria Math" w:hAnsi="Cambria Math"/>
          </w:rPr>
          <m:t>A</m:t>
        </m:r>
      </m:oMath>
      <w:r>
        <w:t xml:space="preserve"> and </w:t>
      </w:r>
      <m:oMath>
        <m:r>
          <w:rPr>
            <w:rFonts w:ascii="Cambria Math" w:hAnsi="Cambria Math"/>
          </w:rPr>
          <m:t>C</m:t>
        </m:r>
      </m:oMath>
      <w:r>
        <w:t xml:space="preserve"> are initialized with a </w:t>
      </w:r>
      <w:proofErr w:type="spellStart"/>
      <w:r>
        <w:t>Kaiming</w:t>
      </w:r>
      <w:proofErr w:type="spellEnd"/>
      <w:r>
        <w:t xml:space="preserve"> Normal distribution</w:t>
      </w:r>
      <w:r w:rsidR="000B0E60">
        <w:t xml:space="preserve"> </w:t>
      </w:r>
      <w:r w:rsidR="000B0E60">
        <w:fldChar w:fldCharType="begin"/>
      </w:r>
      <w:r w:rsidR="000B0E60">
        <w:instrText xml:space="preserve"> ADDIN ZOTERO_ITEM CSL_CITATION {"citationID":"gDJHaNgn","properties":{"formattedCitation":"(He et al. 2015)","plainCitation":"(He et al. 2015)","noteIndex":0},"citationItems":[{"id":53,"uris":["http://zotero.org/users/local/laQS5fZL/items/W577ZCR6"],"itemData":{"id":53,"type":"paper-conference","container-title":"Proceedings of the IEEE international conference on computer vision","page":"1026–1034","title":"Delving deep into rectifiers: Surpassing human-level performance on imagenet classification","author":[{"family":"He","given":"Kaiming"},{"family":"Zhang","given":"Xiangyu"},{"family":"Ren","given":"Shaoqing"},{"family":"Sun","given":"Jian"}],"issued":{"date-parts":[["2015"]]}}}],"schema":"https://github.com/citation-style-language/schema/raw/master/csl-citation.json"} </w:instrText>
      </w:r>
      <w:r w:rsidR="000B0E60">
        <w:fldChar w:fldCharType="separate"/>
      </w:r>
      <w:r w:rsidR="000B0E60">
        <w:rPr>
          <w:noProof/>
        </w:rPr>
        <w:t>(He et al. 2015)</w:t>
      </w:r>
      <w:r w:rsidR="000B0E60">
        <w:fldChar w:fldCharType="end"/>
      </w:r>
      <w:r>
        <w:t>.  The trainable matrix</w:t>
      </w:r>
      <w:r w:rsidR="004C7614">
        <w:t xml:space="preserve"> </w:t>
      </w:r>
      <m:oMath>
        <m:r>
          <w:rPr>
            <w:rFonts w:ascii="Cambria Math" w:hAnsi="Cambria Math"/>
          </w:rPr>
          <m:t>B</m:t>
        </m:r>
        <m:r>
          <m:rPr>
            <m:sty m:val="p"/>
          </m:rP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r</m:t>
            </m:r>
            <m:r>
              <m:rPr>
                <m:sty m:val="p"/>
              </m:rPr>
              <w:rPr>
                <w:rFonts w:ascii="Cambria Math" w:hAnsi="Cambria Math"/>
              </w:rPr>
              <m:t>×</m:t>
            </m:r>
            <m:r>
              <w:rPr>
                <w:rFonts w:ascii="Cambria Math" w:hAnsi="Cambria Math"/>
              </w:rPr>
              <m:t>r</m:t>
            </m:r>
          </m:sup>
        </m:sSup>
      </m:oMath>
      <w:r>
        <w:t xml:space="preserve">  is initialized to zeros. This ensures that the low-rank update </w:t>
      </w:r>
      <m:oMath>
        <m:r>
          <m:rPr>
            <m:sty m:val="p"/>
          </m:rPr>
          <w:rPr>
            <w:rFonts w:ascii="Cambria Math" w:hAnsi="Cambria Math"/>
          </w:rPr>
          <m:t>Δ</m:t>
        </m:r>
        <m:r>
          <w:rPr>
            <w:rFonts w:ascii="Cambria Math" w:hAnsi="Cambria Math"/>
          </w:rPr>
          <m:t>W = A B C</m:t>
        </m:r>
      </m:oMath>
      <w:r>
        <w:t xml:space="preserve"> contributes no additional transformation at the start of training, allowing the model to preserve its pre-trained behavior. The scaling parameter </w:t>
      </w:r>
      <m:oMath>
        <m:r>
          <w:rPr>
            <w:rFonts w:ascii="Cambria Math" w:hAnsi="Cambria Math"/>
          </w:rPr>
          <m:t>α</m:t>
        </m:r>
      </m:oMath>
      <w:r>
        <w:t xml:space="preserve"> is initialized to 1.0, allowing a balanced initial contribution of the low-rank update. This initialization ensures that </w:t>
      </w:r>
      <w:proofErr w:type="spellStart"/>
      <w:r>
        <w:t>TLoRA</w:t>
      </w:r>
      <w:proofErr w:type="spellEnd"/>
      <w:r>
        <w:t xml:space="preserve"> begins training from a stable configuration, effectively leveraging the representational capacity of </w:t>
      </w:r>
      <m:oMath>
        <m:r>
          <w:rPr>
            <w:rFonts w:ascii="Cambria Math" w:hAnsi="Cambria Math"/>
          </w:rPr>
          <m:t>A</m:t>
        </m:r>
      </m:oMath>
      <w:r>
        <w:t xml:space="preserve"> and </w:t>
      </w:r>
      <m:oMath>
        <m:r>
          <w:rPr>
            <w:rFonts w:ascii="Cambria Math" w:hAnsi="Cambria Math"/>
          </w:rPr>
          <m:t>C</m:t>
        </m:r>
      </m:oMath>
      <w:r>
        <w:t xml:space="preserve"> while dynamically learning task-specific transformations in</w:t>
      </w:r>
      <w:r w:rsidR="004C7614">
        <w:t xml:space="preserve"> </w:t>
      </w:r>
      <m:oMath>
        <m:r>
          <w:rPr>
            <w:rFonts w:ascii="Cambria Math" w:hAnsi="Cambria Math"/>
          </w:rPr>
          <m:t>B</m:t>
        </m:r>
      </m:oMath>
      <w:r>
        <w:t>.</w:t>
      </w:r>
    </w:p>
    <w:p w14:paraId="59D37DCD" w14:textId="76504982" w:rsidR="00E80B22" w:rsidRPr="00E80B22" w:rsidRDefault="00E80B22" w:rsidP="00E80B22">
      <w:pPr>
        <w:pStyle w:val="ListParagraph"/>
        <w:numPr>
          <w:ilvl w:val="0"/>
          <w:numId w:val="2"/>
        </w:numPr>
        <w:spacing w:before="240" w:after="120"/>
        <w:textAlignment w:val="auto"/>
        <w:rPr>
          <w:b/>
          <w:bCs/>
          <w:kern w:val="2"/>
          <w:sz w:val="24"/>
          <w:szCs w:val="24"/>
        </w:rPr>
      </w:pPr>
      <w:r w:rsidRPr="00E80B22">
        <w:rPr>
          <w:b/>
          <w:bCs/>
          <w:kern w:val="2"/>
          <w:sz w:val="24"/>
          <w:szCs w:val="24"/>
        </w:rPr>
        <w:t>Empirical experiments</w:t>
      </w:r>
    </w:p>
    <w:p w14:paraId="5003B268" w14:textId="0E034BB4" w:rsidR="00682D14" w:rsidRDefault="00682D14" w:rsidP="00682D14">
      <w:pPr>
        <w:pStyle w:val="Standard"/>
        <w:widowControl w:val="0"/>
        <w:spacing w:before="200"/>
        <w:jc w:val="both"/>
      </w:pPr>
      <w:r>
        <w:rPr>
          <w:kern w:val="2"/>
        </w:rPr>
        <w:t>We hypothesize that the weight updates required for fine-tuning large pre-trained language models have a low "intrinsic rank," meaning that task-specific adaptations can be captured effectively within a smaller, structured subspace. Prior work supports this idea, showing that language models can achieve efficient learning even when projected into lower-dimensional spaces</w:t>
      </w:r>
      <w:r w:rsidR="00020E4B">
        <w:rPr>
          <w:kern w:val="2"/>
        </w:rPr>
        <w:t xml:space="preserve"> </w:t>
      </w:r>
      <w:r w:rsidR="00020E4B">
        <w:rPr>
          <w:kern w:val="2"/>
        </w:rPr>
        <w:fldChar w:fldCharType="begin"/>
      </w:r>
      <w:r w:rsidR="00020E4B">
        <w:rPr>
          <w:kern w:val="2"/>
        </w:rPr>
        <w:instrText xml:space="preserve"> ADDIN ZOTERO_ITEM CSL_CITATION {"citationID":"qdHD0XXH","properties":{"formattedCitation":"(Hu et al. 2021; Lialin et al. 2023; Li, Han, and Ji 2024)","plainCitation":"(Hu et al. 2021; Lialin et al. 2023; Li, Han, and Ji 2024)","noteIndex":0},"citationItems":[{"id":37,"uris":["http://zotero.org/users/local/laQS5fZL/items/FM3STULA"],"itemData":{"id":37,"type":"article-journal","container-title":"arXiv preprint arXiv:2106.09685","title":"Lora: Low-rank adaptation of large language models","author":[{"family":"Hu","given":"Edward J"},{"family":"Shen","given":"Yelong"},{"family":"Wallis","given":"Phillip"},{"family":"Allen-Zhu","given":"Zeyuan"},{"family":"Li","given":"Yuanzhi"},{"family":"Wang","given":"Shean"},{"family":"Wang","given":"Lu"},{"family":"Chen","given":"Weizhu"}],"issued":{"date-parts":[["2021"]]}}},{"id":51,"uris":["http://zotero.org/users/local/laQS5fZL/items/N9D5V949"],"itemData":{"id":51,"type":"paper-conference","container-title":"The Twelfth International Conference on Learning Representations","title":"Relora: High-rank training through low-rank updates","author":[{"family":"Lialin","given":"Vladislav"},{"family":"Muckatira","given":"Sherin"},{"family":"Shivagunde","given":"Namrata"},{"family":"Rumshisky","given":"Anna"}],"issued":{"date-parts":[["2023"]]}}},{"id":52,"uris":["http://zotero.org/users/local/laQS5fZL/items/TCAJ8A3N"],"itemData":{"id":52,"type":"article-journal","container-title":"arXiv preprint arXiv:2405.15179","title":"VB-LoRA: Extreme Parameter Efficient Fine-Tuning with Vector Banks","author":[{"family":"Li","given":"Yang"},{"family":"Han","given":"Shaobo"},{"family":"Ji","given":"Shihao"}],"issued":{"date-parts":[["2024"]]}}}],"schema":"https://github.com/citation-style-language/schema/raw/master/csl-citation.json"} </w:instrText>
      </w:r>
      <w:r w:rsidR="00020E4B">
        <w:rPr>
          <w:kern w:val="2"/>
        </w:rPr>
        <w:fldChar w:fldCharType="separate"/>
      </w:r>
      <w:r w:rsidR="00020E4B">
        <w:rPr>
          <w:noProof/>
          <w:kern w:val="2"/>
        </w:rPr>
        <w:t>(Hu et al. 2021; Lialin et al. 2023; Li, Han, and Ji 2024)</w:t>
      </w:r>
      <w:r w:rsidR="00020E4B">
        <w:rPr>
          <w:kern w:val="2"/>
        </w:rPr>
        <w:fldChar w:fldCharType="end"/>
      </w:r>
      <w:r>
        <w:rPr>
          <w:kern w:val="2"/>
        </w:rPr>
        <w:t xml:space="preserve">. </w:t>
      </w:r>
      <w:proofErr w:type="spellStart"/>
      <w:r>
        <w:rPr>
          <w:kern w:val="2"/>
        </w:rPr>
        <w:t>TLoRA</w:t>
      </w:r>
      <w:proofErr w:type="spellEnd"/>
      <w:r>
        <w:rPr>
          <w:kern w:val="2"/>
        </w:rPr>
        <w:t xml:space="preserve"> capitalizes on this by introducing a tri-matrix decomposition, which enables richer, more expressive representations in low-rank adaptations. In </w:t>
      </w:r>
      <w:proofErr w:type="spellStart"/>
      <w:r>
        <w:rPr>
          <w:kern w:val="2"/>
        </w:rPr>
        <w:t>TLoRA</w:t>
      </w:r>
      <w:proofErr w:type="spellEnd"/>
      <w:r>
        <w:rPr>
          <w:kern w:val="2"/>
        </w:rPr>
        <w:t>, the weight update is decomposed into three matrices—two fixed random matrices on the input and output dimensions, with only the middle matrix being trainable—enabling the model to capture subtle, task-specific transformations without inflating the parameter count.</w:t>
      </w:r>
    </w:p>
    <w:p w14:paraId="38E02157" w14:textId="77777777" w:rsidR="00682D14" w:rsidRDefault="00682D14" w:rsidP="00682D14">
      <w:pPr>
        <w:pStyle w:val="Standard"/>
        <w:widowControl w:val="0"/>
        <w:spacing w:before="200"/>
        <w:jc w:val="both"/>
      </w:pPr>
      <w:r>
        <w:rPr>
          <w:kern w:val="2"/>
        </w:rPr>
        <w:t xml:space="preserve">Moreover, </w:t>
      </w:r>
      <w:proofErr w:type="spellStart"/>
      <w:r>
        <w:rPr>
          <w:kern w:val="2"/>
        </w:rPr>
        <w:t>TLoRA</w:t>
      </w:r>
      <w:proofErr w:type="spellEnd"/>
      <w:r>
        <w:rPr>
          <w:kern w:val="2"/>
        </w:rPr>
        <w:t xml:space="preserve"> incorporates a learnable, layer-specific scaling factor to dynamically adjust the contribution of the low-rank update at each layer. This adaptive scaling factor enhances the model's flexibility, allowing it to vary the influence of the low-rank transformation in each layer based on </w:t>
      </w:r>
      <w:r>
        <w:rPr>
          <w:kern w:val="2"/>
        </w:rPr>
        <w:lastRenderedPageBreak/>
        <w:t xml:space="preserve">the specific demands of the task. This added flexibility, combined with the tri-matrix structure, helps </w:t>
      </w:r>
      <w:proofErr w:type="spellStart"/>
      <w:r>
        <w:rPr>
          <w:kern w:val="2"/>
        </w:rPr>
        <w:t>TLoRA</w:t>
      </w:r>
      <w:proofErr w:type="spellEnd"/>
      <w:r>
        <w:rPr>
          <w:kern w:val="2"/>
        </w:rPr>
        <w:t xml:space="preserve"> to efficiently capture complex input interactions and enables fine-grained control of the adaptation strength throughout the network. By dynamically adjusting the influence of the low-rank components, </w:t>
      </w:r>
      <w:proofErr w:type="spellStart"/>
      <w:r>
        <w:rPr>
          <w:kern w:val="2"/>
        </w:rPr>
        <w:t>TLoRA</w:t>
      </w:r>
      <w:proofErr w:type="spellEnd"/>
      <w:r>
        <w:rPr>
          <w:kern w:val="2"/>
        </w:rPr>
        <w:t xml:space="preserve"> provides an effective balance between parameter efficiency and expressive power, making it well-suited for parameter-constrained applications while preserving adaptation quality across a range of NLP tasks.</w:t>
      </w:r>
    </w:p>
    <w:p w14:paraId="096BCD1E" w14:textId="5A4A6A91" w:rsidR="00682D14" w:rsidRPr="00853549" w:rsidRDefault="00682D14" w:rsidP="00682D14">
      <w:pPr>
        <w:pStyle w:val="Standard"/>
        <w:widowControl w:val="0"/>
        <w:spacing w:before="200"/>
        <w:jc w:val="both"/>
      </w:pPr>
      <w:r w:rsidRPr="00853549">
        <w:rPr>
          <w:kern w:val="2"/>
        </w:rPr>
        <w:t xml:space="preserve">In this study, we evaluate the effectiveness of </w:t>
      </w:r>
      <w:proofErr w:type="spellStart"/>
      <w:r w:rsidRPr="00853549">
        <w:rPr>
          <w:rStyle w:val="StrongEmphasis"/>
          <w:b w:val="0"/>
          <w:bCs w:val="0"/>
          <w:kern w:val="2"/>
        </w:rPr>
        <w:t>TLoRA</w:t>
      </w:r>
      <w:proofErr w:type="spellEnd"/>
      <w:r w:rsidRPr="00853549">
        <w:rPr>
          <w:kern w:val="2"/>
        </w:rPr>
        <w:t xml:space="preserve"> on several downstream tasks, comparing it against </w:t>
      </w:r>
      <w:proofErr w:type="spellStart"/>
      <w:r w:rsidRPr="00853549">
        <w:rPr>
          <w:rStyle w:val="StrongEmphasis"/>
          <w:b w:val="0"/>
          <w:bCs w:val="0"/>
          <w:kern w:val="2"/>
        </w:rPr>
        <w:t>LoRA</w:t>
      </w:r>
      <w:proofErr w:type="spellEnd"/>
      <w:r w:rsidRPr="00853549">
        <w:rPr>
          <w:kern w:val="2"/>
        </w:rPr>
        <w:t xml:space="preserve"> in terms of performance and parameter efficiency. Can </w:t>
      </w:r>
      <w:proofErr w:type="spellStart"/>
      <w:r w:rsidRPr="00853549">
        <w:rPr>
          <w:kern w:val="2"/>
        </w:rPr>
        <w:t>TLoRA</w:t>
      </w:r>
      <w:proofErr w:type="spellEnd"/>
      <w:r w:rsidRPr="00853549">
        <w:rPr>
          <w:kern w:val="2"/>
        </w:rPr>
        <w:t xml:space="preserve"> perform competitively with </w:t>
      </w:r>
      <w:proofErr w:type="spellStart"/>
      <w:r w:rsidRPr="00853549">
        <w:rPr>
          <w:kern w:val="2"/>
        </w:rPr>
        <w:t>LoRA</w:t>
      </w:r>
      <w:proofErr w:type="spellEnd"/>
      <w:r w:rsidRPr="00853549">
        <w:rPr>
          <w:kern w:val="2"/>
        </w:rPr>
        <w:t xml:space="preserve">, despite having a fewer number of parameters? </w:t>
      </w:r>
      <w:r w:rsidR="00CA6A82" w:rsidRPr="00CA6A82">
        <w:rPr>
          <w:kern w:val="2"/>
        </w:rPr>
        <w:t>We evaluate our approach on four classification tasks selected from the GLUE benchmark</w:t>
      </w:r>
      <w:r w:rsidR="00B55B9A">
        <w:rPr>
          <w:kern w:val="2"/>
        </w:rPr>
        <w:t xml:space="preserve"> </w:t>
      </w:r>
      <w:r w:rsidR="00B55B9A">
        <w:rPr>
          <w:kern w:val="2"/>
        </w:rPr>
        <w:fldChar w:fldCharType="begin"/>
      </w:r>
      <w:r w:rsidR="00B55B9A">
        <w:rPr>
          <w:kern w:val="2"/>
        </w:rPr>
        <w:instrText xml:space="preserve"> ADDIN ZOTERO_ITEM CSL_CITATION {"citationID":"Rq3pMZve","properties":{"formattedCitation":"(A. Wang 2018)","plainCitation":"(A. Wang 2018)","noteIndex":0},"citationItems":[{"id":54,"uris":["http://zotero.org/users/local/laQS5fZL/items/ACH58MCV"],"itemData":{"id":54,"type":"article-journal","container-title":"arXiv preprint arXiv:1804.07461","title":"Glue: A multi-task benchmark and analysis platform for natural language understanding","author":[{"family":"Wang","given":"Alex"}],"issued":{"date-parts":[["2018"]]}}}],"schema":"https://github.com/citation-style-language/schema/raw/master/csl-citation.json"} </w:instrText>
      </w:r>
      <w:r w:rsidR="00B55B9A">
        <w:rPr>
          <w:kern w:val="2"/>
        </w:rPr>
        <w:fldChar w:fldCharType="separate"/>
      </w:r>
      <w:r w:rsidR="00B55B9A">
        <w:rPr>
          <w:noProof/>
          <w:kern w:val="2"/>
        </w:rPr>
        <w:t>(A. Wang 2018)</w:t>
      </w:r>
      <w:r w:rsidR="00B55B9A">
        <w:rPr>
          <w:kern w:val="2"/>
        </w:rPr>
        <w:fldChar w:fldCharType="end"/>
      </w:r>
      <w:r w:rsidRPr="00853549">
        <w:rPr>
          <w:kern w:val="2"/>
        </w:rPr>
        <w:t xml:space="preserve">: </w:t>
      </w:r>
      <w:r w:rsidRPr="00853549">
        <w:rPr>
          <w:rStyle w:val="StrongEmphasis"/>
          <w:b w:val="0"/>
          <w:bCs w:val="0"/>
          <w:kern w:val="2"/>
        </w:rPr>
        <w:t>MRPC</w:t>
      </w:r>
      <w:r w:rsidRPr="00853549">
        <w:rPr>
          <w:kern w:val="2"/>
        </w:rPr>
        <w:t xml:space="preserve"> (Microsoft Research Paraphrase Corpus), </w:t>
      </w:r>
      <w:r w:rsidRPr="00853549">
        <w:rPr>
          <w:rStyle w:val="StrongEmphasis"/>
          <w:b w:val="0"/>
          <w:bCs w:val="0"/>
          <w:kern w:val="2"/>
        </w:rPr>
        <w:t>RTE</w:t>
      </w:r>
      <w:r w:rsidRPr="00853549">
        <w:rPr>
          <w:kern w:val="2"/>
        </w:rPr>
        <w:t xml:space="preserve"> (Recognizing Textual Entailment), QNLI (Question-answering NLI), and </w:t>
      </w:r>
      <w:r w:rsidRPr="00853549">
        <w:rPr>
          <w:rStyle w:val="StrongEmphasis"/>
          <w:b w:val="0"/>
          <w:bCs w:val="0"/>
          <w:kern w:val="2"/>
        </w:rPr>
        <w:t>SST-2</w:t>
      </w:r>
      <w:r w:rsidRPr="00853549">
        <w:rPr>
          <w:kern w:val="2"/>
        </w:rPr>
        <w:t xml:space="preserve"> (Stanford Sentiment Treebank). These tasks span a range of natural language understanding challenges, from sentence similarity to sentiment analysis, offering a comprehensive evaluation of the models' capabilities.</w:t>
      </w:r>
    </w:p>
    <w:p w14:paraId="07A8A875" w14:textId="356D78A3" w:rsidR="00682D14" w:rsidRDefault="00682D14" w:rsidP="00682D14">
      <w:pPr>
        <w:pStyle w:val="Standard"/>
        <w:widowControl w:val="0"/>
        <w:spacing w:before="200"/>
        <w:jc w:val="both"/>
      </w:pPr>
      <w:r>
        <w:t xml:space="preserve">We conduct our experiments using the pre-trained transformer model </w:t>
      </w:r>
      <w:proofErr w:type="spellStart"/>
      <w:r>
        <w:t>RoBERTa</w:t>
      </w:r>
      <w:proofErr w:type="spellEnd"/>
      <w:r>
        <w:t>-large, a bidirectional encoder model designed for robust language understanding tasks. Specifically, we leverage the MNLI checkpoint, which has been fine-tuned on the Multi-Genre Natural Language Inference (MNLI) dataset</w:t>
      </w:r>
      <w:r w:rsidR="00B55B9A">
        <w:t xml:space="preserve"> </w:t>
      </w:r>
      <w:r w:rsidR="00B55B9A">
        <w:fldChar w:fldCharType="begin"/>
      </w:r>
      <w:r w:rsidR="00B55B9A">
        <w:instrText xml:space="preserve"> ADDIN ZOTERO_ITEM CSL_CITATION {"citationID":"KSBqlPFB","properties":{"formattedCitation":"(Matena and Raffel 2022; Hu et al. 2021)","plainCitation":"(Matena and Raffel 2022; Hu et al. 2021)","noteIndex":0},"citationItems":[{"id":55,"uris":["http://zotero.org/users/local/laQS5fZL/items/KTNWWDTT"],"itemData":{"id":55,"type":"article-journal","container-title":"Advances in Neural Information Processing Systems","page":"17703–17716","title":"Merging models with fisher-weighted averaging","volume":"35","author":[{"family":"Matena","given":"Michael S"},{"family":"Raffel","given":"Colin A"}],"issued":{"date-parts":[["2022"]]}}},{"id":37,"uris":["http://zotero.org/users/local/laQS5fZL/items/FM3STULA"],"itemData":{"id":37,"type":"article-journal","container-title":"arXiv preprint arXiv:2106.09685","title":"Lora: Low-rank adaptation of large language models","author":[{"family":"Hu","given":"Edward J"},{"family":"Shen","given":"Yelong"},{"family":"Wallis","given":"Phillip"},{"family":"Allen-Zhu","given":"Zeyuan"},{"family":"Li","given":"Yuanzhi"},{"family":"Wang","given":"Shean"},{"family":"Wang","given":"Lu"},{"family":"Chen","given":"Weizhu"}],"issued":{"date-parts":[["2021"]]}}}],"schema":"https://github.com/citation-style-language/schema/raw/master/csl-citation.json"} </w:instrText>
      </w:r>
      <w:r w:rsidR="00B55B9A">
        <w:fldChar w:fldCharType="separate"/>
      </w:r>
      <w:r w:rsidR="00B55B9A">
        <w:rPr>
          <w:noProof/>
        </w:rPr>
        <w:t>(Matena and Raffel 2022; Hu et al. 2021)</w:t>
      </w:r>
      <w:r w:rsidR="00B55B9A">
        <w:fldChar w:fldCharType="end"/>
      </w:r>
      <w:r>
        <w:t xml:space="preserve">. This choice aligns with prior work, allowing for a direct comparison of our proposed </w:t>
      </w:r>
      <w:proofErr w:type="spellStart"/>
      <w:r>
        <w:t>TLoRA</w:t>
      </w:r>
      <w:proofErr w:type="spellEnd"/>
      <w:r>
        <w:t xml:space="preserve"> method with existing adaptation techniques under consistent conditions. The MNLI-tuned </w:t>
      </w:r>
      <w:proofErr w:type="spellStart"/>
      <w:r>
        <w:t>RoBERTa</w:t>
      </w:r>
      <w:proofErr w:type="spellEnd"/>
      <w:r>
        <w:t xml:space="preserve">-large provides a strong baseline, as it is optimized for handling complex sentence-pair classification tasks, making it well-suited for evaluating the effectiveness of low-rank adaptation methods like </w:t>
      </w:r>
      <w:proofErr w:type="spellStart"/>
      <w:r>
        <w:t>TLoRA</w:t>
      </w:r>
      <w:proofErr w:type="spellEnd"/>
      <w:r>
        <w:t>.</w:t>
      </w:r>
    </w:p>
    <w:p w14:paraId="6C533897" w14:textId="25F60AA0" w:rsidR="00682D14" w:rsidRDefault="00682D14" w:rsidP="00682D14">
      <w:pPr>
        <w:pStyle w:val="Standard"/>
        <w:widowControl w:val="0"/>
        <w:spacing w:before="200"/>
        <w:jc w:val="both"/>
      </w:pPr>
      <w:r>
        <w:t xml:space="preserve">To perform fine-tuning, we apply </w:t>
      </w:r>
      <w:proofErr w:type="spellStart"/>
      <w:r>
        <w:t>TLoRA</w:t>
      </w:r>
      <w:proofErr w:type="spellEnd"/>
      <w:r>
        <w:t xml:space="preserve"> to specific layers of the model. We target the linear layers associated with the attention mechanisms, as these are the most critical for task adaptation. For </w:t>
      </w:r>
      <w:proofErr w:type="spellStart"/>
      <w:r>
        <w:t>RoBERTa</w:t>
      </w:r>
      <w:proofErr w:type="spellEnd"/>
      <w:r>
        <w:t>, the model is composed of stacked transformer encoder layers, and we specifically target the linear layers within the attention submodules (</w:t>
      </w:r>
      <w:proofErr w:type="spellStart"/>
      <w:proofErr w:type="gramStart"/>
      <w:r>
        <w:t>self.query</w:t>
      </w:r>
      <w:proofErr w:type="spellEnd"/>
      <w:proofErr w:type="gramEnd"/>
      <w:r>
        <w:t xml:space="preserve">, </w:t>
      </w:r>
      <w:proofErr w:type="spellStart"/>
      <w:r>
        <w:t>self.</w:t>
      </w:r>
      <w:r w:rsidR="005526A9">
        <w:t>value</w:t>
      </w:r>
      <w:proofErr w:type="spellEnd"/>
      <w:r>
        <w:t>) and the output projection layers, as these play a central role in the model's ability to capture semantic relationships between tokens. These projections are essential for learning the relationships between the query and value vectors in the attention mechanism, which is central to autoregressive language modeling.</w:t>
      </w:r>
    </w:p>
    <w:p w14:paraId="4FAED983" w14:textId="030B5333" w:rsidR="00682D14" w:rsidRDefault="00682D14" w:rsidP="00682D14">
      <w:pPr>
        <w:pStyle w:val="Standard"/>
        <w:widowControl w:val="0"/>
        <w:spacing w:before="200"/>
        <w:jc w:val="both"/>
      </w:pPr>
      <w:r>
        <w:rPr>
          <w:kern w:val="2"/>
        </w:rPr>
        <w:t xml:space="preserve">For each task, we fine-tune the </w:t>
      </w:r>
      <w:proofErr w:type="spellStart"/>
      <w:r w:rsidR="00834948">
        <w:rPr>
          <w:kern w:val="2"/>
        </w:rPr>
        <w:t>TLoRA</w:t>
      </w:r>
      <w:proofErr w:type="spellEnd"/>
      <w:r w:rsidR="00834948">
        <w:rPr>
          <w:kern w:val="2"/>
        </w:rPr>
        <w:t xml:space="preserve"> </w:t>
      </w:r>
      <w:r>
        <w:rPr>
          <w:kern w:val="2"/>
        </w:rPr>
        <w:t xml:space="preserve">model. </w:t>
      </w:r>
      <w:proofErr w:type="gramStart"/>
      <w:r>
        <w:rPr>
          <w:kern w:val="2"/>
        </w:rPr>
        <w:t xml:space="preserve">In </w:t>
      </w:r>
      <w:r w:rsidR="009C675C">
        <w:rPr>
          <w:kern w:val="2"/>
        </w:rPr>
        <w:t>particular</w:t>
      </w:r>
      <w:r>
        <w:rPr>
          <w:kern w:val="2"/>
        </w:rPr>
        <w:t>, we</w:t>
      </w:r>
      <w:proofErr w:type="gramEnd"/>
      <w:r>
        <w:rPr>
          <w:kern w:val="2"/>
        </w:rPr>
        <w:t xml:space="preserve"> augment the low-rank updates by introducing an additional very-low-rank matrix and an adaptive scaling factor, which allows for a more flexible low-rank approximation of the parameter updates. This extension aims to improve the model's performance without introducing a significant increase in the number of trainable parameters. In contrast,</w:t>
      </w:r>
      <w:r w:rsidR="009C675C">
        <w:rPr>
          <w:kern w:val="2"/>
        </w:rPr>
        <w:t xml:space="preserve"> we know that</w:t>
      </w:r>
      <w:r>
        <w:rPr>
          <w:kern w:val="2"/>
        </w:rPr>
        <w:t xml:space="preserve"> </w:t>
      </w:r>
      <w:proofErr w:type="spellStart"/>
      <w:r>
        <w:rPr>
          <w:kern w:val="2"/>
        </w:rPr>
        <w:t>LoRA</w:t>
      </w:r>
      <w:proofErr w:type="spellEnd"/>
      <w:r>
        <w:rPr>
          <w:kern w:val="2"/>
        </w:rPr>
        <w:t xml:space="preserve"> only employs a single low-rank decomposition for the adaptation.</w:t>
      </w:r>
    </w:p>
    <w:p w14:paraId="3F40959A" w14:textId="548B3186" w:rsidR="00682D14" w:rsidRDefault="00682D14" w:rsidP="00682D14">
      <w:pPr>
        <w:pStyle w:val="Standard"/>
        <w:widowControl w:val="0"/>
        <w:spacing w:before="200"/>
        <w:jc w:val="both"/>
      </w:pPr>
      <w:r>
        <w:rPr>
          <w:kern w:val="2"/>
        </w:rPr>
        <w:t>The objective of our experiments is to evaluate how well these adaptations—</w:t>
      </w:r>
      <w:proofErr w:type="spellStart"/>
      <w:r>
        <w:rPr>
          <w:kern w:val="2"/>
        </w:rPr>
        <w:t>LoRA</w:t>
      </w:r>
      <w:proofErr w:type="spellEnd"/>
      <w:r>
        <w:rPr>
          <w:kern w:val="2"/>
        </w:rPr>
        <w:t xml:space="preserve"> and </w:t>
      </w:r>
      <w:proofErr w:type="spellStart"/>
      <w:r>
        <w:rPr>
          <w:kern w:val="2"/>
        </w:rPr>
        <w:t>TLoRA</w:t>
      </w:r>
      <w:proofErr w:type="spellEnd"/>
      <w:r>
        <w:rPr>
          <w:kern w:val="2"/>
        </w:rPr>
        <w:t>—perform on classification tasks, both in terms of classification accuracy and computational efficiency. We measure the impact of these techniques on the GLUE tasks by comparing the models' accuracy across all tasks, as well as the number of parameters that need to be fine-tuned.</w:t>
      </w:r>
    </w:p>
    <w:p w14:paraId="08BD56BF" w14:textId="2ADB6D66" w:rsidR="00CB5BF2" w:rsidRDefault="00CB5BF2" w:rsidP="00682D14">
      <w:pPr>
        <w:pStyle w:val="Standard"/>
        <w:widowControl w:val="0"/>
        <w:spacing w:before="200"/>
        <w:jc w:val="both"/>
      </w:pPr>
      <w:r w:rsidRPr="007D691C">
        <w:rPr>
          <w:b/>
          <w:bCs/>
        </w:rPr>
        <w:t>Table 2:</w:t>
      </w:r>
      <w:r w:rsidR="00216FF7">
        <w:t xml:space="preserve"> </w:t>
      </w:r>
      <w:proofErr w:type="spellStart"/>
      <w:r w:rsidR="00011270">
        <w:t>TLoRA</w:t>
      </w:r>
      <w:proofErr w:type="spellEnd"/>
      <w:r w:rsidR="00011270">
        <w:t xml:space="preserve"> training parameters and setup</w:t>
      </w:r>
      <w:r w:rsidR="00A46E41">
        <w:t xml:space="preserve"> for the </w:t>
      </w:r>
      <w:r w:rsidR="00A46E41">
        <w:rPr>
          <w:kern w:val="2"/>
        </w:rPr>
        <w:t>GLUE tasks</w:t>
      </w:r>
      <w:r w:rsidR="00011270">
        <w:t>.</w:t>
      </w:r>
    </w:p>
    <w:p w14:paraId="3AD28D38" w14:textId="77777777" w:rsidR="00747B79" w:rsidRDefault="00747B79" w:rsidP="00682D14">
      <w:pPr>
        <w:pStyle w:val="Standard"/>
        <w:widowControl w:val="0"/>
        <w:spacing w:before="200"/>
        <w:jc w:val="both"/>
      </w:pPr>
    </w:p>
    <w:tbl>
      <w:tblPr>
        <w:tblW w:w="6431" w:type="dxa"/>
        <w:jc w:val="center"/>
        <w:tblLayout w:type="fixed"/>
        <w:tblCellMar>
          <w:left w:w="0" w:type="dxa"/>
          <w:right w:w="0" w:type="dxa"/>
        </w:tblCellMar>
        <w:tblLook w:val="04A0" w:firstRow="1" w:lastRow="0" w:firstColumn="1" w:lastColumn="0" w:noHBand="0" w:noVBand="1"/>
      </w:tblPr>
      <w:tblGrid>
        <w:gridCol w:w="1310"/>
        <w:gridCol w:w="1280"/>
        <w:gridCol w:w="1283"/>
        <w:gridCol w:w="1279"/>
        <w:gridCol w:w="1279"/>
      </w:tblGrid>
      <w:tr w:rsidR="00BF4526" w14:paraId="028A6458" w14:textId="77777777" w:rsidTr="00BF4526">
        <w:trPr>
          <w:trHeight w:val="256"/>
          <w:jc w:val="center"/>
        </w:trPr>
        <w:tc>
          <w:tcPr>
            <w:tcW w:w="1310" w:type="dxa"/>
            <w:tcBorders>
              <w:top w:val="single" w:sz="6" w:space="0" w:color="000000"/>
              <w:bottom w:val="single" w:sz="6" w:space="0" w:color="000000"/>
            </w:tcBorders>
            <w:shd w:val="clear" w:color="auto" w:fill="auto"/>
            <w:vAlign w:val="bottom"/>
          </w:tcPr>
          <w:p w14:paraId="2BB7FC94" w14:textId="77777777" w:rsidR="00BF4526" w:rsidRDefault="00BF4526" w:rsidP="00D339C7">
            <w:pPr>
              <w:pStyle w:val="Standard"/>
              <w:rPr>
                <w:color w:val="000000"/>
              </w:rPr>
            </w:pPr>
          </w:p>
        </w:tc>
        <w:tc>
          <w:tcPr>
            <w:tcW w:w="1280" w:type="dxa"/>
            <w:tcBorders>
              <w:top w:val="single" w:sz="6" w:space="0" w:color="000000"/>
              <w:bottom w:val="single" w:sz="6" w:space="0" w:color="000000"/>
            </w:tcBorders>
            <w:shd w:val="clear" w:color="auto" w:fill="auto"/>
            <w:vAlign w:val="bottom"/>
          </w:tcPr>
          <w:p w14:paraId="4C61861E" w14:textId="77777777" w:rsidR="00BF4526" w:rsidRDefault="00BF4526" w:rsidP="00D339C7">
            <w:pPr>
              <w:pStyle w:val="Standard"/>
              <w:rPr>
                <w:b/>
                <w:color w:val="000000"/>
              </w:rPr>
            </w:pPr>
            <w:r>
              <w:rPr>
                <w:b/>
                <w:color w:val="000000"/>
              </w:rPr>
              <w:t>SST-2</w:t>
            </w:r>
          </w:p>
        </w:tc>
        <w:tc>
          <w:tcPr>
            <w:tcW w:w="1283" w:type="dxa"/>
            <w:tcBorders>
              <w:top w:val="single" w:sz="6" w:space="0" w:color="000000"/>
              <w:bottom w:val="single" w:sz="6" w:space="0" w:color="000000"/>
            </w:tcBorders>
            <w:shd w:val="clear" w:color="auto" w:fill="auto"/>
            <w:vAlign w:val="bottom"/>
          </w:tcPr>
          <w:p w14:paraId="768D6C40" w14:textId="77777777" w:rsidR="00BF4526" w:rsidRDefault="00BF4526" w:rsidP="00D339C7">
            <w:pPr>
              <w:pStyle w:val="Standard"/>
              <w:rPr>
                <w:b/>
                <w:color w:val="000000"/>
              </w:rPr>
            </w:pPr>
            <w:r>
              <w:rPr>
                <w:b/>
                <w:color w:val="000000"/>
              </w:rPr>
              <w:t>QNLI</w:t>
            </w:r>
          </w:p>
        </w:tc>
        <w:tc>
          <w:tcPr>
            <w:tcW w:w="1279" w:type="dxa"/>
            <w:tcBorders>
              <w:top w:val="single" w:sz="6" w:space="0" w:color="000000"/>
              <w:bottom w:val="single" w:sz="6" w:space="0" w:color="000000"/>
            </w:tcBorders>
            <w:shd w:val="clear" w:color="auto" w:fill="auto"/>
            <w:vAlign w:val="bottom"/>
          </w:tcPr>
          <w:p w14:paraId="2A7ED122" w14:textId="77777777" w:rsidR="00BF4526" w:rsidRDefault="00BF4526" w:rsidP="00D339C7">
            <w:pPr>
              <w:pStyle w:val="Standard"/>
              <w:rPr>
                <w:b/>
                <w:color w:val="000000"/>
              </w:rPr>
            </w:pPr>
            <w:r>
              <w:rPr>
                <w:b/>
                <w:color w:val="000000"/>
              </w:rPr>
              <w:t>RTE</w:t>
            </w:r>
          </w:p>
        </w:tc>
        <w:tc>
          <w:tcPr>
            <w:tcW w:w="1279" w:type="dxa"/>
            <w:tcBorders>
              <w:top w:val="single" w:sz="6" w:space="0" w:color="000000"/>
              <w:bottom w:val="single" w:sz="6" w:space="0" w:color="000000"/>
            </w:tcBorders>
            <w:shd w:val="clear" w:color="auto" w:fill="auto"/>
            <w:vAlign w:val="bottom"/>
          </w:tcPr>
          <w:p w14:paraId="5E29BED2" w14:textId="77777777" w:rsidR="00BF4526" w:rsidRDefault="00BF4526" w:rsidP="00D339C7">
            <w:pPr>
              <w:pStyle w:val="Standard"/>
              <w:rPr>
                <w:b/>
                <w:color w:val="000000"/>
              </w:rPr>
            </w:pPr>
            <w:r>
              <w:rPr>
                <w:b/>
                <w:color w:val="000000"/>
              </w:rPr>
              <w:t>MRPC</w:t>
            </w:r>
          </w:p>
        </w:tc>
      </w:tr>
      <w:tr w:rsidR="00BF4526" w14:paraId="57D8F7EF" w14:textId="77777777" w:rsidTr="00BF4526">
        <w:trPr>
          <w:trHeight w:val="256"/>
          <w:jc w:val="center"/>
        </w:trPr>
        <w:tc>
          <w:tcPr>
            <w:tcW w:w="1310" w:type="dxa"/>
            <w:shd w:val="clear" w:color="auto" w:fill="auto"/>
            <w:vAlign w:val="bottom"/>
          </w:tcPr>
          <w:p w14:paraId="12384695" w14:textId="77777777" w:rsidR="00BF4526" w:rsidRDefault="00BF4526" w:rsidP="00D339C7">
            <w:pPr>
              <w:pStyle w:val="Standard"/>
              <w:rPr>
                <w:b/>
                <w:color w:val="000000"/>
              </w:rPr>
            </w:pPr>
            <w:r>
              <w:rPr>
                <w:b/>
                <w:color w:val="000000"/>
              </w:rPr>
              <w:t>Batch Size</w:t>
            </w:r>
          </w:p>
        </w:tc>
        <w:tc>
          <w:tcPr>
            <w:tcW w:w="1280" w:type="dxa"/>
            <w:shd w:val="clear" w:color="auto" w:fill="auto"/>
            <w:vAlign w:val="bottom"/>
          </w:tcPr>
          <w:p w14:paraId="13F887F8" w14:textId="77777777" w:rsidR="00BF4526" w:rsidRDefault="00BF4526" w:rsidP="00D339C7">
            <w:pPr>
              <w:pStyle w:val="Standard"/>
              <w:rPr>
                <w:color w:val="000000"/>
              </w:rPr>
            </w:pPr>
            <w:r>
              <w:rPr>
                <w:color w:val="000000"/>
              </w:rPr>
              <w:t>32</w:t>
            </w:r>
          </w:p>
        </w:tc>
        <w:tc>
          <w:tcPr>
            <w:tcW w:w="1283" w:type="dxa"/>
            <w:shd w:val="clear" w:color="auto" w:fill="auto"/>
            <w:vAlign w:val="bottom"/>
          </w:tcPr>
          <w:p w14:paraId="45372215" w14:textId="77777777" w:rsidR="00BF4526" w:rsidRDefault="00BF4526" w:rsidP="00D339C7">
            <w:pPr>
              <w:pStyle w:val="Standard"/>
              <w:rPr>
                <w:color w:val="000000"/>
              </w:rPr>
            </w:pPr>
            <w:r>
              <w:rPr>
                <w:color w:val="000000"/>
              </w:rPr>
              <w:t>32</w:t>
            </w:r>
          </w:p>
        </w:tc>
        <w:tc>
          <w:tcPr>
            <w:tcW w:w="1279" w:type="dxa"/>
            <w:shd w:val="clear" w:color="auto" w:fill="auto"/>
            <w:vAlign w:val="bottom"/>
          </w:tcPr>
          <w:p w14:paraId="6F235DBC" w14:textId="77777777" w:rsidR="00BF4526" w:rsidRDefault="00BF4526" w:rsidP="00D339C7">
            <w:pPr>
              <w:pStyle w:val="Standard"/>
              <w:rPr>
                <w:color w:val="000000"/>
              </w:rPr>
            </w:pPr>
            <w:r>
              <w:rPr>
                <w:color w:val="000000"/>
              </w:rPr>
              <w:t>32</w:t>
            </w:r>
          </w:p>
        </w:tc>
        <w:tc>
          <w:tcPr>
            <w:tcW w:w="1279" w:type="dxa"/>
            <w:shd w:val="clear" w:color="auto" w:fill="auto"/>
            <w:vAlign w:val="bottom"/>
          </w:tcPr>
          <w:p w14:paraId="3ACFFAE5" w14:textId="77777777" w:rsidR="00BF4526" w:rsidRDefault="00BF4526" w:rsidP="00D339C7">
            <w:pPr>
              <w:pStyle w:val="Standard"/>
              <w:rPr>
                <w:color w:val="000000"/>
              </w:rPr>
            </w:pPr>
            <w:r>
              <w:rPr>
                <w:color w:val="000000"/>
              </w:rPr>
              <w:t>32</w:t>
            </w:r>
          </w:p>
        </w:tc>
      </w:tr>
      <w:tr w:rsidR="00BF4526" w14:paraId="60A8784A" w14:textId="77777777" w:rsidTr="00BF4526">
        <w:trPr>
          <w:trHeight w:val="256"/>
          <w:jc w:val="center"/>
        </w:trPr>
        <w:tc>
          <w:tcPr>
            <w:tcW w:w="1310" w:type="dxa"/>
            <w:shd w:val="clear" w:color="auto" w:fill="auto"/>
            <w:vAlign w:val="bottom"/>
          </w:tcPr>
          <w:p w14:paraId="39AC765F" w14:textId="77777777" w:rsidR="00BF4526" w:rsidRDefault="00BF4526" w:rsidP="00D339C7">
            <w:pPr>
              <w:pStyle w:val="Standard"/>
              <w:rPr>
                <w:b/>
                <w:color w:val="000000"/>
              </w:rPr>
            </w:pPr>
            <w:r>
              <w:rPr>
                <w:b/>
                <w:color w:val="000000"/>
              </w:rPr>
              <w:t>Leaning Rate</w:t>
            </w:r>
          </w:p>
        </w:tc>
        <w:tc>
          <w:tcPr>
            <w:tcW w:w="1280" w:type="dxa"/>
            <w:shd w:val="clear" w:color="auto" w:fill="auto"/>
            <w:vAlign w:val="bottom"/>
          </w:tcPr>
          <w:p w14:paraId="2845FF97" w14:textId="77777777" w:rsidR="00BF4526" w:rsidRDefault="00BF4526" w:rsidP="00D339C7">
            <w:pPr>
              <w:pStyle w:val="Standard"/>
              <w:rPr>
                <w:color w:val="000000"/>
              </w:rPr>
            </w:pPr>
            <w:r>
              <w:rPr>
                <w:color w:val="000000"/>
              </w:rPr>
              <w:t>0</w:t>
            </w:r>
          </w:p>
        </w:tc>
        <w:tc>
          <w:tcPr>
            <w:tcW w:w="1283" w:type="dxa"/>
            <w:shd w:val="clear" w:color="auto" w:fill="auto"/>
            <w:vAlign w:val="bottom"/>
          </w:tcPr>
          <w:p w14:paraId="488FE523" w14:textId="77777777" w:rsidR="00BF4526" w:rsidRDefault="00BF4526" w:rsidP="00D339C7">
            <w:pPr>
              <w:pStyle w:val="Standard"/>
              <w:rPr>
                <w:color w:val="000000"/>
              </w:rPr>
            </w:pPr>
            <w:r>
              <w:rPr>
                <w:color w:val="000000"/>
              </w:rPr>
              <w:t>0</w:t>
            </w:r>
          </w:p>
        </w:tc>
        <w:tc>
          <w:tcPr>
            <w:tcW w:w="1279" w:type="dxa"/>
            <w:shd w:val="clear" w:color="auto" w:fill="auto"/>
            <w:vAlign w:val="bottom"/>
          </w:tcPr>
          <w:p w14:paraId="53564FC6" w14:textId="77777777" w:rsidR="00BF4526" w:rsidRDefault="00BF4526" w:rsidP="00D339C7">
            <w:pPr>
              <w:pStyle w:val="Standard"/>
              <w:rPr>
                <w:color w:val="000000"/>
              </w:rPr>
            </w:pPr>
            <w:r>
              <w:rPr>
                <w:color w:val="000000"/>
              </w:rPr>
              <w:t>0</w:t>
            </w:r>
          </w:p>
        </w:tc>
        <w:tc>
          <w:tcPr>
            <w:tcW w:w="1279" w:type="dxa"/>
            <w:shd w:val="clear" w:color="auto" w:fill="auto"/>
            <w:vAlign w:val="bottom"/>
          </w:tcPr>
          <w:p w14:paraId="313F3386" w14:textId="77777777" w:rsidR="00BF4526" w:rsidRDefault="00BF4526" w:rsidP="00D339C7">
            <w:pPr>
              <w:pStyle w:val="Standard"/>
              <w:rPr>
                <w:color w:val="000000"/>
              </w:rPr>
            </w:pPr>
            <w:r>
              <w:rPr>
                <w:color w:val="000000"/>
              </w:rPr>
              <w:t>0</w:t>
            </w:r>
          </w:p>
        </w:tc>
      </w:tr>
      <w:tr w:rsidR="00BF4526" w14:paraId="2CC9DA79" w14:textId="77777777" w:rsidTr="00BF4526">
        <w:trPr>
          <w:trHeight w:val="256"/>
          <w:jc w:val="center"/>
        </w:trPr>
        <w:tc>
          <w:tcPr>
            <w:tcW w:w="1310" w:type="dxa"/>
            <w:shd w:val="clear" w:color="auto" w:fill="auto"/>
            <w:vAlign w:val="bottom"/>
          </w:tcPr>
          <w:p w14:paraId="3A1B9C34" w14:textId="77777777" w:rsidR="00BF4526" w:rsidRDefault="00BF4526" w:rsidP="00D339C7">
            <w:pPr>
              <w:pStyle w:val="Standard"/>
              <w:rPr>
                <w:b/>
                <w:color w:val="000000"/>
              </w:rPr>
            </w:pPr>
            <w:r>
              <w:rPr>
                <w:b/>
                <w:color w:val="000000"/>
              </w:rPr>
              <w:t>Epochs</w:t>
            </w:r>
          </w:p>
        </w:tc>
        <w:tc>
          <w:tcPr>
            <w:tcW w:w="1280" w:type="dxa"/>
            <w:shd w:val="clear" w:color="auto" w:fill="auto"/>
            <w:vAlign w:val="bottom"/>
          </w:tcPr>
          <w:p w14:paraId="50445141" w14:textId="22587D2E" w:rsidR="00BF4526" w:rsidRDefault="00837951" w:rsidP="00D339C7">
            <w:pPr>
              <w:pStyle w:val="Standard"/>
              <w:rPr>
                <w:color w:val="000000"/>
              </w:rPr>
            </w:pPr>
            <w:r>
              <w:rPr>
                <w:color w:val="000000"/>
              </w:rPr>
              <w:t>3</w:t>
            </w:r>
            <w:r w:rsidR="00BF4526">
              <w:rPr>
                <w:color w:val="000000"/>
              </w:rPr>
              <w:t>0</w:t>
            </w:r>
          </w:p>
        </w:tc>
        <w:tc>
          <w:tcPr>
            <w:tcW w:w="1283" w:type="dxa"/>
            <w:shd w:val="clear" w:color="auto" w:fill="auto"/>
            <w:vAlign w:val="bottom"/>
          </w:tcPr>
          <w:p w14:paraId="3183E3EF" w14:textId="6906BA4A" w:rsidR="00BF4526" w:rsidRDefault="00837951" w:rsidP="00D339C7">
            <w:pPr>
              <w:pStyle w:val="Standard"/>
              <w:rPr>
                <w:color w:val="000000"/>
              </w:rPr>
            </w:pPr>
            <w:r>
              <w:rPr>
                <w:color w:val="000000"/>
              </w:rPr>
              <w:t>3</w:t>
            </w:r>
            <w:r w:rsidR="00BF4526">
              <w:rPr>
                <w:color w:val="000000"/>
              </w:rPr>
              <w:t>0</w:t>
            </w:r>
          </w:p>
        </w:tc>
        <w:tc>
          <w:tcPr>
            <w:tcW w:w="1279" w:type="dxa"/>
            <w:shd w:val="clear" w:color="auto" w:fill="auto"/>
            <w:vAlign w:val="bottom"/>
          </w:tcPr>
          <w:p w14:paraId="2BCC18AC" w14:textId="34F7DAAA" w:rsidR="00BF4526" w:rsidRDefault="00837951" w:rsidP="00D339C7">
            <w:pPr>
              <w:pStyle w:val="Standard"/>
              <w:rPr>
                <w:color w:val="000000"/>
              </w:rPr>
            </w:pPr>
            <w:r>
              <w:rPr>
                <w:color w:val="000000"/>
              </w:rPr>
              <w:t>3</w:t>
            </w:r>
            <w:r w:rsidR="00BF4526">
              <w:rPr>
                <w:color w:val="000000"/>
              </w:rPr>
              <w:t>0</w:t>
            </w:r>
          </w:p>
        </w:tc>
        <w:tc>
          <w:tcPr>
            <w:tcW w:w="1279" w:type="dxa"/>
            <w:shd w:val="clear" w:color="auto" w:fill="auto"/>
            <w:vAlign w:val="bottom"/>
          </w:tcPr>
          <w:p w14:paraId="4FDB57F3" w14:textId="5E11113B" w:rsidR="00BF4526" w:rsidRDefault="00837951" w:rsidP="00D339C7">
            <w:pPr>
              <w:pStyle w:val="Standard"/>
              <w:rPr>
                <w:color w:val="000000"/>
              </w:rPr>
            </w:pPr>
            <w:r>
              <w:rPr>
                <w:color w:val="000000"/>
              </w:rPr>
              <w:t>3</w:t>
            </w:r>
            <w:r w:rsidR="00BF4526">
              <w:rPr>
                <w:color w:val="000000"/>
              </w:rPr>
              <w:t>0</w:t>
            </w:r>
          </w:p>
        </w:tc>
      </w:tr>
      <w:tr w:rsidR="00BF4526" w14:paraId="6FD44586" w14:textId="77777777" w:rsidTr="00BF4526">
        <w:trPr>
          <w:trHeight w:val="256"/>
          <w:jc w:val="center"/>
        </w:trPr>
        <w:tc>
          <w:tcPr>
            <w:tcW w:w="1310" w:type="dxa"/>
            <w:shd w:val="clear" w:color="auto" w:fill="auto"/>
            <w:vAlign w:val="bottom"/>
          </w:tcPr>
          <w:p w14:paraId="56CF1B96" w14:textId="77777777" w:rsidR="00BF4526" w:rsidRDefault="00BF4526" w:rsidP="00D339C7">
            <w:pPr>
              <w:pStyle w:val="Standard"/>
              <w:rPr>
                <w:b/>
                <w:color w:val="000000"/>
              </w:rPr>
            </w:pPr>
            <w:r>
              <w:rPr>
                <w:b/>
                <w:color w:val="000000"/>
              </w:rPr>
              <w:t>Rank</w:t>
            </w:r>
          </w:p>
        </w:tc>
        <w:tc>
          <w:tcPr>
            <w:tcW w:w="1280" w:type="dxa"/>
            <w:shd w:val="clear" w:color="auto" w:fill="auto"/>
            <w:vAlign w:val="bottom"/>
          </w:tcPr>
          <w:p w14:paraId="62623C35" w14:textId="77777777" w:rsidR="00BF4526" w:rsidRDefault="00BF4526" w:rsidP="00D339C7">
            <w:pPr>
              <w:pStyle w:val="Standard"/>
              <w:rPr>
                <w:color w:val="000000"/>
              </w:rPr>
            </w:pPr>
            <w:r>
              <w:rPr>
                <w:color w:val="000000"/>
              </w:rPr>
              <w:t>32</w:t>
            </w:r>
          </w:p>
        </w:tc>
        <w:tc>
          <w:tcPr>
            <w:tcW w:w="1283" w:type="dxa"/>
            <w:shd w:val="clear" w:color="auto" w:fill="auto"/>
            <w:vAlign w:val="bottom"/>
          </w:tcPr>
          <w:p w14:paraId="11B45F51" w14:textId="77777777" w:rsidR="00BF4526" w:rsidRDefault="00BF4526" w:rsidP="00D339C7">
            <w:pPr>
              <w:pStyle w:val="Standard"/>
              <w:rPr>
                <w:color w:val="000000"/>
              </w:rPr>
            </w:pPr>
            <w:r>
              <w:rPr>
                <w:color w:val="000000"/>
              </w:rPr>
              <w:t>32</w:t>
            </w:r>
          </w:p>
        </w:tc>
        <w:tc>
          <w:tcPr>
            <w:tcW w:w="1279" w:type="dxa"/>
            <w:shd w:val="clear" w:color="auto" w:fill="auto"/>
            <w:vAlign w:val="bottom"/>
          </w:tcPr>
          <w:p w14:paraId="4FB957A7" w14:textId="77777777" w:rsidR="00BF4526" w:rsidRDefault="00BF4526" w:rsidP="00D339C7">
            <w:pPr>
              <w:pStyle w:val="Standard"/>
              <w:rPr>
                <w:color w:val="000000"/>
              </w:rPr>
            </w:pPr>
            <w:r>
              <w:rPr>
                <w:color w:val="000000"/>
              </w:rPr>
              <w:t>32</w:t>
            </w:r>
          </w:p>
        </w:tc>
        <w:tc>
          <w:tcPr>
            <w:tcW w:w="1279" w:type="dxa"/>
            <w:shd w:val="clear" w:color="auto" w:fill="auto"/>
            <w:vAlign w:val="bottom"/>
          </w:tcPr>
          <w:p w14:paraId="14648879" w14:textId="77777777" w:rsidR="00BF4526" w:rsidRDefault="00BF4526" w:rsidP="00D339C7">
            <w:pPr>
              <w:pStyle w:val="Standard"/>
              <w:rPr>
                <w:color w:val="000000"/>
              </w:rPr>
            </w:pPr>
            <w:r>
              <w:rPr>
                <w:color w:val="000000"/>
              </w:rPr>
              <w:t>32</w:t>
            </w:r>
          </w:p>
        </w:tc>
      </w:tr>
      <w:tr w:rsidR="00BF4526" w14:paraId="2E6B6C35" w14:textId="77777777" w:rsidTr="00BF4526">
        <w:trPr>
          <w:trHeight w:val="256"/>
          <w:jc w:val="center"/>
        </w:trPr>
        <w:tc>
          <w:tcPr>
            <w:tcW w:w="1310" w:type="dxa"/>
            <w:shd w:val="clear" w:color="auto" w:fill="auto"/>
            <w:vAlign w:val="bottom"/>
          </w:tcPr>
          <w:p w14:paraId="3D7C0F08" w14:textId="77777777" w:rsidR="00BF4526" w:rsidRDefault="00BF4526" w:rsidP="00D339C7">
            <w:pPr>
              <w:pStyle w:val="Standard"/>
              <w:rPr>
                <w:b/>
                <w:color w:val="000000"/>
              </w:rPr>
            </w:pPr>
            <w:r>
              <w:rPr>
                <w:b/>
                <w:color w:val="000000"/>
              </w:rPr>
              <w:t>Optimizer</w:t>
            </w:r>
          </w:p>
        </w:tc>
        <w:tc>
          <w:tcPr>
            <w:tcW w:w="1280" w:type="dxa"/>
            <w:shd w:val="clear" w:color="auto" w:fill="auto"/>
            <w:vAlign w:val="bottom"/>
          </w:tcPr>
          <w:p w14:paraId="5B596837" w14:textId="77777777" w:rsidR="00BF4526" w:rsidRDefault="00BF4526" w:rsidP="00D339C7">
            <w:pPr>
              <w:pStyle w:val="Standard"/>
              <w:rPr>
                <w:color w:val="000000"/>
              </w:rPr>
            </w:pPr>
            <w:proofErr w:type="spellStart"/>
            <w:r>
              <w:rPr>
                <w:color w:val="000000"/>
              </w:rPr>
              <w:t>AdamW</w:t>
            </w:r>
            <w:proofErr w:type="spellEnd"/>
          </w:p>
        </w:tc>
        <w:tc>
          <w:tcPr>
            <w:tcW w:w="1283" w:type="dxa"/>
            <w:shd w:val="clear" w:color="auto" w:fill="auto"/>
            <w:vAlign w:val="bottom"/>
          </w:tcPr>
          <w:p w14:paraId="6A8CFB2B" w14:textId="77777777" w:rsidR="00BF4526" w:rsidRDefault="00BF4526" w:rsidP="00D339C7">
            <w:pPr>
              <w:pStyle w:val="Standard"/>
              <w:rPr>
                <w:color w:val="000000"/>
              </w:rPr>
            </w:pPr>
            <w:proofErr w:type="spellStart"/>
            <w:r>
              <w:rPr>
                <w:color w:val="000000"/>
              </w:rPr>
              <w:t>AdamW</w:t>
            </w:r>
            <w:proofErr w:type="spellEnd"/>
          </w:p>
        </w:tc>
        <w:tc>
          <w:tcPr>
            <w:tcW w:w="1279" w:type="dxa"/>
            <w:shd w:val="clear" w:color="auto" w:fill="auto"/>
            <w:vAlign w:val="bottom"/>
          </w:tcPr>
          <w:p w14:paraId="3D8C92AA" w14:textId="77777777" w:rsidR="00BF4526" w:rsidRDefault="00BF4526" w:rsidP="00D339C7">
            <w:pPr>
              <w:pStyle w:val="Standard"/>
              <w:rPr>
                <w:color w:val="000000"/>
              </w:rPr>
            </w:pPr>
            <w:proofErr w:type="spellStart"/>
            <w:r>
              <w:rPr>
                <w:color w:val="000000"/>
              </w:rPr>
              <w:t>AdamW</w:t>
            </w:r>
            <w:proofErr w:type="spellEnd"/>
          </w:p>
        </w:tc>
        <w:tc>
          <w:tcPr>
            <w:tcW w:w="1279" w:type="dxa"/>
            <w:shd w:val="clear" w:color="auto" w:fill="auto"/>
            <w:vAlign w:val="bottom"/>
          </w:tcPr>
          <w:p w14:paraId="54E348C4" w14:textId="77777777" w:rsidR="00BF4526" w:rsidRDefault="00BF4526" w:rsidP="00D339C7">
            <w:pPr>
              <w:pStyle w:val="Standard"/>
              <w:rPr>
                <w:color w:val="000000"/>
              </w:rPr>
            </w:pPr>
            <w:proofErr w:type="spellStart"/>
            <w:r>
              <w:rPr>
                <w:color w:val="000000"/>
              </w:rPr>
              <w:t>AdamW</w:t>
            </w:r>
            <w:proofErr w:type="spellEnd"/>
          </w:p>
        </w:tc>
      </w:tr>
      <w:tr w:rsidR="00BF4526" w14:paraId="44512DDA" w14:textId="77777777" w:rsidTr="00BF4526">
        <w:trPr>
          <w:trHeight w:val="256"/>
          <w:jc w:val="center"/>
        </w:trPr>
        <w:tc>
          <w:tcPr>
            <w:tcW w:w="1310" w:type="dxa"/>
            <w:tcBorders>
              <w:bottom w:val="single" w:sz="6" w:space="0" w:color="000000"/>
            </w:tcBorders>
            <w:shd w:val="clear" w:color="auto" w:fill="auto"/>
            <w:vAlign w:val="bottom"/>
          </w:tcPr>
          <w:p w14:paraId="6A230165" w14:textId="77777777" w:rsidR="00BF4526" w:rsidRDefault="00BF4526" w:rsidP="00D339C7">
            <w:pPr>
              <w:pStyle w:val="Standard"/>
              <w:rPr>
                <w:b/>
                <w:color w:val="000000"/>
              </w:rPr>
            </w:pPr>
            <w:r>
              <w:rPr>
                <w:b/>
                <w:color w:val="000000"/>
              </w:rPr>
              <w:t>LR Schedule</w:t>
            </w:r>
          </w:p>
        </w:tc>
        <w:tc>
          <w:tcPr>
            <w:tcW w:w="1280" w:type="dxa"/>
            <w:tcBorders>
              <w:bottom w:val="single" w:sz="6" w:space="0" w:color="000000"/>
            </w:tcBorders>
            <w:shd w:val="clear" w:color="auto" w:fill="auto"/>
            <w:vAlign w:val="bottom"/>
          </w:tcPr>
          <w:p w14:paraId="5BF97F38" w14:textId="77777777" w:rsidR="00BF4526" w:rsidRDefault="00BF4526" w:rsidP="00D339C7">
            <w:pPr>
              <w:pStyle w:val="Standard"/>
              <w:rPr>
                <w:color w:val="000000"/>
              </w:rPr>
            </w:pPr>
            <w:r>
              <w:rPr>
                <w:color w:val="000000"/>
              </w:rPr>
              <w:t>Linear</w:t>
            </w:r>
          </w:p>
        </w:tc>
        <w:tc>
          <w:tcPr>
            <w:tcW w:w="1283" w:type="dxa"/>
            <w:tcBorders>
              <w:bottom w:val="single" w:sz="6" w:space="0" w:color="000000"/>
            </w:tcBorders>
            <w:shd w:val="clear" w:color="auto" w:fill="auto"/>
            <w:vAlign w:val="bottom"/>
          </w:tcPr>
          <w:p w14:paraId="44874FA9" w14:textId="77777777" w:rsidR="00BF4526" w:rsidRDefault="00BF4526" w:rsidP="00D339C7">
            <w:pPr>
              <w:pStyle w:val="Standard"/>
              <w:rPr>
                <w:color w:val="000000"/>
              </w:rPr>
            </w:pPr>
            <w:r>
              <w:rPr>
                <w:color w:val="000000"/>
              </w:rPr>
              <w:t>Linear</w:t>
            </w:r>
          </w:p>
        </w:tc>
        <w:tc>
          <w:tcPr>
            <w:tcW w:w="1279" w:type="dxa"/>
            <w:tcBorders>
              <w:bottom w:val="single" w:sz="6" w:space="0" w:color="000000"/>
            </w:tcBorders>
            <w:shd w:val="clear" w:color="auto" w:fill="auto"/>
            <w:vAlign w:val="bottom"/>
          </w:tcPr>
          <w:p w14:paraId="1607D140" w14:textId="77777777" w:rsidR="00BF4526" w:rsidRDefault="00BF4526" w:rsidP="00D339C7">
            <w:pPr>
              <w:pStyle w:val="Standard"/>
              <w:rPr>
                <w:color w:val="000000"/>
              </w:rPr>
            </w:pPr>
            <w:r>
              <w:rPr>
                <w:color w:val="000000"/>
              </w:rPr>
              <w:t>Linear</w:t>
            </w:r>
          </w:p>
        </w:tc>
        <w:tc>
          <w:tcPr>
            <w:tcW w:w="1279" w:type="dxa"/>
            <w:tcBorders>
              <w:bottom w:val="single" w:sz="6" w:space="0" w:color="000000"/>
            </w:tcBorders>
            <w:shd w:val="clear" w:color="auto" w:fill="auto"/>
            <w:vAlign w:val="bottom"/>
          </w:tcPr>
          <w:p w14:paraId="44F34955" w14:textId="77777777" w:rsidR="00BF4526" w:rsidRDefault="00BF4526" w:rsidP="00D339C7">
            <w:pPr>
              <w:pStyle w:val="Standard"/>
              <w:rPr>
                <w:color w:val="000000"/>
              </w:rPr>
            </w:pPr>
            <w:r>
              <w:rPr>
                <w:color w:val="000000"/>
              </w:rPr>
              <w:t>Linear</w:t>
            </w:r>
          </w:p>
        </w:tc>
      </w:tr>
    </w:tbl>
    <w:p w14:paraId="7958D437" w14:textId="77777777" w:rsidR="00682D14" w:rsidRDefault="00682D14" w:rsidP="00682D14">
      <w:pPr>
        <w:pStyle w:val="Standard"/>
      </w:pPr>
    </w:p>
    <w:p w14:paraId="5FD241E2" w14:textId="7936F4C5" w:rsidR="00682D14" w:rsidRDefault="00682D14" w:rsidP="00682D14">
      <w:pPr>
        <w:pStyle w:val="Standard"/>
        <w:widowControl w:val="0"/>
        <w:spacing w:before="200"/>
        <w:jc w:val="both"/>
      </w:pPr>
      <w:r>
        <w:lastRenderedPageBreak/>
        <w:t xml:space="preserve">Our experimental setup, summarized in Table </w:t>
      </w:r>
      <w:r w:rsidR="00D3140C">
        <w:t>2</w:t>
      </w:r>
      <w:r>
        <w:t xml:space="preserve">, includes fine-tuning </w:t>
      </w:r>
      <w:proofErr w:type="spellStart"/>
      <w:r>
        <w:t>RoBERTa</w:t>
      </w:r>
      <w:proofErr w:type="spellEnd"/>
      <w:r>
        <w:t>-large on f</w:t>
      </w:r>
      <w:r w:rsidR="00BF4526">
        <w:t>our</w:t>
      </w:r>
      <w:r>
        <w:t xml:space="preserve"> benchmark datasets: SST-2, QNLI, RTE, and MRPC. For each dataset, we maintain consistent hyperparameters to ensure fair comparisons across tasks. We use a batch size of 32 and fine-tune for </w:t>
      </w:r>
      <w:r w:rsidR="00837951">
        <w:t>3</w:t>
      </w:r>
      <w:r>
        <w:t xml:space="preserve">0 epochs per task. The low-rank adaptation rank is fixed at 32 for all experiments to balance adaptation expressiveness with parameter efficiency. Optimization is performed using the </w:t>
      </w:r>
      <w:proofErr w:type="spellStart"/>
      <w:r>
        <w:t>AdamW</w:t>
      </w:r>
      <w:proofErr w:type="spellEnd"/>
      <w:r>
        <w:t xml:space="preserve"> optimizer, with a linear learning rate schedule applied to adjust the learning rate over training. </w:t>
      </w:r>
      <w:r w:rsidR="00637A95">
        <w:t xml:space="preserve">We also apply a dropout rate of 50% to the low-rank update </w:t>
      </w:r>
      <m:oMath>
        <m:r>
          <m:rPr>
            <m:sty m:val="p"/>
          </m:rPr>
          <w:rPr>
            <w:rFonts w:ascii="Cambria Math" w:hAnsi="Cambria Math"/>
          </w:rPr>
          <m:t>Δ</m:t>
        </m:r>
        <m:r>
          <w:rPr>
            <w:rFonts w:ascii="Cambria Math" w:hAnsi="Cambria Math"/>
          </w:rPr>
          <m:t>W</m:t>
        </m:r>
      </m:oMath>
      <w:r w:rsidR="00637A95">
        <w:t xml:space="preserve"> to prevent overfitting and improve generalization</w:t>
      </w:r>
      <w:r w:rsidR="00637A95">
        <w:t xml:space="preserve">. </w:t>
      </w:r>
      <w:r>
        <w:t xml:space="preserve">This unified setup allows us to systematically evaluate the effectiveness of </w:t>
      </w:r>
      <w:proofErr w:type="spellStart"/>
      <w:r>
        <w:t>TLoRA</w:t>
      </w:r>
      <w:proofErr w:type="spellEnd"/>
      <w:r>
        <w:t xml:space="preserve"> in low-rank fine-tuning across diverse NLP tasks.</w:t>
      </w:r>
    </w:p>
    <w:p w14:paraId="20365757" w14:textId="1D07FC11" w:rsidR="00682D14" w:rsidRPr="00E80B22" w:rsidRDefault="00E80B22" w:rsidP="00E80B22">
      <w:pPr>
        <w:pStyle w:val="ListParagraph"/>
        <w:numPr>
          <w:ilvl w:val="0"/>
          <w:numId w:val="2"/>
        </w:numPr>
        <w:spacing w:before="200" w:after="120"/>
        <w:jc w:val="both"/>
        <w:textAlignment w:val="auto"/>
        <w:rPr>
          <w:b/>
          <w:bCs/>
          <w:kern w:val="2"/>
          <w:sz w:val="24"/>
          <w:szCs w:val="24"/>
        </w:rPr>
      </w:pPr>
      <w:r w:rsidRPr="00E80B22">
        <w:rPr>
          <w:b/>
          <w:bCs/>
          <w:kern w:val="2"/>
          <w:sz w:val="24"/>
          <w:szCs w:val="24"/>
        </w:rPr>
        <w:t>Results</w:t>
      </w:r>
    </w:p>
    <w:p w14:paraId="4FA11DFF" w14:textId="2DC11ABC" w:rsidR="00702F7D" w:rsidRDefault="003D2421" w:rsidP="00682D14">
      <w:pPr>
        <w:pStyle w:val="Standard"/>
        <w:widowControl w:val="0"/>
        <w:spacing w:before="200"/>
        <w:jc w:val="both"/>
      </w:pPr>
      <w:r>
        <w:rPr>
          <w:noProof/>
        </w:rPr>
        <w:drawing>
          <wp:anchor distT="0" distB="0" distL="114300" distR="114300" simplePos="0" relativeHeight="251661312" behindDoc="0" locked="0" layoutInCell="0" allowOverlap="1" wp14:anchorId="15FE435D" wp14:editId="3530E862">
            <wp:simplePos x="0" y="0"/>
            <wp:positionH relativeFrom="column">
              <wp:posOffset>584096</wp:posOffset>
            </wp:positionH>
            <wp:positionV relativeFrom="paragraph">
              <wp:posOffset>1362232</wp:posOffset>
            </wp:positionV>
            <wp:extent cx="3711575" cy="2676525"/>
            <wp:effectExtent l="0" t="0" r="0" b="3175"/>
            <wp:wrapTopAndBottom/>
            <wp:docPr id="64" name="Image3"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 descr="A graph with red and blue lines&#10;&#10;Description automatically generated"/>
                    <pic:cNvPicPr>
                      <a:picLocks noChangeAspect="1" noChangeArrowheads="1"/>
                    </pic:cNvPicPr>
                  </pic:nvPicPr>
                  <pic:blipFill>
                    <a:blip r:embed="rId12"/>
                    <a:stretch>
                      <a:fillRect/>
                    </a:stretch>
                  </pic:blipFill>
                  <pic:spPr bwMode="auto">
                    <a:xfrm>
                      <a:off x="0" y="0"/>
                      <a:ext cx="3711575" cy="2676525"/>
                    </a:xfrm>
                    <a:prstGeom prst="rect">
                      <a:avLst/>
                    </a:prstGeom>
                    <a:noFill/>
                  </pic:spPr>
                </pic:pic>
              </a:graphicData>
            </a:graphic>
            <wp14:sizeRelH relativeFrom="margin">
              <wp14:pctWidth>0</wp14:pctWidth>
            </wp14:sizeRelH>
            <wp14:sizeRelV relativeFrom="margin">
              <wp14:pctHeight>0</wp14:pctHeight>
            </wp14:sizeRelV>
          </wp:anchor>
        </w:drawing>
      </w:r>
      <w:r w:rsidR="00682D14">
        <w:rPr>
          <w:kern w:val="2"/>
        </w:rPr>
        <w:t xml:space="preserve">First, we present the training and validation loss curves for </w:t>
      </w:r>
      <w:proofErr w:type="spellStart"/>
      <w:r w:rsidR="00682D14">
        <w:rPr>
          <w:kern w:val="2"/>
        </w:rPr>
        <w:t>TLoRA</w:t>
      </w:r>
      <w:proofErr w:type="spellEnd"/>
      <w:r w:rsidR="00682D14">
        <w:rPr>
          <w:kern w:val="2"/>
        </w:rPr>
        <w:t xml:space="preserve">, shown in Figure </w:t>
      </w:r>
      <w:r w:rsidR="009968B7">
        <w:rPr>
          <w:kern w:val="2"/>
        </w:rPr>
        <w:t>3</w:t>
      </w:r>
      <w:r w:rsidR="00682D14">
        <w:rPr>
          <w:kern w:val="2"/>
        </w:rPr>
        <w:t xml:space="preserve">. The figure is constructed for the MRPC dataset over 30 epochs. </w:t>
      </w:r>
      <w:proofErr w:type="spellStart"/>
      <w:r w:rsidR="00682D14">
        <w:rPr>
          <w:kern w:val="2"/>
        </w:rPr>
        <w:t>TLoRA</w:t>
      </w:r>
      <w:proofErr w:type="spellEnd"/>
      <w:r w:rsidR="00682D14">
        <w:rPr>
          <w:kern w:val="2"/>
        </w:rPr>
        <w:t xml:space="preserve"> demonstrates stable training dynamics, with both training and validation losses decreasing consistently throughout the epochs before reaching a plateau. This stability highlights </w:t>
      </w:r>
      <w:proofErr w:type="spellStart"/>
      <w:r w:rsidR="00682D14">
        <w:rPr>
          <w:kern w:val="2"/>
        </w:rPr>
        <w:t>TLoRA’s</w:t>
      </w:r>
      <w:proofErr w:type="spellEnd"/>
      <w:r w:rsidR="00682D14">
        <w:rPr>
          <w:kern w:val="2"/>
        </w:rPr>
        <w:t xml:space="preserve"> ability to maintain effective learning with low-rank parameterization, avoiding issues such as overfitting or loss divergence. The close alignment between training and validation loss curves further illustrates </w:t>
      </w:r>
      <w:proofErr w:type="spellStart"/>
      <w:r w:rsidR="00682D14">
        <w:rPr>
          <w:kern w:val="2"/>
        </w:rPr>
        <w:t>TLoRA's</w:t>
      </w:r>
      <w:proofErr w:type="spellEnd"/>
      <w:r w:rsidR="00682D14">
        <w:rPr>
          <w:kern w:val="2"/>
        </w:rPr>
        <w:t xml:space="preserve"> generalization capability, suggesting that our tri-matrix decomposition and adaptive scaling techniques successfully capture task-relevant patterns without excessive parameter overhead.</w:t>
      </w:r>
    </w:p>
    <w:p w14:paraId="4B978A42" w14:textId="1AA5CE6D" w:rsidR="00682D14" w:rsidRDefault="004A2924" w:rsidP="00682D14">
      <w:pPr>
        <w:pStyle w:val="Standard"/>
        <w:widowControl w:val="0"/>
        <w:spacing w:before="200"/>
        <w:jc w:val="both"/>
      </w:pPr>
      <w:r w:rsidRPr="004A2924">
        <w:rPr>
          <w:b/>
          <w:bCs/>
        </w:rPr>
        <w:t>Figure 3:</w:t>
      </w:r>
      <w:r w:rsidRPr="004A2924">
        <w:t xml:space="preserve"> Training and validation loss curves for the MRPC dataset. The figure demonstrates the stability of </w:t>
      </w:r>
      <w:proofErr w:type="spellStart"/>
      <w:r w:rsidRPr="004A2924">
        <w:t>TLoRA</w:t>
      </w:r>
      <w:proofErr w:type="spellEnd"/>
      <w:r w:rsidRPr="004A2924">
        <w:t xml:space="preserve"> during training over 30 epochs.</w:t>
      </w:r>
    </w:p>
    <w:p w14:paraId="05F228BA" w14:textId="5D9C376A" w:rsidR="00682D14" w:rsidRPr="00D22E38" w:rsidRDefault="00682D14" w:rsidP="00682D14">
      <w:pPr>
        <w:pStyle w:val="Standard"/>
        <w:widowControl w:val="0"/>
        <w:spacing w:before="200"/>
        <w:jc w:val="both"/>
        <w:rPr>
          <w:kern w:val="2"/>
        </w:rPr>
      </w:pPr>
      <w:r>
        <w:rPr>
          <w:kern w:val="2"/>
        </w:rPr>
        <w:t xml:space="preserve">In our experiments, </w:t>
      </w:r>
      <w:proofErr w:type="spellStart"/>
      <w:r>
        <w:rPr>
          <w:kern w:val="2"/>
        </w:rPr>
        <w:t>TLoRA</w:t>
      </w:r>
      <w:proofErr w:type="spellEnd"/>
      <w:r>
        <w:rPr>
          <w:kern w:val="2"/>
        </w:rPr>
        <w:t xml:space="preserve"> demonstrates competitive performance across multiple datasets while maintaining an exceptionally low parameter footprint. As shown in Table </w:t>
      </w:r>
      <w:r w:rsidR="004D2B15">
        <w:rPr>
          <w:kern w:val="2"/>
        </w:rPr>
        <w:t>3</w:t>
      </w:r>
      <w:r>
        <w:rPr>
          <w:kern w:val="2"/>
        </w:rPr>
        <w:t xml:space="preserve">, </w:t>
      </w:r>
      <w:proofErr w:type="spellStart"/>
      <w:r>
        <w:rPr>
          <w:kern w:val="2"/>
        </w:rPr>
        <w:t>TLoRA</w:t>
      </w:r>
      <w:proofErr w:type="spellEnd"/>
      <w:r>
        <w:rPr>
          <w:kern w:val="2"/>
        </w:rPr>
        <w:t xml:space="preserve"> achieves an average accuracy of 81.48% across the SST-2, QNLI, RTE, and MRPC benchmarks with only 0.049M trainable parameters—significantly fewer than methods such as Adapter (</w:t>
      </w:r>
      <w:proofErr w:type="spellStart"/>
      <w:r>
        <w:rPr>
          <w:kern w:val="2"/>
        </w:rPr>
        <w:t>AdptP</w:t>
      </w:r>
      <w:proofErr w:type="spellEnd"/>
      <w:r>
        <w:rPr>
          <w:kern w:val="2"/>
        </w:rPr>
        <w:t xml:space="preserve">) and </w:t>
      </w:r>
      <w:proofErr w:type="spellStart"/>
      <w:r>
        <w:rPr>
          <w:kern w:val="2"/>
        </w:rPr>
        <w:t>LoRA</w:t>
      </w:r>
      <w:proofErr w:type="spellEnd"/>
      <w:r>
        <w:rPr>
          <w:kern w:val="2"/>
        </w:rPr>
        <w:t xml:space="preserve">, which use parameter counts ranging from 0.8M to 6M. Notably, </w:t>
      </w:r>
      <w:proofErr w:type="spellStart"/>
      <w:r>
        <w:rPr>
          <w:kern w:val="2"/>
        </w:rPr>
        <w:t>TLoRA</w:t>
      </w:r>
      <w:proofErr w:type="spellEnd"/>
      <w:r>
        <w:rPr>
          <w:kern w:val="2"/>
        </w:rPr>
        <w:t xml:space="preserve"> achieves a high 87.5% accuracy on the RTE task, outperforming larger configurations like </w:t>
      </w:r>
      <w:proofErr w:type="spellStart"/>
      <w:r>
        <w:rPr>
          <w:kern w:val="2"/>
        </w:rPr>
        <w:t>AdptH</w:t>
      </w:r>
      <w:proofErr w:type="spellEnd"/>
      <w:r>
        <w:rPr>
          <w:kern w:val="2"/>
        </w:rPr>
        <w:t xml:space="preserve"> with 0.8M parameters and approaching the performance of full fine-tuning methods. This parameter efficiency can be attributed to </w:t>
      </w:r>
      <w:proofErr w:type="spellStart"/>
      <w:r>
        <w:rPr>
          <w:kern w:val="2"/>
        </w:rPr>
        <w:t>TLoRA’s</w:t>
      </w:r>
      <w:proofErr w:type="spellEnd"/>
      <w:r>
        <w:rPr>
          <w:kern w:val="2"/>
        </w:rPr>
        <w:t xml:space="preserve"> tri-matrix decomposition and adaptive scaling, which allow the model to capture complex task-specific information with minimal trainable weights. Although </w:t>
      </w:r>
      <w:proofErr w:type="spellStart"/>
      <w:r>
        <w:rPr>
          <w:kern w:val="2"/>
        </w:rPr>
        <w:t>TLoRA’s</w:t>
      </w:r>
      <w:proofErr w:type="spellEnd"/>
      <w:r>
        <w:rPr>
          <w:kern w:val="2"/>
        </w:rPr>
        <w:t xml:space="preserve"> accuracy on certain datasets, such as QNLI, is slightly lower than other methods, its trade-off in parameter efficiency and competitive accuracy across tasks showcases its potential as a highly scalable, efficient adaptation technique for large language models.</w:t>
      </w:r>
      <w:r w:rsidR="00D22E38">
        <w:rPr>
          <w:kern w:val="2"/>
        </w:rPr>
        <w:t xml:space="preserve"> </w:t>
      </w:r>
      <w:r w:rsidR="00D22E38" w:rsidRPr="00D22E38">
        <w:rPr>
          <w:kern w:val="2"/>
        </w:rPr>
        <w:t>despite using over 1</w:t>
      </w:r>
      <w:r w:rsidR="00D22E38">
        <w:rPr>
          <w:kern w:val="2"/>
        </w:rPr>
        <w:t>6</w:t>
      </w:r>
      <w:r w:rsidR="00D22E38" w:rsidRPr="00D22E38">
        <w:rPr>
          <w:kern w:val="2"/>
        </w:rPr>
        <w:t>x fewer trainable parameters</w:t>
      </w:r>
    </w:p>
    <w:p w14:paraId="78F4C0A2" w14:textId="26378DE7" w:rsidR="00E34CF2" w:rsidRDefault="00EB42C6" w:rsidP="00EB42C6">
      <w:pPr>
        <w:pStyle w:val="Standard"/>
        <w:spacing w:before="200"/>
        <w:jc w:val="both"/>
        <w:rPr>
          <w:kern w:val="2"/>
        </w:rPr>
      </w:pPr>
      <w:r w:rsidRPr="00EB42C6">
        <w:rPr>
          <w:b/>
          <w:bCs/>
          <w:kern w:val="2"/>
        </w:rPr>
        <w:lastRenderedPageBreak/>
        <w:t>Table 3:</w:t>
      </w:r>
      <w:r w:rsidRPr="00EB42C6">
        <w:rPr>
          <w:kern w:val="2"/>
        </w:rPr>
        <w:t xml:space="preserve"> Results for different adaptation methods on the GLUE benchmark. Higher values indicate better performance for all metrics. The </w:t>
      </w:r>
      <w:proofErr w:type="spellStart"/>
      <w:r w:rsidRPr="00EB42C6">
        <w:rPr>
          <w:kern w:val="2"/>
        </w:rPr>
        <w:t>TLoRA</w:t>
      </w:r>
      <w:proofErr w:type="spellEnd"/>
      <w:r w:rsidRPr="00EB42C6">
        <w:rPr>
          <w:kern w:val="2"/>
        </w:rPr>
        <w:t xml:space="preserve"> results are based on our implementation, while the results for other methods are sourced from prior work</w:t>
      </w:r>
      <w:r>
        <w:rPr>
          <w:kern w:val="2"/>
        </w:rPr>
        <w:t xml:space="preserve"> </w:t>
      </w:r>
      <w:r>
        <w:rPr>
          <w:kern w:val="2"/>
        </w:rPr>
        <w:fldChar w:fldCharType="begin"/>
      </w:r>
      <w:r>
        <w:rPr>
          <w:kern w:val="2"/>
        </w:rPr>
        <w:instrText xml:space="preserve"> ADDIN ZOTERO_ITEM CSL_CITATION {"citationID":"uBQ2TcXx","properties":{"formattedCitation":"(Hu et al. 2021; Kopiczko, Blankevoort, and Asano 2023)","plainCitation":"(Hu et al. 2021; Kopiczko, Blankevoort, and Asano 2023)","noteIndex":0},"citationItems":[{"id":37,"uris":["http://zotero.org/users/local/laQS5fZL/items/FM3STULA"],"itemData":{"id":37,"type":"article-journal","container-title":"arXiv preprint arXiv:2106.09685","title":"Lora: Low-rank adaptation of large language models","author":[{"family":"Hu","given":"Edward J"},{"family":"Shen","given":"Yelong"},{"family":"Wallis","given":"Phillip"},{"family":"Allen-Zhu","given":"Zeyuan"},{"family":"Li","given":"Yuanzhi"},{"family":"Wang","given":"Shean"},{"family":"Wang","given":"Lu"},{"family":"Chen","given":"Weizhu"}],"issued":{"date-parts":[["2021"]]}}},{"id":50,"uris":["http://zotero.org/users/local/laQS5fZL/items/SMUW6W5U"],"itemData":{"id":50,"type":"article-journal","container-title":"arXiv preprint arXiv:2310.11454","title":"Vera: Vector-based random matrix adaptation","author":[{"family":"Kopiczko","given":"Dawid J"},{"family":"Blankevoort","given":"Tijmen"},{"family":"Asano","given":"Yuki M"}],"issued":{"date-parts":[["2023"]]}}}],"schema":"https://github.com/citation-style-language/schema/raw/master/csl-citation.json"} </w:instrText>
      </w:r>
      <w:r>
        <w:rPr>
          <w:kern w:val="2"/>
        </w:rPr>
        <w:fldChar w:fldCharType="separate"/>
      </w:r>
      <w:r>
        <w:rPr>
          <w:noProof/>
          <w:kern w:val="2"/>
        </w:rPr>
        <w:t>(Hu et al. 2021; Kopiczko, Blankevoort, and Asano 2023)</w:t>
      </w:r>
      <w:r>
        <w:rPr>
          <w:kern w:val="2"/>
        </w:rPr>
        <w:fldChar w:fldCharType="end"/>
      </w:r>
      <w:r w:rsidRPr="00EB42C6">
        <w:rPr>
          <w:kern w:val="2"/>
        </w:rPr>
        <w:t>.</w:t>
      </w:r>
    </w:p>
    <w:p w14:paraId="35EF37A2" w14:textId="77777777" w:rsidR="00FC4B63" w:rsidRPr="007271A6" w:rsidRDefault="00FC4B63" w:rsidP="00EB42C6">
      <w:pPr>
        <w:pStyle w:val="Standard"/>
        <w:spacing w:before="200"/>
        <w:jc w:val="both"/>
        <w:rPr>
          <w:kern w:val="2"/>
        </w:rPr>
      </w:pPr>
    </w:p>
    <w:tbl>
      <w:tblPr>
        <w:tblW w:w="7920" w:type="dxa"/>
        <w:tblLayout w:type="fixed"/>
        <w:tblCellMar>
          <w:left w:w="0" w:type="dxa"/>
          <w:right w:w="0" w:type="dxa"/>
        </w:tblCellMar>
        <w:tblLook w:val="04A0" w:firstRow="1" w:lastRow="0" w:firstColumn="1" w:lastColumn="0" w:noHBand="0" w:noVBand="1"/>
      </w:tblPr>
      <w:tblGrid>
        <w:gridCol w:w="991"/>
        <w:gridCol w:w="925"/>
        <w:gridCol w:w="948"/>
        <w:gridCol w:w="1306"/>
        <w:gridCol w:w="1307"/>
        <w:gridCol w:w="981"/>
        <w:gridCol w:w="990"/>
        <w:gridCol w:w="472"/>
      </w:tblGrid>
      <w:tr w:rsidR="00682D14" w14:paraId="55C2100C" w14:textId="77777777" w:rsidTr="00D22E38">
        <w:trPr>
          <w:trHeight w:val="896"/>
        </w:trPr>
        <w:tc>
          <w:tcPr>
            <w:tcW w:w="991" w:type="dxa"/>
            <w:tcBorders>
              <w:top w:val="single" w:sz="6" w:space="0" w:color="000000"/>
              <w:bottom w:val="single" w:sz="6" w:space="0" w:color="000000"/>
            </w:tcBorders>
            <w:shd w:val="clear" w:color="auto" w:fill="auto"/>
            <w:vAlign w:val="center"/>
          </w:tcPr>
          <w:p w14:paraId="4A474185" w14:textId="77777777" w:rsidR="00682D14" w:rsidRDefault="00682D14" w:rsidP="00D339C7">
            <w:pPr>
              <w:pStyle w:val="TableContents"/>
              <w:rPr>
                <w:b/>
                <w:bCs/>
                <w:color w:val="000000"/>
              </w:rPr>
            </w:pPr>
            <w:r>
              <w:rPr>
                <w:b/>
                <w:bCs/>
                <w:color w:val="000000"/>
              </w:rPr>
              <w:t>Model</w:t>
            </w:r>
          </w:p>
        </w:tc>
        <w:tc>
          <w:tcPr>
            <w:tcW w:w="925" w:type="dxa"/>
            <w:tcBorders>
              <w:top w:val="single" w:sz="6" w:space="0" w:color="000000"/>
              <w:bottom w:val="single" w:sz="6" w:space="0" w:color="000000"/>
            </w:tcBorders>
            <w:shd w:val="clear" w:color="auto" w:fill="auto"/>
            <w:vAlign w:val="center"/>
          </w:tcPr>
          <w:p w14:paraId="2AA97591" w14:textId="77777777" w:rsidR="00682D14" w:rsidRDefault="00682D14" w:rsidP="00D339C7">
            <w:pPr>
              <w:pStyle w:val="TableContents"/>
              <w:rPr>
                <w:b/>
                <w:bCs/>
                <w:color w:val="000000"/>
              </w:rPr>
            </w:pPr>
            <w:r>
              <w:rPr>
                <w:b/>
                <w:bCs/>
                <w:color w:val="000000"/>
              </w:rPr>
              <w:t>Fine Tuning Method</w:t>
            </w:r>
          </w:p>
        </w:tc>
        <w:tc>
          <w:tcPr>
            <w:tcW w:w="948" w:type="dxa"/>
            <w:tcBorders>
              <w:top w:val="single" w:sz="6" w:space="0" w:color="000000"/>
              <w:bottom w:val="single" w:sz="6" w:space="0" w:color="000000"/>
            </w:tcBorders>
            <w:shd w:val="clear" w:color="auto" w:fill="auto"/>
            <w:vAlign w:val="center"/>
          </w:tcPr>
          <w:p w14:paraId="421004E2" w14:textId="77777777" w:rsidR="00682D14" w:rsidRDefault="00682D14" w:rsidP="00D339C7">
            <w:pPr>
              <w:pStyle w:val="TableContents"/>
              <w:rPr>
                <w:b/>
                <w:bCs/>
                <w:color w:val="000000"/>
              </w:rPr>
            </w:pPr>
            <w:r>
              <w:rPr>
                <w:b/>
                <w:bCs/>
                <w:color w:val="000000"/>
              </w:rPr>
              <w:t>Trainable Params</w:t>
            </w:r>
          </w:p>
        </w:tc>
        <w:tc>
          <w:tcPr>
            <w:tcW w:w="1306" w:type="dxa"/>
            <w:tcBorders>
              <w:top w:val="single" w:sz="6" w:space="0" w:color="000000"/>
              <w:bottom w:val="single" w:sz="6" w:space="0" w:color="000000"/>
            </w:tcBorders>
            <w:shd w:val="clear" w:color="auto" w:fill="auto"/>
            <w:vAlign w:val="center"/>
          </w:tcPr>
          <w:p w14:paraId="7B981755" w14:textId="77777777" w:rsidR="00682D14" w:rsidRDefault="00682D14" w:rsidP="00D339C7">
            <w:pPr>
              <w:pStyle w:val="TableContents"/>
              <w:rPr>
                <w:b/>
                <w:bCs/>
                <w:color w:val="000000"/>
              </w:rPr>
            </w:pPr>
            <w:r>
              <w:rPr>
                <w:b/>
                <w:bCs/>
                <w:color w:val="000000"/>
              </w:rPr>
              <w:t>SST-2 (Accuracy)</w:t>
            </w:r>
          </w:p>
        </w:tc>
        <w:tc>
          <w:tcPr>
            <w:tcW w:w="1307" w:type="dxa"/>
            <w:tcBorders>
              <w:top w:val="single" w:sz="6" w:space="0" w:color="000000"/>
              <w:bottom w:val="single" w:sz="6" w:space="0" w:color="000000"/>
            </w:tcBorders>
            <w:shd w:val="clear" w:color="auto" w:fill="auto"/>
            <w:vAlign w:val="center"/>
          </w:tcPr>
          <w:p w14:paraId="14C411CA" w14:textId="77777777" w:rsidR="00682D14" w:rsidRDefault="00682D14" w:rsidP="00D339C7">
            <w:pPr>
              <w:pStyle w:val="TableContents"/>
              <w:rPr>
                <w:b/>
                <w:bCs/>
                <w:color w:val="000000"/>
              </w:rPr>
            </w:pPr>
            <w:r>
              <w:rPr>
                <w:b/>
                <w:bCs/>
                <w:color w:val="000000"/>
              </w:rPr>
              <w:t>QNLI (Accuracy)</w:t>
            </w:r>
          </w:p>
        </w:tc>
        <w:tc>
          <w:tcPr>
            <w:tcW w:w="981" w:type="dxa"/>
            <w:tcBorders>
              <w:top w:val="single" w:sz="6" w:space="0" w:color="000000"/>
              <w:bottom w:val="single" w:sz="6" w:space="0" w:color="000000"/>
            </w:tcBorders>
            <w:shd w:val="clear" w:color="auto" w:fill="auto"/>
            <w:vAlign w:val="center"/>
          </w:tcPr>
          <w:p w14:paraId="40EB3A3D" w14:textId="77777777" w:rsidR="00682D14" w:rsidRDefault="00682D14" w:rsidP="00D339C7">
            <w:pPr>
              <w:pStyle w:val="TableContents"/>
              <w:rPr>
                <w:b/>
                <w:bCs/>
                <w:color w:val="000000"/>
              </w:rPr>
            </w:pPr>
            <w:r>
              <w:rPr>
                <w:b/>
                <w:bCs/>
                <w:color w:val="000000"/>
              </w:rPr>
              <w:t>RTE (Accuracy)</w:t>
            </w:r>
          </w:p>
        </w:tc>
        <w:tc>
          <w:tcPr>
            <w:tcW w:w="990" w:type="dxa"/>
            <w:tcBorders>
              <w:top w:val="single" w:sz="6" w:space="0" w:color="000000"/>
              <w:bottom w:val="single" w:sz="6" w:space="0" w:color="000000"/>
            </w:tcBorders>
            <w:shd w:val="clear" w:color="auto" w:fill="auto"/>
            <w:vAlign w:val="center"/>
          </w:tcPr>
          <w:p w14:paraId="1B26176B" w14:textId="77777777" w:rsidR="00682D14" w:rsidRDefault="00682D14" w:rsidP="00D339C7">
            <w:pPr>
              <w:pStyle w:val="TableContents"/>
              <w:rPr>
                <w:b/>
                <w:bCs/>
                <w:color w:val="000000"/>
              </w:rPr>
            </w:pPr>
            <w:r>
              <w:rPr>
                <w:b/>
                <w:bCs/>
                <w:color w:val="000000"/>
              </w:rPr>
              <w:t>MRPC (Accuracy)</w:t>
            </w:r>
          </w:p>
        </w:tc>
        <w:tc>
          <w:tcPr>
            <w:tcW w:w="472" w:type="dxa"/>
            <w:tcBorders>
              <w:top w:val="single" w:sz="6" w:space="0" w:color="000000"/>
              <w:bottom w:val="single" w:sz="6" w:space="0" w:color="000000"/>
            </w:tcBorders>
            <w:shd w:val="clear" w:color="auto" w:fill="auto"/>
            <w:vAlign w:val="center"/>
          </w:tcPr>
          <w:p w14:paraId="1F5D34DF" w14:textId="77777777" w:rsidR="00682D14" w:rsidRDefault="00682D14" w:rsidP="00D339C7">
            <w:pPr>
              <w:pStyle w:val="TableContents"/>
              <w:rPr>
                <w:b/>
                <w:bCs/>
                <w:color w:val="000000"/>
              </w:rPr>
            </w:pPr>
            <w:r>
              <w:rPr>
                <w:b/>
                <w:bCs/>
                <w:color w:val="000000"/>
              </w:rPr>
              <w:t>Avg</w:t>
            </w:r>
          </w:p>
        </w:tc>
      </w:tr>
      <w:tr w:rsidR="00D22E38" w14:paraId="67DA55C2" w14:textId="77777777" w:rsidTr="00D22E38">
        <w:trPr>
          <w:trHeight w:val="401"/>
        </w:trPr>
        <w:tc>
          <w:tcPr>
            <w:tcW w:w="991" w:type="dxa"/>
            <w:shd w:val="clear" w:color="auto" w:fill="auto"/>
            <w:vAlign w:val="center"/>
          </w:tcPr>
          <w:p w14:paraId="10EE8FAD" w14:textId="77777777" w:rsidR="00D22E38" w:rsidRDefault="00D22E38" w:rsidP="00D22E38">
            <w:pPr>
              <w:pStyle w:val="TableContents"/>
              <w:rPr>
                <w:color w:val="000000"/>
              </w:rPr>
            </w:pPr>
            <w:proofErr w:type="spellStart"/>
            <w:r>
              <w:rPr>
                <w:color w:val="000000"/>
              </w:rPr>
              <w:t>RoBERTa</w:t>
            </w:r>
            <w:proofErr w:type="spellEnd"/>
          </w:p>
        </w:tc>
        <w:tc>
          <w:tcPr>
            <w:tcW w:w="925" w:type="dxa"/>
            <w:shd w:val="clear" w:color="auto" w:fill="auto"/>
            <w:vAlign w:val="center"/>
          </w:tcPr>
          <w:p w14:paraId="2B0AA83B" w14:textId="77777777" w:rsidR="00D22E38" w:rsidRDefault="00D22E38" w:rsidP="00D22E38">
            <w:pPr>
              <w:pStyle w:val="TableContents"/>
              <w:rPr>
                <w:color w:val="000000"/>
              </w:rPr>
            </w:pPr>
            <w:proofErr w:type="spellStart"/>
            <w:r>
              <w:rPr>
                <w:color w:val="000000"/>
              </w:rPr>
              <w:t>AdptP</w:t>
            </w:r>
            <w:proofErr w:type="spellEnd"/>
          </w:p>
        </w:tc>
        <w:tc>
          <w:tcPr>
            <w:tcW w:w="948" w:type="dxa"/>
            <w:shd w:val="clear" w:color="auto" w:fill="auto"/>
            <w:vAlign w:val="center"/>
          </w:tcPr>
          <w:p w14:paraId="52E4A4BE" w14:textId="77777777" w:rsidR="00D22E38" w:rsidRDefault="00D22E38" w:rsidP="00D22E38">
            <w:pPr>
              <w:pStyle w:val="TableContents"/>
              <w:rPr>
                <w:color w:val="000000"/>
              </w:rPr>
            </w:pPr>
            <w:r>
              <w:rPr>
                <w:color w:val="000000"/>
              </w:rPr>
              <w:t>3M</w:t>
            </w:r>
          </w:p>
        </w:tc>
        <w:tc>
          <w:tcPr>
            <w:tcW w:w="1306" w:type="dxa"/>
            <w:shd w:val="clear" w:color="auto" w:fill="auto"/>
            <w:vAlign w:val="center"/>
          </w:tcPr>
          <w:p w14:paraId="2890E78A" w14:textId="77777777" w:rsidR="00D22E38" w:rsidRDefault="00D22E38" w:rsidP="00D22E38">
            <w:pPr>
              <w:pStyle w:val="TableContents"/>
              <w:rPr>
                <w:color w:val="000000"/>
              </w:rPr>
            </w:pPr>
            <w:r>
              <w:rPr>
                <w:color w:val="000000"/>
              </w:rPr>
              <w:t>96.1</w:t>
            </w:r>
          </w:p>
        </w:tc>
        <w:tc>
          <w:tcPr>
            <w:tcW w:w="1307" w:type="dxa"/>
            <w:shd w:val="clear" w:color="auto" w:fill="auto"/>
            <w:vAlign w:val="center"/>
          </w:tcPr>
          <w:p w14:paraId="5A0F5CCB" w14:textId="77777777" w:rsidR="00D22E38" w:rsidRDefault="00D22E38" w:rsidP="00D22E38">
            <w:pPr>
              <w:pStyle w:val="TableContents"/>
              <w:rPr>
                <w:color w:val="000000"/>
              </w:rPr>
            </w:pPr>
            <w:r>
              <w:rPr>
                <w:color w:val="000000"/>
              </w:rPr>
              <w:t>94.8</w:t>
            </w:r>
          </w:p>
        </w:tc>
        <w:tc>
          <w:tcPr>
            <w:tcW w:w="981" w:type="dxa"/>
            <w:shd w:val="clear" w:color="auto" w:fill="auto"/>
            <w:vAlign w:val="center"/>
          </w:tcPr>
          <w:p w14:paraId="1A67B269" w14:textId="77777777" w:rsidR="00D22E38" w:rsidRDefault="00D22E38" w:rsidP="00D22E38">
            <w:pPr>
              <w:pStyle w:val="TableContents"/>
              <w:rPr>
                <w:color w:val="000000"/>
              </w:rPr>
            </w:pPr>
            <w:r>
              <w:rPr>
                <w:color w:val="000000"/>
              </w:rPr>
              <w:t>83.8</w:t>
            </w:r>
          </w:p>
        </w:tc>
        <w:tc>
          <w:tcPr>
            <w:tcW w:w="990" w:type="dxa"/>
            <w:shd w:val="clear" w:color="auto" w:fill="auto"/>
            <w:vAlign w:val="center"/>
          </w:tcPr>
          <w:p w14:paraId="173437BF" w14:textId="77777777" w:rsidR="00D22E38" w:rsidRDefault="00D22E38" w:rsidP="00D22E38">
            <w:pPr>
              <w:pStyle w:val="TableContents"/>
              <w:rPr>
                <w:color w:val="000000"/>
              </w:rPr>
            </w:pPr>
            <w:r>
              <w:rPr>
                <w:color w:val="000000"/>
              </w:rPr>
              <w:t>90.2</w:t>
            </w:r>
          </w:p>
        </w:tc>
        <w:tc>
          <w:tcPr>
            <w:tcW w:w="472" w:type="dxa"/>
            <w:shd w:val="clear" w:color="auto" w:fill="auto"/>
            <w:vAlign w:val="center"/>
          </w:tcPr>
          <w:p w14:paraId="494B4672" w14:textId="7EEB35C4" w:rsidR="00D22E38" w:rsidRPr="00D22E38" w:rsidRDefault="00D22E38" w:rsidP="00D22E38">
            <w:pPr>
              <w:pStyle w:val="TableContents"/>
              <w:rPr>
                <w:color w:val="000000"/>
              </w:rPr>
            </w:pPr>
            <w:r w:rsidRPr="00D22E38">
              <w:t>91.2</w:t>
            </w:r>
          </w:p>
        </w:tc>
      </w:tr>
      <w:tr w:rsidR="00D22E38" w14:paraId="6311FFC3" w14:textId="77777777" w:rsidTr="00D22E38">
        <w:trPr>
          <w:trHeight w:val="401"/>
        </w:trPr>
        <w:tc>
          <w:tcPr>
            <w:tcW w:w="991" w:type="dxa"/>
            <w:shd w:val="clear" w:color="auto" w:fill="auto"/>
            <w:vAlign w:val="center"/>
          </w:tcPr>
          <w:p w14:paraId="3E18E538" w14:textId="77777777" w:rsidR="00D22E38" w:rsidRDefault="00D22E38" w:rsidP="00D22E38">
            <w:pPr>
              <w:pStyle w:val="TableContents"/>
              <w:rPr>
                <w:color w:val="000000"/>
              </w:rPr>
            </w:pPr>
          </w:p>
        </w:tc>
        <w:tc>
          <w:tcPr>
            <w:tcW w:w="925" w:type="dxa"/>
            <w:shd w:val="clear" w:color="auto" w:fill="auto"/>
            <w:vAlign w:val="center"/>
          </w:tcPr>
          <w:p w14:paraId="5C1E64D7" w14:textId="77777777" w:rsidR="00D22E38" w:rsidRDefault="00D22E38" w:rsidP="00D22E38">
            <w:pPr>
              <w:pStyle w:val="TableContents"/>
              <w:rPr>
                <w:color w:val="000000"/>
              </w:rPr>
            </w:pPr>
            <w:proofErr w:type="spellStart"/>
            <w:r>
              <w:rPr>
                <w:color w:val="000000"/>
              </w:rPr>
              <w:t>AdptP</w:t>
            </w:r>
            <w:proofErr w:type="spellEnd"/>
          </w:p>
        </w:tc>
        <w:tc>
          <w:tcPr>
            <w:tcW w:w="948" w:type="dxa"/>
            <w:shd w:val="clear" w:color="auto" w:fill="auto"/>
            <w:vAlign w:val="center"/>
          </w:tcPr>
          <w:p w14:paraId="150F8199" w14:textId="77777777" w:rsidR="00D22E38" w:rsidRDefault="00D22E38" w:rsidP="00D22E38">
            <w:pPr>
              <w:pStyle w:val="TableContents"/>
              <w:rPr>
                <w:color w:val="000000"/>
              </w:rPr>
            </w:pPr>
            <w:r>
              <w:rPr>
                <w:color w:val="000000"/>
              </w:rPr>
              <w:t>0.8M</w:t>
            </w:r>
          </w:p>
        </w:tc>
        <w:tc>
          <w:tcPr>
            <w:tcW w:w="1306" w:type="dxa"/>
            <w:shd w:val="clear" w:color="auto" w:fill="auto"/>
            <w:vAlign w:val="center"/>
          </w:tcPr>
          <w:p w14:paraId="0EEB76DE" w14:textId="77777777" w:rsidR="00D22E38" w:rsidRDefault="00D22E38" w:rsidP="00D22E38">
            <w:pPr>
              <w:pStyle w:val="TableContents"/>
              <w:rPr>
                <w:color w:val="000000"/>
              </w:rPr>
            </w:pPr>
            <w:r>
              <w:rPr>
                <w:color w:val="000000"/>
              </w:rPr>
              <w:t>96.6</w:t>
            </w:r>
          </w:p>
        </w:tc>
        <w:tc>
          <w:tcPr>
            <w:tcW w:w="1307" w:type="dxa"/>
            <w:shd w:val="clear" w:color="auto" w:fill="auto"/>
            <w:vAlign w:val="center"/>
          </w:tcPr>
          <w:p w14:paraId="7A3BE388" w14:textId="77777777" w:rsidR="00D22E38" w:rsidRDefault="00D22E38" w:rsidP="00D22E38">
            <w:pPr>
              <w:pStyle w:val="TableContents"/>
              <w:rPr>
                <w:color w:val="000000"/>
              </w:rPr>
            </w:pPr>
            <w:r>
              <w:rPr>
                <w:color w:val="000000"/>
              </w:rPr>
              <w:t>94.8</w:t>
            </w:r>
          </w:p>
        </w:tc>
        <w:tc>
          <w:tcPr>
            <w:tcW w:w="981" w:type="dxa"/>
            <w:shd w:val="clear" w:color="auto" w:fill="auto"/>
            <w:vAlign w:val="center"/>
          </w:tcPr>
          <w:p w14:paraId="6694E425" w14:textId="77777777" w:rsidR="00D22E38" w:rsidRDefault="00D22E38" w:rsidP="00D22E38">
            <w:pPr>
              <w:pStyle w:val="TableContents"/>
              <w:rPr>
                <w:color w:val="000000"/>
              </w:rPr>
            </w:pPr>
            <w:r>
              <w:rPr>
                <w:color w:val="000000"/>
              </w:rPr>
              <w:t>80.1</w:t>
            </w:r>
          </w:p>
        </w:tc>
        <w:tc>
          <w:tcPr>
            <w:tcW w:w="990" w:type="dxa"/>
            <w:shd w:val="clear" w:color="auto" w:fill="auto"/>
            <w:vAlign w:val="center"/>
          </w:tcPr>
          <w:p w14:paraId="79015680" w14:textId="77777777" w:rsidR="00D22E38" w:rsidRDefault="00D22E38" w:rsidP="00D22E38">
            <w:pPr>
              <w:pStyle w:val="TableContents"/>
              <w:rPr>
                <w:color w:val="000000"/>
              </w:rPr>
            </w:pPr>
            <w:r>
              <w:rPr>
                <w:color w:val="000000"/>
              </w:rPr>
              <w:t>89.7</w:t>
            </w:r>
          </w:p>
        </w:tc>
        <w:tc>
          <w:tcPr>
            <w:tcW w:w="472" w:type="dxa"/>
            <w:shd w:val="clear" w:color="auto" w:fill="auto"/>
            <w:vAlign w:val="center"/>
          </w:tcPr>
          <w:p w14:paraId="43605E64" w14:textId="19E758DC" w:rsidR="00D22E38" w:rsidRPr="00D22E38" w:rsidRDefault="00D22E38" w:rsidP="00D22E38">
            <w:pPr>
              <w:pStyle w:val="TableContents"/>
              <w:rPr>
                <w:color w:val="000000"/>
              </w:rPr>
            </w:pPr>
            <w:r w:rsidRPr="00D22E38">
              <w:t>90.3</w:t>
            </w:r>
          </w:p>
        </w:tc>
      </w:tr>
      <w:tr w:rsidR="00D22E38" w14:paraId="7DEF547D" w14:textId="77777777" w:rsidTr="00D22E38">
        <w:trPr>
          <w:trHeight w:val="401"/>
        </w:trPr>
        <w:tc>
          <w:tcPr>
            <w:tcW w:w="991" w:type="dxa"/>
            <w:shd w:val="clear" w:color="auto" w:fill="auto"/>
            <w:vAlign w:val="center"/>
          </w:tcPr>
          <w:p w14:paraId="448DC916" w14:textId="77777777" w:rsidR="00D22E38" w:rsidRDefault="00D22E38" w:rsidP="00D22E38">
            <w:pPr>
              <w:pStyle w:val="TableContents"/>
              <w:rPr>
                <w:color w:val="000000"/>
              </w:rPr>
            </w:pPr>
          </w:p>
        </w:tc>
        <w:tc>
          <w:tcPr>
            <w:tcW w:w="925" w:type="dxa"/>
            <w:shd w:val="clear" w:color="auto" w:fill="auto"/>
            <w:vAlign w:val="center"/>
          </w:tcPr>
          <w:p w14:paraId="0E682464" w14:textId="77777777" w:rsidR="00D22E38" w:rsidRDefault="00D22E38" w:rsidP="00D22E38">
            <w:pPr>
              <w:pStyle w:val="TableContents"/>
              <w:rPr>
                <w:color w:val="000000"/>
              </w:rPr>
            </w:pPr>
            <w:proofErr w:type="spellStart"/>
            <w:r>
              <w:rPr>
                <w:color w:val="000000"/>
              </w:rPr>
              <w:t>AdptH</w:t>
            </w:r>
            <w:proofErr w:type="spellEnd"/>
          </w:p>
        </w:tc>
        <w:tc>
          <w:tcPr>
            <w:tcW w:w="948" w:type="dxa"/>
            <w:shd w:val="clear" w:color="auto" w:fill="auto"/>
            <w:vAlign w:val="center"/>
          </w:tcPr>
          <w:p w14:paraId="4C48CA2C" w14:textId="77777777" w:rsidR="00D22E38" w:rsidRDefault="00D22E38" w:rsidP="00D22E38">
            <w:pPr>
              <w:pStyle w:val="TableContents"/>
              <w:rPr>
                <w:color w:val="000000"/>
              </w:rPr>
            </w:pPr>
            <w:r>
              <w:rPr>
                <w:color w:val="000000"/>
              </w:rPr>
              <w:t>6M</w:t>
            </w:r>
          </w:p>
        </w:tc>
        <w:tc>
          <w:tcPr>
            <w:tcW w:w="1306" w:type="dxa"/>
            <w:shd w:val="clear" w:color="auto" w:fill="auto"/>
            <w:vAlign w:val="center"/>
          </w:tcPr>
          <w:p w14:paraId="1F80DC84" w14:textId="77777777" w:rsidR="00D22E38" w:rsidRDefault="00D22E38" w:rsidP="00D22E38">
            <w:pPr>
              <w:pStyle w:val="TableContents"/>
              <w:rPr>
                <w:color w:val="000000"/>
              </w:rPr>
            </w:pPr>
            <w:r>
              <w:rPr>
                <w:color w:val="000000"/>
              </w:rPr>
              <w:t>96.2</w:t>
            </w:r>
          </w:p>
        </w:tc>
        <w:tc>
          <w:tcPr>
            <w:tcW w:w="1307" w:type="dxa"/>
            <w:shd w:val="clear" w:color="auto" w:fill="auto"/>
            <w:vAlign w:val="center"/>
          </w:tcPr>
          <w:p w14:paraId="2D988853" w14:textId="77777777" w:rsidR="00D22E38" w:rsidRDefault="00D22E38" w:rsidP="00D22E38">
            <w:pPr>
              <w:pStyle w:val="TableContents"/>
              <w:rPr>
                <w:color w:val="000000"/>
              </w:rPr>
            </w:pPr>
            <w:r>
              <w:rPr>
                <w:color w:val="000000"/>
              </w:rPr>
              <w:t>94.7</w:t>
            </w:r>
          </w:p>
        </w:tc>
        <w:tc>
          <w:tcPr>
            <w:tcW w:w="981" w:type="dxa"/>
            <w:shd w:val="clear" w:color="auto" w:fill="auto"/>
            <w:vAlign w:val="center"/>
          </w:tcPr>
          <w:p w14:paraId="4FB29FDC" w14:textId="77777777" w:rsidR="00D22E38" w:rsidRDefault="00D22E38" w:rsidP="00D22E38">
            <w:pPr>
              <w:pStyle w:val="TableContents"/>
              <w:rPr>
                <w:color w:val="000000"/>
              </w:rPr>
            </w:pPr>
            <w:r>
              <w:rPr>
                <w:color w:val="000000"/>
              </w:rPr>
              <w:t>83.4</w:t>
            </w:r>
          </w:p>
        </w:tc>
        <w:tc>
          <w:tcPr>
            <w:tcW w:w="990" w:type="dxa"/>
            <w:shd w:val="clear" w:color="auto" w:fill="auto"/>
            <w:vAlign w:val="center"/>
          </w:tcPr>
          <w:p w14:paraId="12AB8E3F" w14:textId="77777777" w:rsidR="00D22E38" w:rsidRDefault="00D22E38" w:rsidP="00D22E38">
            <w:pPr>
              <w:pStyle w:val="TableContents"/>
              <w:rPr>
                <w:color w:val="000000"/>
              </w:rPr>
            </w:pPr>
            <w:r>
              <w:rPr>
                <w:color w:val="000000"/>
              </w:rPr>
              <w:t>88.7</w:t>
            </w:r>
          </w:p>
        </w:tc>
        <w:tc>
          <w:tcPr>
            <w:tcW w:w="472" w:type="dxa"/>
            <w:shd w:val="clear" w:color="auto" w:fill="auto"/>
            <w:vAlign w:val="center"/>
          </w:tcPr>
          <w:p w14:paraId="5A7CB9C3" w14:textId="0FF00C5B" w:rsidR="00D22E38" w:rsidRPr="00D22E38" w:rsidRDefault="00D22E38" w:rsidP="00D22E38">
            <w:pPr>
              <w:pStyle w:val="TableContents"/>
              <w:rPr>
                <w:color w:val="000000"/>
              </w:rPr>
            </w:pPr>
            <w:r w:rsidRPr="00D22E38">
              <w:t>90.8</w:t>
            </w:r>
          </w:p>
        </w:tc>
      </w:tr>
      <w:tr w:rsidR="00D22E38" w14:paraId="00A550C0" w14:textId="77777777" w:rsidTr="00D22E38">
        <w:trPr>
          <w:trHeight w:val="401"/>
        </w:trPr>
        <w:tc>
          <w:tcPr>
            <w:tcW w:w="991" w:type="dxa"/>
            <w:shd w:val="clear" w:color="auto" w:fill="auto"/>
            <w:vAlign w:val="center"/>
          </w:tcPr>
          <w:p w14:paraId="618939C4" w14:textId="77777777" w:rsidR="00D22E38" w:rsidRDefault="00D22E38" w:rsidP="00D22E38">
            <w:pPr>
              <w:pStyle w:val="TableContents"/>
              <w:rPr>
                <w:color w:val="000000"/>
              </w:rPr>
            </w:pPr>
          </w:p>
        </w:tc>
        <w:tc>
          <w:tcPr>
            <w:tcW w:w="925" w:type="dxa"/>
            <w:shd w:val="clear" w:color="auto" w:fill="auto"/>
            <w:vAlign w:val="center"/>
          </w:tcPr>
          <w:p w14:paraId="687A05DE" w14:textId="77777777" w:rsidR="00D22E38" w:rsidRDefault="00D22E38" w:rsidP="00D22E38">
            <w:pPr>
              <w:pStyle w:val="TableContents"/>
              <w:rPr>
                <w:color w:val="000000"/>
              </w:rPr>
            </w:pPr>
            <w:proofErr w:type="spellStart"/>
            <w:r>
              <w:rPr>
                <w:color w:val="000000"/>
              </w:rPr>
              <w:t>AdptH</w:t>
            </w:r>
            <w:proofErr w:type="spellEnd"/>
          </w:p>
        </w:tc>
        <w:tc>
          <w:tcPr>
            <w:tcW w:w="948" w:type="dxa"/>
            <w:shd w:val="clear" w:color="auto" w:fill="auto"/>
            <w:vAlign w:val="center"/>
          </w:tcPr>
          <w:p w14:paraId="2C40048B" w14:textId="77777777" w:rsidR="00D22E38" w:rsidRDefault="00D22E38" w:rsidP="00D22E38">
            <w:pPr>
              <w:pStyle w:val="TableContents"/>
              <w:rPr>
                <w:color w:val="000000"/>
              </w:rPr>
            </w:pPr>
            <w:r>
              <w:rPr>
                <w:color w:val="000000"/>
              </w:rPr>
              <w:t>0.8M</w:t>
            </w:r>
          </w:p>
        </w:tc>
        <w:tc>
          <w:tcPr>
            <w:tcW w:w="1306" w:type="dxa"/>
            <w:shd w:val="clear" w:color="auto" w:fill="auto"/>
            <w:vAlign w:val="center"/>
          </w:tcPr>
          <w:p w14:paraId="2EFB1BBE" w14:textId="77777777" w:rsidR="00D22E38" w:rsidRDefault="00D22E38" w:rsidP="00D22E38">
            <w:pPr>
              <w:pStyle w:val="TableContents"/>
              <w:rPr>
                <w:color w:val="000000"/>
              </w:rPr>
            </w:pPr>
            <w:r>
              <w:rPr>
                <w:color w:val="000000"/>
              </w:rPr>
              <w:t>96.3</w:t>
            </w:r>
          </w:p>
        </w:tc>
        <w:tc>
          <w:tcPr>
            <w:tcW w:w="1307" w:type="dxa"/>
            <w:shd w:val="clear" w:color="auto" w:fill="auto"/>
            <w:vAlign w:val="center"/>
          </w:tcPr>
          <w:p w14:paraId="72641A4B" w14:textId="77777777" w:rsidR="00D22E38" w:rsidRDefault="00D22E38" w:rsidP="00D22E38">
            <w:pPr>
              <w:pStyle w:val="TableContents"/>
              <w:rPr>
                <w:color w:val="000000"/>
              </w:rPr>
            </w:pPr>
            <w:r>
              <w:rPr>
                <w:color w:val="000000"/>
              </w:rPr>
              <w:t>94.7</w:t>
            </w:r>
          </w:p>
        </w:tc>
        <w:tc>
          <w:tcPr>
            <w:tcW w:w="981" w:type="dxa"/>
            <w:shd w:val="clear" w:color="auto" w:fill="auto"/>
            <w:vAlign w:val="center"/>
          </w:tcPr>
          <w:p w14:paraId="05519A06" w14:textId="77777777" w:rsidR="00D22E38" w:rsidRDefault="00D22E38" w:rsidP="00D22E38">
            <w:pPr>
              <w:pStyle w:val="TableContents"/>
              <w:rPr>
                <w:color w:val="000000"/>
              </w:rPr>
            </w:pPr>
            <w:r>
              <w:rPr>
                <w:color w:val="000000"/>
              </w:rPr>
              <w:t>72.9</w:t>
            </w:r>
          </w:p>
        </w:tc>
        <w:tc>
          <w:tcPr>
            <w:tcW w:w="990" w:type="dxa"/>
            <w:shd w:val="clear" w:color="auto" w:fill="auto"/>
            <w:vAlign w:val="center"/>
          </w:tcPr>
          <w:p w14:paraId="268E8583" w14:textId="77777777" w:rsidR="00D22E38" w:rsidRDefault="00D22E38" w:rsidP="00D22E38">
            <w:pPr>
              <w:pStyle w:val="TableContents"/>
              <w:rPr>
                <w:color w:val="000000"/>
              </w:rPr>
            </w:pPr>
            <w:r>
              <w:rPr>
                <w:color w:val="000000"/>
              </w:rPr>
              <w:t>87.7</w:t>
            </w:r>
          </w:p>
        </w:tc>
        <w:tc>
          <w:tcPr>
            <w:tcW w:w="472" w:type="dxa"/>
            <w:shd w:val="clear" w:color="auto" w:fill="auto"/>
            <w:vAlign w:val="center"/>
          </w:tcPr>
          <w:p w14:paraId="44A4C84F" w14:textId="0C78A732" w:rsidR="00D22E38" w:rsidRPr="00D22E38" w:rsidRDefault="00D22E38" w:rsidP="00D22E38">
            <w:pPr>
              <w:pStyle w:val="TableContents"/>
              <w:rPr>
                <w:color w:val="000000"/>
              </w:rPr>
            </w:pPr>
            <w:r w:rsidRPr="00D22E38">
              <w:t>87.9</w:t>
            </w:r>
          </w:p>
        </w:tc>
      </w:tr>
      <w:tr w:rsidR="00D22E38" w14:paraId="18F64640" w14:textId="77777777" w:rsidTr="00D22E38">
        <w:trPr>
          <w:trHeight w:val="401"/>
        </w:trPr>
        <w:tc>
          <w:tcPr>
            <w:tcW w:w="991" w:type="dxa"/>
            <w:shd w:val="clear" w:color="auto" w:fill="auto"/>
            <w:vAlign w:val="center"/>
          </w:tcPr>
          <w:p w14:paraId="61178541" w14:textId="77777777" w:rsidR="00D22E38" w:rsidRDefault="00D22E38" w:rsidP="00D22E38">
            <w:pPr>
              <w:pStyle w:val="TableContents"/>
              <w:rPr>
                <w:color w:val="000000"/>
              </w:rPr>
            </w:pPr>
          </w:p>
        </w:tc>
        <w:tc>
          <w:tcPr>
            <w:tcW w:w="925" w:type="dxa"/>
            <w:shd w:val="clear" w:color="auto" w:fill="auto"/>
            <w:vAlign w:val="center"/>
          </w:tcPr>
          <w:p w14:paraId="5E5FEE99" w14:textId="77777777" w:rsidR="00D22E38" w:rsidRDefault="00D22E38" w:rsidP="00D22E38">
            <w:pPr>
              <w:pStyle w:val="TableContents"/>
              <w:rPr>
                <w:color w:val="000000"/>
              </w:rPr>
            </w:pPr>
            <w:proofErr w:type="spellStart"/>
            <w:r>
              <w:rPr>
                <w:color w:val="000000"/>
              </w:rPr>
              <w:t>LoRA</w:t>
            </w:r>
            <w:proofErr w:type="spellEnd"/>
            <w:r>
              <w:rPr>
                <w:color w:val="000000"/>
              </w:rPr>
              <w:t>-FA</w:t>
            </w:r>
          </w:p>
        </w:tc>
        <w:tc>
          <w:tcPr>
            <w:tcW w:w="948" w:type="dxa"/>
            <w:shd w:val="clear" w:color="auto" w:fill="auto"/>
            <w:vAlign w:val="center"/>
          </w:tcPr>
          <w:p w14:paraId="21513CAD" w14:textId="77777777" w:rsidR="00D22E38" w:rsidRDefault="00D22E38" w:rsidP="00D22E38">
            <w:pPr>
              <w:pStyle w:val="TableContents"/>
              <w:rPr>
                <w:color w:val="000000"/>
              </w:rPr>
            </w:pPr>
            <w:r>
              <w:rPr>
                <w:color w:val="000000"/>
              </w:rPr>
              <w:t>3.7M</w:t>
            </w:r>
          </w:p>
        </w:tc>
        <w:tc>
          <w:tcPr>
            <w:tcW w:w="1306" w:type="dxa"/>
            <w:shd w:val="clear" w:color="auto" w:fill="auto"/>
            <w:vAlign w:val="center"/>
          </w:tcPr>
          <w:p w14:paraId="44916B33" w14:textId="77777777" w:rsidR="00D22E38" w:rsidRDefault="00D22E38" w:rsidP="00D22E38">
            <w:pPr>
              <w:pStyle w:val="TableContents"/>
              <w:rPr>
                <w:color w:val="000000"/>
              </w:rPr>
            </w:pPr>
            <w:r>
              <w:rPr>
                <w:color w:val="000000"/>
              </w:rPr>
              <w:t>96</w:t>
            </w:r>
          </w:p>
        </w:tc>
        <w:tc>
          <w:tcPr>
            <w:tcW w:w="1307" w:type="dxa"/>
            <w:shd w:val="clear" w:color="auto" w:fill="auto"/>
            <w:vAlign w:val="center"/>
          </w:tcPr>
          <w:p w14:paraId="19CA5FC4" w14:textId="77777777" w:rsidR="00D22E38" w:rsidRDefault="00D22E38" w:rsidP="00D22E38">
            <w:pPr>
              <w:pStyle w:val="TableContents"/>
              <w:rPr>
                <w:color w:val="000000"/>
              </w:rPr>
            </w:pPr>
            <w:r>
              <w:rPr>
                <w:color w:val="000000"/>
              </w:rPr>
              <w:t>94.4</w:t>
            </w:r>
          </w:p>
        </w:tc>
        <w:tc>
          <w:tcPr>
            <w:tcW w:w="981" w:type="dxa"/>
            <w:shd w:val="clear" w:color="auto" w:fill="auto"/>
            <w:vAlign w:val="center"/>
          </w:tcPr>
          <w:p w14:paraId="03C8ACB0" w14:textId="77777777" w:rsidR="00D22E38" w:rsidRDefault="00D22E38" w:rsidP="00D22E38">
            <w:pPr>
              <w:pStyle w:val="TableContents"/>
              <w:rPr>
                <w:color w:val="000000"/>
              </w:rPr>
            </w:pPr>
            <w:r>
              <w:rPr>
                <w:color w:val="000000"/>
              </w:rPr>
              <w:t>86.1</w:t>
            </w:r>
          </w:p>
        </w:tc>
        <w:tc>
          <w:tcPr>
            <w:tcW w:w="990" w:type="dxa"/>
            <w:shd w:val="clear" w:color="auto" w:fill="auto"/>
            <w:vAlign w:val="center"/>
          </w:tcPr>
          <w:p w14:paraId="44957E2E" w14:textId="77777777" w:rsidR="00D22E38" w:rsidRDefault="00D22E38" w:rsidP="00D22E38">
            <w:pPr>
              <w:pStyle w:val="TableContents"/>
              <w:rPr>
                <w:color w:val="000000"/>
              </w:rPr>
            </w:pPr>
            <w:r>
              <w:rPr>
                <w:color w:val="000000"/>
              </w:rPr>
              <w:t>90</w:t>
            </w:r>
          </w:p>
        </w:tc>
        <w:tc>
          <w:tcPr>
            <w:tcW w:w="472" w:type="dxa"/>
            <w:shd w:val="clear" w:color="auto" w:fill="auto"/>
            <w:vAlign w:val="center"/>
          </w:tcPr>
          <w:p w14:paraId="361684ED" w14:textId="685FAA65" w:rsidR="00D22E38" w:rsidRPr="00D22E38" w:rsidRDefault="00D22E38" w:rsidP="00D22E38">
            <w:pPr>
              <w:pStyle w:val="TableContents"/>
              <w:rPr>
                <w:color w:val="000000"/>
              </w:rPr>
            </w:pPr>
            <w:r w:rsidRPr="00D22E38">
              <w:t>91.6</w:t>
            </w:r>
          </w:p>
        </w:tc>
      </w:tr>
      <w:tr w:rsidR="00D22E38" w14:paraId="2E6A3CB3" w14:textId="77777777" w:rsidTr="00D22E38">
        <w:trPr>
          <w:trHeight w:val="401"/>
        </w:trPr>
        <w:tc>
          <w:tcPr>
            <w:tcW w:w="991" w:type="dxa"/>
            <w:shd w:val="clear" w:color="auto" w:fill="auto"/>
            <w:vAlign w:val="center"/>
          </w:tcPr>
          <w:p w14:paraId="3AF1CA09" w14:textId="77777777" w:rsidR="00D22E38" w:rsidRDefault="00D22E38" w:rsidP="00D22E38">
            <w:pPr>
              <w:pStyle w:val="TableContents"/>
              <w:rPr>
                <w:color w:val="000000"/>
              </w:rPr>
            </w:pPr>
          </w:p>
        </w:tc>
        <w:tc>
          <w:tcPr>
            <w:tcW w:w="925" w:type="dxa"/>
            <w:shd w:val="clear" w:color="auto" w:fill="auto"/>
            <w:vAlign w:val="center"/>
          </w:tcPr>
          <w:p w14:paraId="68E08B5E" w14:textId="77777777" w:rsidR="00D22E38" w:rsidRDefault="00D22E38" w:rsidP="00D22E38">
            <w:pPr>
              <w:pStyle w:val="TableContents"/>
              <w:rPr>
                <w:color w:val="000000"/>
              </w:rPr>
            </w:pPr>
            <w:proofErr w:type="spellStart"/>
            <w:r>
              <w:rPr>
                <w:color w:val="000000"/>
              </w:rPr>
              <w:t>LoRA</w:t>
            </w:r>
            <w:proofErr w:type="spellEnd"/>
          </w:p>
        </w:tc>
        <w:tc>
          <w:tcPr>
            <w:tcW w:w="948" w:type="dxa"/>
            <w:shd w:val="clear" w:color="auto" w:fill="auto"/>
            <w:vAlign w:val="center"/>
          </w:tcPr>
          <w:p w14:paraId="094F75A9" w14:textId="77777777" w:rsidR="00D22E38" w:rsidRDefault="00D22E38" w:rsidP="00D22E38">
            <w:pPr>
              <w:pStyle w:val="TableContents"/>
              <w:rPr>
                <w:color w:val="000000"/>
              </w:rPr>
            </w:pPr>
            <w:r>
              <w:rPr>
                <w:color w:val="000000"/>
              </w:rPr>
              <w:t>0.8M</w:t>
            </w:r>
          </w:p>
        </w:tc>
        <w:tc>
          <w:tcPr>
            <w:tcW w:w="1306" w:type="dxa"/>
            <w:shd w:val="clear" w:color="auto" w:fill="auto"/>
            <w:vAlign w:val="center"/>
          </w:tcPr>
          <w:p w14:paraId="48618612" w14:textId="77777777" w:rsidR="00D22E38" w:rsidRDefault="00D22E38" w:rsidP="00D22E38">
            <w:pPr>
              <w:pStyle w:val="TableContents"/>
              <w:rPr>
                <w:color w:val="000000"/>
              </w:rPr>
            </w:pPr>
            <w:r>
              <w:rPr>
                <w:color w:val="000000"/>
              </w:rPr>
              <w:t>96.2</w:t>
            </w:r>
          </w:p>
        </w:tc>
        <w:tc>
          <w:tcPr>
            <w:tcW w:w="1307" w:type="dxa"/>
            <w:shd w:val="clear" w:color="auto" w:fill="auto"/>
            <w:vAlign w:val="center"/>
          </w:tcPr>
          <w:p w14:paraId="60614AC9" w14:textId="77777777" w:rsidR="00D22E38" w:rsidRDefault="00D22E38" w:rsidP="00D22E38">
            <w:pPr>
              <w:pStyle w:val="TableContents"/>
              <w:rPr>
                <w:color w:val="000000"/>
              </w:rPr>
            </w:pPr>
            <w:r>
              <w:rPr>
                <w:color w:val="000000"/>
              </w:rPr>
              <w:t>94.8</w:t>
            </w:r>
          </w:p>
        </w:tc>
        <w:tc>
          <w:tcPr>
            <w:tcW w:w="981" w:type="dxa"/>
            <w:shd w:val="clear" w:color="auto" w:fill="auto"/>
            <w:vAlign w:val="center"/>
          </w:tcPr>
          <w:p w14:paraId="0F7EF097" w14:textId="77777777" w:rsidR="00D22E38" w:rsidRDefault="00D22E38" w:rsidP="00D22E38">
            <w:pPr>
              <w:pStyle w:val="TableContents"/>
              <w:rPr>
                <w:color w:val="000000"/>
              </w:rPr>
            </w:pPr>
            <w:r>
              <w:rPr>
                <w:color w:val="000000"/>
              </w:rPr>
              <w:t>85.2</w:t>
            </w:r>
          </w:p>
        </w:tc>
        <w:tc>
          <w:tcPr>
            <w:tcW w:w="990" w:type="dxa"/>
            <w:shd w:val="clear" w:color="auto" w:fill="auto"/>
            <w:vAlign w:val="center"/>
          </w:tcPr>
          <w:p w14:paraId="13E09618" w14:textId="77777777" w:rsidR="00D22E38" w:rsidRDefault="00D22E38" w:rsidP="00D22E38">
            <w:pPr>
              <w:pStyle w:val="TableContents"/>
              <w:rPr>
                <w:color w:val="000000"/>
              </w:rPr>
            </w:pPr>
            <w:r>
              <w:rPr>
                <w:color w:val="000000"/>
              </w:rPr>
              <w:t>90.2</w:t>
            </w:r>
          </w:p>
        </w:tc>
        <w:tc>
          <w:tcPr>
            <w:tcW w:w="472" w:type="dxa"/>
            <w:shd w:val="clear" w:color="auto" w:fill="auto"/>
            <w:vAlign w:val="center"/>
          </w:tcPr>
          <w:p w14:paraId="29EAC3E7" w14:textId="0704458E" w:rsidR="00D22E38" w:rsidRPr="00D22E38" w:rsidRDefault="00D22E38" w:rsidP="00D22E38">
            <w:pPr>
              <w:pStyle w:val="TableContents"/>
              <w:rPr>
                <w:color w:val="000000"/>
              </w:rPr>
            </w:pPr>
            <w:r w:rsidRPr="00D22E38">
              <w:t>91.6</w:t>
            </w:r>
          </w:p>
        </w:tc>
      </w:tr>
      <w:tr w:rsidR="00D22E38" w14:paraId="231ABDBD" w14:textId="77777777" w:rsidTr="00D22E38">
        <w:trPr>
          <w:trHeight w:val="401"/>
        </w:trPr>
        <w:tc>
          <w:tcPr>
            <w:tcW w:w="991" w:type="dxa"/>
            <w:shd w:val="clear" w:color="auto" w:fill="auto"/>
            <w:vAlign w:val="center"/>
          </w:tcPr>
          <w:p w14:paraId="3CA77951" w14:textId="77777777" w:rsidR="00D22E38" w:rsidRDefault="00D22E38" w:rsidP="00D22E38">
            <w:pPr>
              <w:pStyle w:val="TableContents"/>
              <w:rPr>
                <w:color w:val="000000"/>
              </w:rPr>
            </w:pPr>
          </w:p>
        </w:tc>
        <w:tc>
          <w:tcPr>
            <w:tcW w:w="925" w:type="dxa"/>
            <w:shd w:val="clear" w:color="auto" w:fill="auto"/>
            <w:vAlign w:val="center"/>
          </w:tcPr>
          <w:p w14:paraId="7FE5ED8A" w14:textId="77777777" w:rsidR="00D22E38" w:rsidRDefault="00D22E38" w:rsidP="00D22E38">
            <w:pPr>
              <w:pStyle w:val="TableContents"/>
              <w:rPr>
                <w:color w:val="000000"/>
              </w:rPr>
            </w:pPr>
            <w:proofErr w:type="spellStart"/>
            <w:r>
              <w:rPr>
                <w:color w:val="000000"/>
              </w:rPr>
              <w:t>VeRA</w:t>
            </w:r>
            <w:proofErr w:type="spellEnd"/>
          </w:p>
        </w:tc>
        <w:tc>
          <w:tcPr>
            <w:tcW w:w="948" w:type="dxa"/>
            <w:shd w:val="clear" w:color="auto" w:fill="auto"/>
            <w:vAlign w:val="center"/>
          </w:tcPr>
          <w:p w14:paraId="32D6D486" w14:textId="77777777" w:rsidR="00D22E38" w:rsidRDefault="00D22E38" w:rsidP="00D22E38">
            <w:pPr>
              <w:pStyle w:val="TableContents"/>
              <w:rPr>
                <w:color w:val="000000"/>
              </w:rPr>
            </w:pPr>
            <w:r>
              <w:rPr>
                <w:color w:val="000000"/>
              </w:rPr>
              <w:t>0.061M</w:t>
            </w:r>
          </w:p>
        </w:tc>
        <w:tc>
          <w:tcPr>
            <w:tcW w:w="1306" w:type="dxa"/>
            <w:shd w:val="clear" w:color="auto" w:fill="auto"/>
            <w:vAlign w:val="center"/>
          </w:tcPr>
          <w:p w14:paraId="76A3E939" w14:textId="77777777" w:rsidR="00D22E38" w:rsidRDefault="00D22E38" w:rsidP="00D22E38">
            <w:pPr>
              <w:pStyle w:val="TableContents"/>
              <w:rPr>
                <w:color w:val="000000"/>
              </w:rPr>
            </w:pPr>
            <w:r>
              <w:rPr>
                <w:color w:val="000000"/>
              </w:rPr>
              <w:t>96.1</w:t>
            </w:r>
          </w:p>
        </w:tc>
        <w:tc>
          <w:tcPr>
            <w:tcW w:w="1307" w:type="dxa"/>
            <w:shd w:val="clear" w:color="auto" w:fill="auto"/>
            <w:vAlign w:val="center"/>
          </w:tcPr>
          <w:p w14:paraId="09373A07" w14:textId="77777777" w:rsidR="00D22E38" w:rsidRDefault="00D22E38" w:rsidP="00D22E38">
            <w:pPr>
              <w:pStyle w:val="TableContents"/>
              <w:rPr>
                <w:color w:val="000000"/>
              </w:rPr>
            </w:pPr>
            <w:r>
              <w:rPr>
                <w:color w:val="000000"/>
              </w:rPr>
              <w:t>94.4</w:t>
            </w:r>
          </w:p>
        </w:tc>
        <w:tc>
          <w:tcPr>
            <w:tcW w:w="981" w:type="dxa"/>
            <w:shd w:val="clear" w:color="auto" w:fill="auto"/>
            <w:vAlign w:val="center"/>
          </w:tcPr>
          <w:p w14:paraId="26B9DDDC" w14:textId="77777777" w:rsidR="00D22E38" w:rsidRDefault="00D22E38" w:rsidP="00D22E38">
            <w:pPr>
              <w:pStyle w:val="TableContents"/>
              <w:rPr>
                <w:color w:val="000000"/>
              </w:rPr>
            </w:pPr>
            <w:r>
              <w:rPr>
                <w:color w:val="000000"/>
              </w:rPr>
              <w:t>85.9</w:t>
            </w:r>
          </w:p>
        </w:tc>
        <w:tc>
          <w:tcPr>
            <w:tcW w:w="990" w:type="dxa"/>
            <w:shd w:val="clear" w:color="auto" w:fill="auto"/>
            <w:vAlign w:val="center"/>
          </w:tcPr>
          <w:p w14:paraId="4381070E" w14:textId="77777777" w:rsidR="00D22E38" w:rsidRDefault="00D22E38" w:rsidP="00D22E38">
            <w:pPr>
              <w:pStyle w:val="TableContents"/>
              <w:rPr>
                <w:color w:val="000000"/>
              </w:rPr>
            </w:pPr>
            <w:r>
              <w:rPr>
                <w:color w:val="000000"/>
              </w:rPr>
              <w:t>90.9</w:t>
            </w:r>
          </w:p>
        </w:tc>
        <w:tc>
          <w:tcPr>
            <w:tcW w:w="472" w:type="dxa"/>
            <w:shd w:val="clear" w:color="auto" w:fill="auto"/>
            <w:vAlign w:val="center"/>
          </w:tcPr>
          <w:p w14:paraId="47F87E86" w14:textId="249E82E0" w:rsidR="00D22E38" w:rsidRPr="00D22E38" w:rsidRDefault="00D22E38" w:rsidP="00D22E38">
            <w:pPr>
              <w:pStyle w:val="TableContents"/>
              <w:rPr>
                <w:color w:val="000000"/>
              </w:rPr>
            </w:pPr>
            <w:r w:rsidRPr="00D22E38">
              <w:t>91.8</w:t>
            </w:r>
          </w:p>
        </w:tc>
      </w:tr>
      <w:tr w:rsidR="00D22E38" w14:paraId="68DAAC86" w14:textId="77777777" w:rsidTr="00D22E38">
        <w:trPr>
          <w:trHeight w:val="401"/>
        </w:trPr>
        <w:tc>
          <w:tcPr>
            <w:tcW w:w="991" w:type="dxa"/>
            <w:tcBorders>
              <w:bottom w:val="single" w:sz="6" w:space="0" w:color="000000"/>
            </w:tcBorders>
            <w:shd w:val="clear" w:color="auto" w:fill="auto"/>
            <w:vAlign w:val="center"/>
          </w:tcPr>
          <w:p w14:paraId="53EDB415" w14:textId="77777777" w:rsidR="00D22E38" w:rsidRDefault="00D22E38" w:rsidP="00D22E38">
            <w:pPr>
              <w:pStyle w:val="TableContents"/>
              <w:rPr>
                <w:color w:val="000000"/>
              </w:rPr>
            </w:pPr>
          </w:p>
        </w:tc>
        <w:tc>
          <w:tcPr>
            <w:tcW w:w="925" w:type="dxa"/>
            <w:tcBorders>
              <w:bottom w:val="single" w:sz="6" w:space="0" w:color="000000"/>
            </w:tcBorders>
            <w:shd w:val="clear" w:color="auto" w:fill="auto"/>
            <w:vAlign w:val="center"/>
          </w:tcPr>
          <w:p w14:paraId="61225AD9" w14:textId="77777777" w:rsidR="00D22E38" w:rsidRDefault="00D22E38" w:rsidP="00D22E38">
            <w:pPr>
              <w:pStyle w:val="TableContents"/>
              <w:rPr>
                <w:color w:val="000000"/>
              </w:rPr>
            </w:pPr>
            <w:proofErr w:type="spellStart"/>
            <w:r>
              <w:rPr>
                <w:color w:val="000000"/>
              </w:rPr>
              <w:t>TLoRA</w:t>
            </w:r>
            <w:proofErr w:type="spellEnd"/>
          </w:p>
        </w:tc>
        <w:tc>
          <w:tcPr>
            <w:tcW w:w="948" w:type="dxa"/>
            <w:tcBorders>
              <w:bottom w:val="single" w:sz="6" w:space="0" w:color="000000"/>
            </w:tcBorders>
            <w:shd w:val="clear" w:color="auto" w:fill="auto"/>
            <w:vAlign w:val="center"/>
          </w:tcPr>
          <w:p w14:paraId="7E043322" w14:textId="77777777" w:rsidR="00D22E38" w:rsidRDefault="00D22E38" w:rsidP="00D22E38">
            <w:pPr>
              <w:pStyle w:val="TableContents"/>
              <w:rPr>
                <w:color w:val="000000"/>
              </w:rPr>
            </w:pPr>
            <w:r>
              <w:rPr>
                <w:color w:val="000000"/>
              </w:rPr>
              <w:t>0.049M</w:t>
            </w:r>
          </w:p>
        </w:tc>
        <w:tc>
          <w:tcPr>
            <w:tcW w:w="1306" w:type="dxa"/>
            <w:tcBorders>
              <w:bottom w:val="single" w:sz="6" w:space="0" w:color="000000"/>
            </w:tcBorders>
            <w:shd w:val="clear" w:color="auto" w:fill="auto"/>
            <w:vAlign w:val="center"/>
          </w:tcPr>
          <w:p w14:paraId="022AACAC" w14:textId="77777777" w:rsidR="00D22E38" w:rsidRDefault="00D22E38" w:rsidP="00D22E38">
            <w:pPr>
              <w:pStyle w:val="TableContents"/>
              <w:rPr>
                <w:color w:val="000000"/>
              </w:rPr>
            </w:pPr>
            <w:r>
              <w:rPr>
                <w:color w:val="000000"/>
              </w:rPr>
              <w:t>95.3</w:t>
            </w:r>
          </w:p>
        </w:tc>
        <w:tc>
          <w:tcPr>
            <w:tcW w:w="1307" w:type="dxa"/>
            <w:tcBorders>
              <w:bottom w:val="single" w:sz="6" w:space="0" w:color="000000"/>
            </w:tcBorders>
            <w:shd w:val="clear" w:color="auto" w:fill="auto"/>
            <w:vAlign w:val="center"/>
          </w:tcPr>
          <w:p w14:paraId="3A2EE5A0" w14:textId="77777777" w:rsidR="00D22E38" w:rsidRDefault="00D22E38" w:rsidP="00D22E38">
            <w:pPr>
              <w:pStyle w:val="TableContents"/>
              <w:rPr>
                <w:color w:val="000000"/>
              </w:rPr>
            </w:pPr>
            <w:r>
              <w:rPr>
                <w:color w:val="000000"/>
              </w:rPr>
              <w:t>92.1</w:t>
            </w:r>
          </w:p>
        </w:tc>
        <w:tc>
          <w:tcPr>
            <w:tcW w:w="981" w:type="dxa"/>
            <w:tcBorders>
              <w:bottom w:val="single" w:sz="6" w:space="0" w:color="000000"/>
            </w:tcBorders>
            <w:shd w:val="clear" w:color="auto" w:fill="auto"/>
            <w:vAlign w:val="center"/>
          </w:tcPr>
          <w:p w14:paraId="342C0C3C" w14:textId="77777777" w:rsidR="00D22E38" w:rsidRDefault="00D22E38" w:rsidP="00D22E38">
            <w:pPr>
              <w:pStyle w:val="TableContents"/>
              <w:rPr>
                <w:color w:val="000000"/>
              </w:rPr>
            </w:pPr>
            <w:r>
              <w:rPr>
                <w:color w:val="000000"/>
              </w:rPr>
              <w:t>87.5</w:t>
            </w:r>
          </w:p>
        </w:tc>
        <w:tc>
          <w:tcPr>
            <w:tcW w:w="990" w:type="dxa"/>
            <w:tcBorders>
              <w:bottom w:val="single" w:sz="6" w:space="0" w:color="000000"/>
            </w:tcBorders>
            <w:shd w:val="clear" w:color="auto" w:fill="auto"/>
            <w:vAlign w:val="center"/>
          </w:tcPr>
          <w:p w14:paraId="18DE33DD" w14:textId="77777777" w:rsidR="00D22E38" w:rsidRDefault="00D22E38" w:rsidP="00D22E38">
            <w:pPr>
              <w:pStyle w:val="TableContents"/>
              <w:rPr>
                <w:color w:val="000000"/>
              </w:rPr>
            </w:pPr>
            <w:r>
              <w:rPr>
                <w:color w:val="000000"/>
              </w:rPr>
              <w:t>89.3</w:t>
            </w:r>
          </w:p>
        </w:tc>
        <w:tc>
          <w:tcPr>
            <w:tcW w:w="472" w:type="dxa"/>
            <w:tcBorders>
              <w:bottom w:val="single" w:sz="6" w:space="0" w:color="000000"/>
            </w:tcBorders>
            <w:shd w:val="clear" w:color="auto" w:fill="auto"/>
            <w:vAlign w:val="center"/>
          </w:tcPr>
          <w:p w14:paraId="1F786580" w14:textId="21F1AFC9" w:rsidR="00D22E38" w:rsidRPr="00D22E38" w:rsidRDefault="00D22E38" w:rsidP="00D22E38">
            <w:pPr>
              <w:pStyle w:val="TableContents"/>
              <w:rPr>
                <w:color w:val="000000"/>
              </w:rPr>
            </w:pPr>
            <w:r w:rsidRPr="00D22E38">
              <w:t>91.0</w:t>
            </w:r>
          </w:p>
        </w:tc>
      </w:tr>
    </w:tbl>
    <w:p w14:paraId="764591E0" w14:textId="77777777" w:rsidR="00682D14" w:rsidRDefault="00682D14" w:rsidP="00682D14">
      <w:pPr>
        <w:pStyle w:val="Standard"/>
        <w:widowControl w:val="0"/>
        <w:spacing w:before="200"/>
        <w:jc w:val="both"/>
      </w:pPr>
    </w:p>
    <w:p w14:paraId="554DD893" w14:textId="33495155" w:rsidR="0009211F" w:rsidRPr="0009211F" w:rsidRDefault="0009211F" w:rsidP="0009211F">
      <w:pPr>
        <w:pStyle w:val="ListParagraph"/>
        <w:numPr>
          <w:ilvl w:val="0"/>
          <w:numId w:val="2"/>
        </w:numPr>
        <w:spacing w:before="200" w:after="120"/>
        <w:jc w:val="both"/>
        <w:textAlignment w:val="auto"/>
        <w:rPr>
          <w:b/>
          <w:bCs/>
          <w:kern w:val="2"/>
          <w:sz w:val="24"/>
          <w:szCs w:val="24"/>
        </w:rPr>
      </w:pPr>
      <w:proofErr w:type="spellStart"/>
      <w:r w:rsidRPr="0009211F">
        <w:rPr>
          <w:b/>
          <w:bCs/>
          <w:kern w:val="2"/>
          <w:sz w:val="24"/>
          <w:szCs w:val="24"/>
        </w:rPr>
        <w:t>TLoRA</w:t>
      </w:r>
      <w:proofErr w:type="spellEnd"/>
      <w:r w:rsidRPr="0009211F">
        <w:rPr>
          <w:b/>
          <w:bCs/>
          <w:kern w:val="2"/>
          <w:sz w:val="24"/>
          <w:szCs w:val="24"/>
        </w:rPr>
        <w:t xml:space="preserve"> adaptation dynamics</w:t>
      </w:r>
    </w:p>
    <w:p w14:paraId="7562E138" w14:textId="2AEB6DA5" w:rsidR="00682D14" w:rsidRDefault="00682D14" w:rsidP="00682D14">
      <w:pPr>
        <w:pStyle w:val="Standard"/>
        <w:widowControl w:val="0"/>
        <w:spacing w:before="200"/>
        <w:jc w:val="both"/>
        <w:rPr>
          <w:kern w:val="2"/>
        </w:rPr>
      </w:pPr>
      <w:r>
        <w:rPr>
          <w:kern w:val="2"/>
        </w:rPr>
        <w:t xml:space="preserve">In this section, we provide an in-depth analysis of the behavior and adaptation dynamics of </w:t>
      </w:r>
      <w:proofErr w:type="spellStart"/>
      <w:r>
        <w:rPr>
          <w:kern w:val="2"/>
        </w:rPr>
        <w:t>TLoRA</w:t>
      </w:r>
      <w:proofErr w:type="spellEnd"/>
      <w:r w:rsidR="0048179B">
        <w:rPr>
          <w:kern w:val="2"/>
        </w:rPr>
        <w:t>;</w:t>
      </w:r>
      <w:r>
        <w:rPr>
          <w:kern w:val="2"/>
        </w:rPr>
        <w:t xml:space="preserve"> and compare its properties with those of </w:t>
      </w:r>
      <w:proofErr w:type="spellStart"/>
      <w:r>
        <w:rPr>
          <w:kern w:val="2"/>
        </w:rPr>
        <w:t>LoRA</w:t>
      </w:r>
      <w:proofErr w:type="spellEnd"/>
      <w:r>
        <w:rPr>
          <w:kern w:val="2"/>
        </w:rPr>
        <w:t xml:space="preserve"> to better understand its low-rank adaptation capabilities. </w:t>
      </w:r>
      <w:r w:rsidR="00933303" w:rsidRPr="00933303">
        <w:rPr>
          <w:kern w:val="2"/>
        </w:rPr>
        <w:t xml:space="preserve">For demonstration, we analyze the </w:t>
      </w:r>
      <w:proofErr w:type="spellStart"/>
      <w:r w:rsidR="00933303" w:rsidRPr="00933303">
        <w:rPr>
          <w:kern w:val="2"/>
        </w:rPr>
        <w:t>TLoRA</w:t>
      </w:r>
      <w:proofErr w:type="spellEnd"/>
      <w:r w:rsidR="00933303" w:rsidRPr="00933303">
        <w:rPr>
          <w:kern w:val="2"/>
        </w:rPr>
        <w:t>-trained model on the MRPC dataset.</w:t>
      </w:r>
    </w:p>
    <w:p w14:paraId="5E40B7C7" w14:textId="20343EAA" w:rsidR="00B358AA" w:rsidRDefault="00B358AA" w:rsidP="00682D14">
      <w:pPr>
        <w:pStyle w:val="Standard"/>
        <w:widowControl w:val="0"/>
        <w:spacing w:before="200"/>
        <w:jc w:val="both"/>
      </w:pPr>
      <w:r>
        <w:rPr>
          <w:noProof/>
        </w:rPr>
        <w:drawing>
          <wp:anchor distT="0" distB="0" distL="114300" distR="114300" simplePos="0" relativeHeight="251678720" behindDoc="0" locked="0" layoutInCell="0" allowOverlap="1" wp14:anchorId="2177E458" wp14:editId="0F7FBC8B">
            <wp:simplePos x="0" y="0"/>
            <wp:positionH relativeFrom="column">
              <wp:posOffset>0</wp:posOffset>
            </wp:positionH>
            <wp:positionV relativeFrom="paragraph">
              <wp:posOffset>142240</wp:posOffset>
            </wp:positionV>
            <wp:extent cx="5029200" cy="1646555"/>
            <wp:effectExtent l="0" t="0" r="0" b="0"/>
            <wp:wrapSquare wrapText="bothSides"/>
            <wp:docPr id="65" name="Image4" descr="A green and orang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4" descr="A green and orange graph&#10;&#10;Description automatically generated"/>
                    <pic:cNvPicPr>
                      <a:picLocks noChangeAspect="1" noChangeArrowheads="1"/>
                    </pic:cNvPicPr>
                  </pic:nvPicPr>
                  <pic:blipFill>
                    <a:blip r:embed="rId13"/>
                    <a:stretch>
                      <a:fillRect/>
                    </a:stretch>
                  </pic:blipFill>
                  <pic:spPr bwMode="auto">
                    <a:xfrm>
                      <a:off x="0" y="0"/>
                      <a:ext cx="5029200" cy="1646555"/>
                    </a:xfrm>
                    <a:prstGeom prst="rect">
                      <a:avLst/>
                    </a:prstGeom>
                    <a:noFill/>
                  </pic:spPr>
                </pic:pic>
              </a:graphicData>
            </a:graphic>
          </wp:anchor>
        </w:drawing>
      </w:r>
      <w:r w:rsidRPr="00994382">
        <w:rPr>
          <w:b/>
          <w:bCs/>
        </w:rPr>
        <w:t>Figure 4:</w:t>
      </w:r>
      <w:r w:rsidRPr="00994382">
        <w:t xml:space="preserve"> Weight distribution histograms for the original weight matrix and the </w:t>
      </w:r>
      <w:proofErr w:type="spellStart"/>
      <w:r w:rsidRPr="00994382">
        <w:t>TLoRA</w:t>
      </w:r>
      <w:proofErr w:type="spellEnd"/>
      <w:r w:rsidRPr="00994382">
        <w:t xml:space="preserve"> matrices </w:t>
      </w:r>
      <m:oMath>
        <m:r>
          <w:rPr>
            <w:rFonts w:ascii="Cambria Math" w:hAnsi="Cambria Math"/>
          </w:rPr>
          <m:t>A</m:t>
        </m:r>
      </m:oMath>
      <w:r w:rsidRPr="00994382">
        <w:t xml:space="preserve">, </w:t>
      </w:r>
      <m:oMath>
        <m:r>
          <w:rPr>
            <w:rFonts w:ascii="Cambria Math" w:hAnsi="Cambria Math"/>
          </w:rPr>
          <m:t>B</m:t>
        </m:r>
      </m:oMath>
      <w:r w:rsidRPr="00994382">
        <w:t xml:space="preserve">, and </w:t>
      </w:r>
      <m:oMath>
        <m:r>
          <w:rPr>
            <w:rFonts w:ascii="Cambria Math" w:hAnsi="Cambria Math"/>
          </w:rPr>
          <m:t>C</m:t>
        </m:r>
      </m:oMath>
      <w:r w:rsidRPr="00994382">
        <w:t xml:space="preserve">. The matrices </w:t>
      </w:r>
      <m:oMath>
        <m:r>
          <w:rPr>
            <w:rFonts w:ascii="Cambria Math" w:hAnsi="Cambria Math"/>
          </w:rPr>
          <m:t>A</m:t>
        </m:r>
      </m:oMath>
      <w:r w:rsidRPr="00994382">
        <w:t xml:space="preserve"> and </w:t>
      </w:r>
      <m:oMath>
        <m:r>
          <w:rPr>
            <w:rFonts w:ascii="Cambria Math" w:hAnsi="Cambria Math"/>
          </w:rPr>
          <m:t>C</m:t>
        </m:r>
      </m:oMath>
      <w:r w:rsidRPr="00994382">
        <w:t xml:space="preserve"> are randomly initialized and remain fixed, following a Gaussian distribution. In contrast, the trainable matrix </w:t>
      </w:r>
      <m:oMath>
        <m:r>
          <w:rPr>
            <w:rFonts w:ascii="Cambria Math" w:hAnsi="Cambria Math"/>
          </w:rPr>
          <m:t>B</m:t>
        </m:r>
      </m:oMath>
      <w:r w:rsidRPr="00994382">
        <w:t xml:space="preserve">, which is initialized to zero, evolves during training and adopts a Gaussian-like distribution, highlighting the effectiveness of </w:t>
      </w:r>
      <w:proofErr w:type="spellStart"/>
      <w:r w:rsidRPr="00994382">
        <w:t>TLoRA's</w:t>
      </w:r>
      <w:proofErr w:type="spellEnd"/>
      <w:r w:rsidRPr="00994382">
        <w:t xml:space="preserve"> tri-matrix decomposition.</w:t>
      </w:r>
    </w:p>
    <w:p w14:paraId="07D992FB" w14:textId="2BB8CA4D" w:rsidR="006108B9" w:rsidRDefault="006108B9" w:rsidP="006108B9">
      <w:pPr>
        <w:pStyle w:val="Standard"/>
        <w:widowControl w:val="0"/>
        <w:spacing w:before="200"/>
        <w:jc w:val="both"/>
        <w:rPr>
          <w:b/>
          <w:bCs/>
        </w:rPr>
      </w:pPr>
      <w:r>
        <w:rPr>
          <w:b/>
          <w:bCs/>
          <w:kern w:val="2"/>
        </w:rPr>
        <w:t>5.</w:t>
      </w:r>
      <w:r>
        <w:rPr>
          <w:b/>
          <w:bCs/>
          <w:kern w:val="2"/>
        </w:rPr>
        <w:t>1</w:t>
      </w:r>
      <w:r>
        <w:rPr>
          <w:b/>
          <w:bCs/>
          <w:kern w:val="2"/>
        </w:rPr>
        <w:t xml:space="preserve">. </w:t>
      </w:r>
      <w:proofErr w:type="spellStart"/>
      <w:r>
        <w:rPr>
          <w:b/>
          <w:bCs/>
          <w:kern w:val="2"/>
        </w:rPr>
        <w:t>TLoRA</w:t>
      </w:r>
      <w:proofErr w:type="spellEnd"/>
      <w:r>
        <w:rPr>
          <w:b/>
          <w:bCs/>
          <w:kern w:val="2"/>
        </w:rPr>
        <w:t xml:space="preserve"> </w:t>
      </w:r>
      <w:r>
        <w:rPr>
          <w:b/>
          <w:bCs/>
          <w:kern w:val="2"/>
        </w:rPr>
        <w:t>parameter behavior</w:t>
      </w:r>
    </w:p>
    <w:p w14:paraId="6A8829D7" w14:textId="33BC1711" w:rsidR="00682D14" w:rsidRDefault="002F0D9C" w:rsidP="00682D14">
      <w:pPr>
        <w:pStyle w:val="Standard"/>
        <w:widowControl w:val="0"/>
        <w:spacing w:before="200"/>
        <w:jc w:val="both"/>
        <w:rPr>
          <w:kern w:val="2"/>
        </w:rPr>
      </w:pPr>
      <w:r>
        <w:rPr>
          <w:kern w:val="2"/>
        </w:rPr>
        <w:t>We first</w:t>
      </w:r>
      <w:r w:rsidR="00682D14">
        <w:rPr>
          <w:kern w:val="2"/>
        </w:rPr>
        <w:t xml:space="preserve"> examin</w:t>
      </w:r>
      <w:r>
        <w:rPr>
          <w:kern w:val="2"/>
        </w:rPr>
        <w:t>e</w:t>
      </w:r>
      <w:r w:rsidR="00682D14">
        <w:rPr>
          <w:kern w:val="2"/>
        </w:rPr>
        <w:t xml:space="preserve"> the weight distributions of </w:t>
      </w:r>
      <w:proofErr w:type="spellStart"/>
      <w:r w:rsidR="00682D14">
        <w:rPr>
          <w:kern w:val="2"/>
        </w:rPr>
        <w:t>TLoRA’s</w:t>
      </w:r>
      <w:proofErr w:type="spellEnd"/>
      <w:r w:rsidR="00682D14">
        <w:rPr>
          <w:kern w:val="2"/>
        </w:rPr>
        <w:t xml:space="preserve"> tri-matrix components, as depicted in Figure </w:t>
      </w:r>
      <w:r w:rsidR="00A30A6D">
        <w:rPr>
          <w:kern w:val="2"/>
        </w:rPr>
        <w:t>4</w:t>
      </w:r>
      <w:r w:rsidR="00C21265">
        <w:rPr>
          <w:kern w:val="2"/>
        </w:rPr>
        <w:t xml:space="preserve">. This is </w:t>
      </w:r>
      <w:r w:rsidR="00C21265" w:rsidRPr="00C21265">
        <w:rPr>
          <w:kern w:val="2"/>
        </w:rPr>
        <w:t>con</w:t>
      </w:r>
      <w:r w:rsidR="00C21265">
        <w:rPr>
          <w:kern w:val="2"/>
        </w:rPr>
        <w:t xml:space="preserve">structed </w:t>
      </w:r>
      <w:r w:rsidR="00C21265" w:rsidRPr="00C21265">
        <w:rPr>
          <w:kern w:val="2"/>
        </w:rPr>
        <w:t>for layer 0 and the query (</w:t>
      </w:r>
      <m:oMath>
        <m:r>
          <w:rPr>
            <w:rFonts w:ascii="Cambria Math" w:hAnsi="Cambria Math"/>
            <w:kern w:val="2"/>
          </w:rPr>
          <m:t>q</m:t>
        </m:r>
      </m:oMath>
      <w:r w:rsidR="00C21265" w:rsidRPr="00C21265">
        <w:rPr>
          <w:kern w:val="2"/>
        </w:rPr>
        <w:t>) matrix.</w:t>
      </w:r>
      <w:r w:rsidR="00682D14">
        <w:rPr>
          <w:kern w:val="2"/>
        </w:rPr>
        <w:t xml:space="preserve"> we find clear evidence that the adaptation aligns well with natural statistical properties and maintains stability across updates. Matrices </w:t>
      </w:r>
      <m:oMath>
        <m:r>
          <w:rPr>
            <w:rFonts w:ascii="Cambria Math" w:hAnsi="Cambria Math"/>
            <w:kern w:val="2"/>
          </w:rPr>
          <m:t>A</m:t>
        </m:r>
      </m:oMath>
      <w:r w:rsidR="00682D14">
        <w:rPr>
          <w:kern w:val="2"/>
        </w:rPr>
        <w:t xml:space="preserve"> and </w:t>
      </w:r>
      <m:oMath>
        <m:r>
          <w:rPr>
            <w:rFonts w:ascii="Cambria Math" w:hAnsi="Cambria Math"/>
            <w:kern w:val="2"/>
          </w:rPr>
          <w:lastRenderedPageBreak/>
          <m:t>C</m:t>
        </m:r>
      </m:oMath>
      <w:r w:rsidR="00682D14">
        <w:rPr>
          <w:kern w:val="2"/>
        </w:rPr>
        <w:t xml:space="preserve"> are randomly initialized using a Gaussian distribution to provide a stable, structured space for the low-rank adaptation. This initialization allows </w:t>
      </w:r>
      <m:oMath>
        <m:r>
          <w:rPr>
            <w:rFonts w:ascii="Cambria Math" w:hAnsi="Cambria Math"/>
            <w:kern w:val="2"/>
          </w:rPr>
          <m:t>A</m:t>
        </m:r>
      </m:oMath>
      <w:r w:rsidR="002F550F">
        <w:rPr>
          <w:kern w:val="2"/>
        </w:rPr>
        <w:t xml:space="preserve"> and </w:t>
      </w:r>
      <m:oMath>
        <m:r>
          <w:rPr>
            <w:rFonts w:ascii="Cambria Math" w:hAnsi="Cambria Math"/>
            <w:kern w:val="2"/>
          </w:rPr>
          <m:t>C</m:t>
        </m:r>
      </m:oMath>
      <w:r w:rsidR="00682D14">
        <w:rPr>
          <w:kern w:val="2"/>
        </w:rPr>
        <w:t xml:space="preserve"> to effectively capture diverse input-output interactions while remaining fixed throughout training. In contrast, matrix </w:t>
      </w:r>
      <m:oMath>
        <m:r>
          <w:rPr>
            <w:rFonts w:ascii="Cambria Math" w:hAnsi="Cambria Math"/>
            <w:kern w:val="2"/>
          </w:rPr>
          <m:t>B</m:t>
        </m:r>
      </m:oMath>
      <w:r w:rsidR="00682D14">
        <w:rPr>
          <w:kern w:val="2"/>
        </w:rPr>
        <w:t xml:space="preserve">, which is initialized to zeros, evolves significantly over training. Post-training, the weight distribution of </w:t>
      </w:r>
      <m:oMath>
        <m:r>
          <w:rPr>
            <w:rFonts w:ascii="Cambria Math" w:hAnsi="Cambria Math"/>
            <w:kern w:val="2"/>
          </w:rPr>
          <m:t>B</m:t>
        </m:r>
      </m:oMath>
      <w:r w:rsidR="00682D14">
        <w:rPr>
          <w:kern w:val="2"/>
        </w:rPr>
        <w:t xml:space="preserve"> closely resembles a Gaussian pattern, indicating that it has learned a meaningful structure aligned with task-specific representations.</w:t>
      </w:r>
    </w:p>
    <w:p w14:paraId="04BA1080" w14:textId="77777777" w:rsidR="00682D14" w:rsidRDefault="00682D14" w:rsidP="00682D14">
      <w:pPr>
        <w:pStyle w:val="Standard"/>
        <w:widowControl w:val="0"/>
        <w:spacing w:before="200"/>
        <w:jc w:val="both"/>
      </w:pPr>
    </w:p>
    <w:p w14:paraId="7117A77C" w14:textId="1175F272" w:rsidR="00682D14" w:rsidRDefault="00682D14" w:rsidP="00682D14">
      <w:pPr>
        <w:pStyle w:val="Standard"/>
        <w:widowControl w:val="0"/>
        <w:spacing w:before="200"/>
        <w:jc w:val="both"/>
      </w:pPr>
      <w:r>
        <w:rPr>
          <w:noProof/>
        </w:rPr>
        <w:drawing>
          <wp:anchor distT="0" distB="0" distL="114300" distR="114300" simplePos="0" relativeHeight="251663360" behindDoc="0" locked="0" layoutInCell="0" allowOverlap="1" wp14:anchorId="5B174326" wp14:editId="37C6685A">
            <wp:simplePos x="0" y="0"/>
            <wp:positionH relativeFrom="column">
              <wp:align>center</wp:align>
            </wp:positionH>
            <wp:positionV relativeFrom="paragraph">
              <wp:posOffset>635</wp:posOffset>
            </wp:positionV>
            <wp:extent cx="5029200" cy="1843405"/>
            <wp:effectExtent l="0" t="0" r="0" b="0"/>
            <wp:wrapTopAndBottom/>
            <wp:docPr id="66" name="Image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 descr="A screenshot of a graph&#10;&#10;Description automatically generated"/>
                    <pic:cNvPicPr>
                      <a:picLocks noChangeAspect="1" noChangeArrowheads="1"/>
                    </pic:cNvPicPr>
                  </pic:nvPicPr>
                  <pic:blipFill>
                    <a:blip r:embed="rId14"/>
                    <a:stretch>
                      <a:fillRect/>
                    </a:stretch>
                  </pic:blipFill>
                  <pic:spPr bwMode="auto">
                    <a:xfrm>
                      <a:off x="0" y="0"/>
                      <a:ext cx="5029200" cy="1843405"/>
                    </a:xfrm>
                    <a:prstGeom prst="rect">
                      <a:avLst/>
                    </a:prstGeom>
                    <a:noFill/>
                  </pic:spPr>
                </pic:pic>
              </a:graphicData>
            </a:graphic>
          </wp:anchor>
        </w:drawing>
      </w:r>
      <w:r w:rsidR="005F38B2" w:rsidRPr="005F38B2">
        <w:rPr>
          <w:b/>
          <w:bCs/>
          <w:noProof/>
        </w:rPr>
        <w:t>Figure 5:</w:t>
      </w:r>
      <w:r w:rsidR="005F38B2" w:rsidRPr="005F38B2">
        <w:rPr>
          <w:noProof/>
        </w:rPr>
        <w:t xml:space="preserve"> Evolution of L2 norms for the TLoRA </w:t>
      </w:r>
      <m:oMath>
        <m:r>
          <w:rPr>
            <w:rFonts w:ascii="Cambria Math" w:hAnsi="Cambria Math"/>
            <w:noProof/>
          </w:rPr>
          <m:t>B</m:t>
        </m:r>
      </m:oMath>
      <w:r w:rsidR="005F38B2">
        <w:rPr>
          <w:noProof/>
        </w:rPr>
        <w:t xml:space="preserve"> </w:t>
      </w:r>
      <w:r w:rsidR="005F38B2" w:rsidRPr="005F38B2">
        <w:rPr>
          <w:noProof/>
        </w:rPr>
        <w:t>matri</w:t>
      </w:r>
      <w:r w:rsidR="005F38B2">
        <w:rPr>
          <w:noProof/>
        </w:rPr>
        <w:t>x</w:t>
      </w:r>
      <w:r w:rsidR="005F38B2" w:rsidRPr="005F38B2">
        <w:rPr>
          <w:noProof/>
        </w:rPr>
        <w:t xml:space="preserve"> over training epochs.</w:t>
      </w:r>
    </w:p>
    <w:p w14:paraId="33812799" w14:textId="4CCD7B3B" w:rsidR="00682D14" w:rsidRDefault="00682D14" w:rsidP="00682D14">
      <w:pPr>
        <w:pStyle w:val="Standard"/>
        <w:widowControl w:val="0"/>
        <w:spacing w:before="200"/>
        <w:jc w:val="both"/>
      </w:pPr>
      <w:r>
        <w:rPr>
          <w:kern w:val="2"/>
        </w:rPr>
        <w:t xml:space="preserve">The evolution of </w:t>
      </w:r>
      <w:proofErr w:type="spellStart"/>
      <w:r>
        <w:rPr>
          <w:kern w:val="2"/>
        </w:rPr>
        <w:t>TLoRA's</w:t>
      </w:r>
      <w:proofErr w:type="spellEnd"/>
      <w:r>
        <w:rPr>
          <w:kern w:val="2"/>
        </w:rPr>
        <w:t xml:space="preserve"> L2 norms across training epochs provides further insights into the layer-wise adaptation dynamics, as shown in Figure </w:t>
      </w:r>
      <w:r w:rsidR="00E56E94">
        <w:rPr>
          <w:kern w:val="2"/>
        </w:rPr>
        <w:t>5</w:t>
      </w:r>
      <w:r>
        <w:rPr>
          <w:kern w:val="2"/>
        </w:rPr>
        <w:t xml:space="preserve">. At the start of training (epoch 1), the L2 norms of </w:t>
      </w:r>
      <w:proofErr w:type="spellStart"/>
      <w:r>
        <w:rPr>
          <w:kern w:val="2"/>
        </w:rPr>
        <w:t>TLoRA</w:t>
      </w:r>
      <w:proofErr w:type="spellEnd"/>
      <w:r>
        <w:rPr>
          <w:kern w:val="2"/>
        </w:rPr>
        <w:t xml:space="preserve"> parameters for both the query and value matrices are close to zero, aligning with the initial zero-initialization of matrix </w:t>
      </w:r>
      <m:oMath>
        <m:r>
          <m:rPr>
            <m:sty m:val="p"/>
          </m:rPr>
          <w:rPr>
            <w:rFonts w:ascii="Cambria Math" w:hAnsi="Cambria Math"/>
          </w:rPr>
          <m:t>B</m:t>
        </m:r>
      </m:oMath>
      <w:r>
        <w:rPr>
          <w:kern w:val="2"/>
        </w:rPr>
        <w:t xml:space="preserve"> in TLoRA. This zero starting point ensures that TLoRA begins with minimal influence on the pre-trained model’s output, allowing for a smooth and gradual adaptation to the target task as training progresses.</w:t>
      </w:r>
    </w:p>
    <w:p w14:paraId="09926A25" w14:textId="5DCCF70D" w:rsidR="00682D14" w:rsidRDefault="00682D14" w:rsidP="00682D14">
      <w:pPr>
        <w:pStyle w:val="Standard"/>
        <w:widowControl w:val="0"/>
        <w:spacing w:before="200"/>
        <w:jc w:val="both"/>
        <w:rPr>
          <w:kern w:val="2"/>
        </w:rPr>
      </w:pPr>
      <w:r>
        <w:rPr>
          <w:kern w:val="2"/>
        </w:rPr>
        <w:t xml:space="preserve">As training advances, we observe that the L2 norms increase, but the growth rates vary significantly across layers. This variation suggests that each layer’s query and value projections adapt differently, likely reflecting the differential relevance of specific layers to the given task. The increase in L2 norm values with training indicates that </w:t>
      </w:r>
      <w:proofErr w:type="spellStart"/>
      <w:r>
        <w:rPr>
          <w:kern w:val="2"/>
        </w:rPr>
        <w:t>TLoRA</w:t>
      </w:r>
      <w:proofErr w:type="spellEnd"/>
      <w:r>
        <w:rPr>
          <w:kern w:val="2"/>
        </w:rPr>
        <w:t xml:space="preserve"> is progressively capturing task-specific information, with each layer's </w:t>
      </w:r>
      <w:proofErr w:type="spellStart"/>
      <w:r>
        <w:rPr>
          <w:kern w:val="2"/>
        </w:rPr>
        <w:t>TLoRA</w:t>
      </w:r>
      <w:proofErr w:type="spellEnd"/>
      <w:r>
        <w:rPr>
          <w:kern w:val="2"/>
        </w:rPr>
        <w:t xml:space="preserve"> parameters contributing to a learned adaptation in the low-rank subspace. This dynamic growth in the L2 norms supports our hypothesis that </w:t>
      </w:r>
      <w:proofErr w:type="spellStart"/>
      <w:r>
        <w:rPr>
          <w:kern w:val="2"/>
        </w:rPr>
        <w:t>TLoRA</w:t>
      </w:r>
      <w:proofErr w:type="spellEnd"/>
      <w:r>
        <w:rPr>
          <w:kern w:val="2"/>
        </w:rPr>
        <w:t xml:space="preserve"> efficiently leverages the minimal trainable matrix </w:t>
      </w:r>
      <m:oMath>
        <m:r>
          <m:rPr>
            <m:sty m:val="p"/>
          </m:rPr>
          <w:rPr>
            <w:rFonts w:ascii="Cambria Math" w:hAnsi="Cambria Math"/>
            <w:kern w:val="2"/>
          </w:rPr>
          <m:t>B</m:t>
        </m:r>
        <m:r>
          <m:rPr>
            <m:nor/>
          </m:rPr>
          <w:rPr>
            <w:rFonts w:ascii="Cambria Math" w:hAnsi="Cambria Math"/>
          </w:rPr>
          <m:t> </m:t>
        </m:r>
      </m:oMath>
      <w:r>
        <w:rPr>
          <w:kern w:val="2"/>
        </w:rPr>
        <w:t xml:space="preserve"> to encode essential adaptations without excessive parameter overhead.</w:t>
      </w:r>
      <w:r w:rsidR="00C673EF">
        <w:t xml:space="preserve"> </w:t>
      </w:r>
      <w:r>
        <w:rPr>
          <w:kern w:val="2"/>
        </w:rPr>
        <w:t xml:space="preserve">The pattern observed in the L2 norms confirms that </w:t>
      </w:r>
      <w:proofErr w:type="spellStart"/>
      <w:r>
        <w:rPr>
          <w:kern w:val="2"/>
        </w:rPr>
        <w:t>TLoRA</w:t>
      </w:r>
      <w:proofErr w:type="spellEnd"/>
      <w:r>
        <w:rPr>
          <w:kern w:val="2"/>
        </w:rPr>
        <w:t xml:space="preserve"> is effectively engaging in layer-wise task-specific learning, adapting the low-rank representations as needed for each layer while maintaining efficient parameter utilization. This controlled and progressive adaptation process underscores </w:t>
      </w:r>
      <w:proofErr w:type="spellStart"/>
      <w:r>
        <w:rPr>
          <w:kern w:val="2"/>
        </w:rPr>
        <w:t>TLoRA's</w:t>
      </w:r>
      <w:proofErr w:type="spellEnd"/>
      <w:r>
        <w:rPr>
          <w:kern w:val="2"/>
        </w:rPr>
        <w:t xml:space="preserve"> capability to balance parameter sparsity with effective learning, a key objective in the design of our tri-matrix structure.</w:t>
      </w:r>
    </w:p>
    <w:p w14:paraId="3D3C899E" w14:textId="518D5CCA" w:rsidR="00097A2B" w:rsidRDefault="00097A2B" w:rsidP="00682D14">
      <w:pPr>
        <w:pStyle w:val="Standard"/>
        <w:widowControl w:val="0"/>
        <w:spacing w:before="200"/>
        <w:jc w:val="both"/>
      </w:pPr>
      <w:r>
        <w:rPr>
          <w:kern w:val="2"/>
        </w:rPr>
        <w:t xml:space="preserve">In examining the evolution of </w:t>
      </w:r>
      <w:proofErr w:type="spellStart"/>
      <w:r>
        <w:rPr>
          <w:kern w:val="2"/>
        </w:rPr>
        <w:t>TLoRA’s</w:t>
      </w:r>
      <w:proofErr w:type="spellEnd"/>
      <w:r>
        <w:rPr>
          <w:kern w:val="2"/>
        </w:rPr>
        <w:t xml:space="preserve"> learned scaling factors over epochs, we observe substantial layer-wise variability, as depicted in Figure 6. Initially, each scaling factor starts at 1, providing a uniform impact across layers. However, as training progresses, we see distinct divergence in these factors: some layers show a significant increase in scaling values, while others decrease, reflecting a dynamic, adaptive adjustment based on each layer's contribution to task performance. Furthermore, within each layer, scaling factors differ between the query (</w:t>
      </w:r>
      <m:oMath>
        <m:r>
          <w:rPr>
            <w:rFonts w:ascii="Cambria Math" w:hAnsi="Cambria Math"/>
            <w:kern w:val="2"/>
          </w:rPr>
          <m:t>q</m:t>
        </m:r>
      </m:oMath>
      <w:r>
        <w:rPr>
          <w:kern w:val="2"/>
        </w:rPr>
        <w:t>) and value (</w:t>
      </w:r>
      <m:oMath>
        <m:r>
          <w:rPr>
            <w:rFonts w:ascii="Cambria Math" w:hAnsi="Cambria Math"/>
            <w:kern w:val="2"/>
          </w:rPr>
          <m:t>v</m:t>
        </m:r>
      </m:oMath>
      <w:r>
        <w:rPr>
          <w:kern w:val="2"/>
        </w:rPr>
        <w:t xml:space="preserve">) matrices, suggesting that TLoRA is refining its adaptation granularity to capture the unique functional roles of </w:t>
      </w:r>
      <m:oMath>
        <m:r>
          <w:rPr>
            <w:rFonts w:ascii="Cambria Math" w:hAnsi="Cambria Math"/>
            <w:kern w:val="2"/>
          </w:rPr>
          <m:t>q</m:t>
        </m:r>
      </m:oMath>
      <w:r>
        <w:rPr>
          <w:kern w:val="2"/>
        </w:rPr>
        <w:t xml:space="preserve"> and </w:t>
      </w:r>
      <m:oMath>
        <m:r>
          <w:rPr>
            <w:rFonts w:ascii="Cambria Math" w:hAnsi="Cambria Math"/>
            <w:kern w:val="2"/>
          </w:rPr>
          <m:t>v</m:t>
        </m:r>
      </m:oMath>
      <w:r>
        <w:rPr>
          <w:kern w:val="2"/>
        </w:rPr>
        <w:t xml:space="preserve"> within each layer.</w:t>
      </w:r>
    </w:p>
    <w:p w14:paraId="57477409" w14:textId="4493D737" w:rsidR="00682D14" w:rsidRDefault="009E355A" w:rsidP="00682D14">
      <w:pPr>
        <w:pStyle w:val="Standard"/>
        <w:widowControl w:val="0"/>
        <w:spacing w:before="200"/>
        <w:jc w:val="both"/>
      </w:pPr>
      <w:r>
        <w:rPr>
          <w:noProof/>
        </w:rPr>
        <w:lastRenderedPageBreak/>
        <w:drawing>
          <wp:anchor distT="0" distB="0" distL="114300" distR="114300" simplePos="0" relativeHeight="251674624" behindDoc="0" locked="0" layoutInCell="0" allowOverlap="1" wp14:anchorId="43B60E64" wp14:editId="3A52EF51">
            <wp:simplePos x="0" y="0"/>
            <wp:positionH relativeFrom="column">
              <wp:posOffset>0</wp:posOffset>
            </wp:positionH>
            <wp:positionV relativeFrom="paragraph">
              <wp:posOffset>142240</wp:posOffset>
            </wp:positionV>
            <wp:extent cx="5029200" cy="1828165"/>
            <wp:effectExtent l="0" t="0" r="0" b="0"/>
            <wp:wrapSquare wrapText="bothSides"/>
            <wp:docPr id="67" name="Image6"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 descr="A comparison of a graph&#10;&#10;Description automatically generated with medium confidence"/>
                    <pic:cNvPicPr>
                      <a:picLocks noChangeAspect="1" noChangeArrowheads="1"/>
                    </pic:cNvPicPr>
                  </pic:nvPicPr>
                  <pic:blipFill>
                    <a:blip r:embed="rId15"/>
                    <a:stretch>
                      <a:fillRect/>
                    </a:stretch>
                  </pic:blipFill>
                  <pic:spPr bwMode="auto">
                    <a:xfrm>
                      <a:off x="0" y="0"/>
                      <a:ext cx="5029200" cy="1828165"/>
                    </a:xfrm>
                    <a:prstGeom prst="rect">
                      <a:avLst/>
                    </a:prstGeom>
                    <a:noFill/>
                  </pic:spPr>
                </pic:pic>
              </a:graphicData>
            </a:graphic>
          </wp:anchor>
        </w:drawing>
      </w:r>
      <w:r w:rsidR="005F38B2" w:rsidRPr="005F38B2">
        <w:rPr>
          <w:b/>
          <w:bCs/>
          <w:noProof/>
        </w:rPr>
        <w:t xml:space="preserve">Figure </w:t>
      </w:r>
      <w:r w:rsidR="005F38B2">
        <w:rPr>
          <w:b/>
          <w:bCs/>
          <w:noProof/>
        </w:rPr>
        <w:t>6</w:t>
      </w:r>
      <w:r w:rsidR="005F38B2" w:rsidRPr="005F38B2">
        <w:rPr>
          <w:b/>
          <w:bCs/>
          <w:noProof/>
        </w:rPr>
        <w:t>:</w:t>
      </w:r>
      <w:r w:rsidR="005F38B2" w:rsidRPr="005F38B2">
        <w:rPr>
          <w:noProof/>
        </w:rPr>
        <w:t xml:space="preserve"> Evolution of scaling factors over training epochs for TLoRA. The scaling factors, which are learnable and layer-specific, start from an initial value of 1 and exhibit significant variability across layers.</w:t>
      </w:r>
    </w:p>
    <w:p w14:paraId="2766D944" w14:textId="35C9C1A3" w:rsidR="00682D14" w:rsidRDefault="00682D14" w:rsidP="00682D14">
      <w:pPr>
        <w:pStyle w:val="Standard"/>
        <w:widowControl w:val="0"/>
        <w:spacing w:before="200"/>
        <w:jc w:val="both"/>
      </w:pPr>
      <w:r>
        <w:rPr>
          <w:kern w:val="2"/>
        </w:rPr>
        <w:t xml:space="preserve">This learned variability in scaling factors is a crucial component of </w:t>
      </w:r>
      <w:proofErr w:type="spellStart"/>
      <w:r>
        <w:rPr>
          <w:kern w:val="2"/>
        </w:rPr>
        <w:t>TLoRA’s</w:t>
      </w:r>
      <w:proofErr w:type="spellEnd"/>
      <w:r>
        <w:rPr>
          <w:kern w:val="2"/>
        </w:rPr>
        <w:t xml:space="preserve"> adaptation mechanism. By allowing scaling factors to adjust independently across layers and between </w:t>
      </w:r>
      <m:oMath>
        <m:r>
          <w:rPr>
            <w:rFonts w:ascii="Cambria Math" w:hAnsi="Cambria Math"/>
            <w:kern w:val="2"/>
          </w:rPr>
          <m:t>q</m:t>
        </m:r>
      </m:oMath>
      <w:r w:rsidR="00885158">
        <w:rPr>
          <w:kern w:val="2"/>
        </w:rPr>
        <w:t xml:space="preserve"> and </w:t>
      </w:r>
      <m:oMath>
        <m:r>
          <w:rPr>
            <w:rFonts w:ascii="Cambria Math" w:hAnsi="Cambria Math"/>
            <w:kern w:val="2"/>
          </w:rPr>
          <m:t>v</m:t>
        </m:r>
      </m:oMath>
      <w:r>
        <w:rPr>
          <w:kern w:val="2"/>
        </w:rPr>
        <w:t>, TLoRA dynamically modulates the influence of low-rank updates, enhancing the model's ability to capture task-specific nuances without disrupting pre-trained knowledge. Higher scaling factors in certain layers, for instance, indicate that those layers require more pronounced adaptations, which TLoRA accommodates by increasing the influence of its low-rank component in those areas. Conversely, reduced scaling factors in other layers suggest that minimal alteration is necessary, enabling TLoRA to selectively constrain changes where the pre-trained parameters are already well-aligned with the task.</w:t>
      </w:r>
    </w:p>
    <w:p w14:paraId="2FA9CB63" w14:textId="512B5FE5" w:rsidR="00682D14" w:rsidRDefault="00682D14" w:rsidP="00682D14">
      <w:pPr>
        <w:pStyle w:val="Standard"/>
        <w:widowControl w:val="0"/>
        <w:spacing w:before="200"/>
        <w:jc w:val="both"/>
        <w:rPr>
          <w:kern w:val="2"/>
        </w:rPr>
      </w:pPr>
      <w:r>
        <w:rPr>
          <w:kern w:val="2"/>
        </w:rPr>
        <w:t xml:space="preserve">This layer- and component-wise adaptability confirms </w:t>
      </w:r>
      <w:proofErr w:type="spellStart"/>
      <w:r>
        <w:rPr>
          <w:kern w:val="2"/>
        </w:rPr>
        <w:t>TLoRA’s</w:t>
      </w:r>
      <w:proofErr w:type="spellEnd"/>
      <w:r>
        <w:rPr>
          <w:kern w:val="2"/>
        </w:rPr>
        <w:t xml:space="preserve"> capacity for flexible, fine-grained adjustment, allowing the model to engage in task-specific tuning without excessive parameter growth. The learned scaling factors thus act as a refined control mechanism, optimizing the integration of </w:t>
      </w:r>
      <w:proofErr w:type="spellStart"/>
      <w:r>
        <w:rPr>
          <w:kern w:val="2"/>
        </w:rPr>
        <w:t>TLoRA's</w:t>
      </w:r>
      <w:proofErr w:type="spellEnd"/>
      <w:r>
        <w:rPr>
          <w:kern w:val="2"/>
        </w:rPr>
        <w:t xml:space="preserve"> low-rank components and contributing to its effectiveness as an efficient yet expressive fine-tuning approach.</w:t>
      </w:r>
    </w:p>
    <w:p w14:paraId="65CFAEDB" w14:textId="337AADC1" w:rsidR="00682D14" w:rsidRDefault="00682D14" w:rsidP="00682D14">
      <w:pPr>
        <w:pStyle w:val="Standard"/>
        <w:widowControl w:val="0"/>
        <w:spacing w:before="200"/>
        <w:jc w:val="both"/>
      </w:pPr>
      <w:r>
        <w:rPr>
          <w:kern w:val="2"/>
        </w:rPr>
        <w:t xml:space="preserve">Figure </w:t>
      </w:r>
      <w:r w:rsidR="000C669C">
        <w:rPr>
          <w:kern w:val="2"/>
        </w:rPr>
        <w:t>7</w:t>
      </w:r>
      <w:r>
        <w:rPr>
          <w:kern w:val="2"/>
        </w:rPr>
        <w:t xml:space="preserve"> presents a heatmap of the layer normalization values for the query </w:t>
      </w:r>
      <w:r w:rsidR="009C23AD">
        <w:rPr>
          <w:kern w:val="2"/>
        </w:rPr>
        <w:t>(</w:t>
      </w:r>
      <m:oMath>
        <m:r>
          <w:rPr>
            <w:rFonts w:ascii="Cambria Math" w:hAnsi="Cambria Math"/>
            <w:kern w:val="2"/>
          </w:rPr>
          <m:t>q</m:t>
        </m:r>
      </m:oMath>
      <w:r>
        <w:rPr>
          <w:kern w:val="2"/>
        </w:rPr>
        <w:t xml:space="preserve">) matrices across the tri-matrix components </w:t>
      </w:r>
      <m:oMath>
        <m:r>
          <w:rPr>
            <w:rFonts w:ascii="Cambria Math" w:hAnsi="Cambria Math"/>
            <w:kern w:val="2"/>
          </w:rPr>
          <m:t>A, B, C</m:t>
        </m:r>
      </m:oMath>
      <w:r>
        <w:rPr>
          <w:kern w:val="2"/>
        </w:rPr>
        <w:t xml:space="preserve">. As expected, since matrices </w:t>
      </w:r>
      <m:oMath>
        <m:r>
          <w:rPr>
            <w:rFonts w:ascii="Cambria Math" w:hAnsi="Cambria Math"/>
            <w:kern w:val="2"/>
          </w:rPr>
          <m:t>A</m:t>
        </m:r>
      </m:oMath>
      <w:r>
        <w:rPr>
          <w:kern w:val="2"/>
        </w:rPr>
        <w:t xml:space="preserve"> and </w:t>
      </w:r>
      <m:oMath>
        <m:r>
          <w:rPr>
            <w:rFonts w:ascii="Cambria Math" w:hAnsi="Cambria Math"/>
            <w:kern w:val="2"/>
          </w:rPr>
          <m:t>C</m:t>
        </m:r>
      </m:oMath>
      <w:r>
        <w:rPr>
          <w:kern w:val="2"/>
        </w:rPr>
        <w:t xml:space="preserve"> are randomly initialized and fixed throughout training, we observe minimal to no variability in their layer normalization values, yielding uniform heatmap patterns. This stability reflects that </w:t>
      </w:r>
      <m:oMath>
        <m:r>
          <w:rPr>
            <w:rFonts w:ascii="Cambria Math" w:hAnsi="Cambria Math"/>
            <w:kern w:val="2"/>
          </w:rPr>
          <m:t>A</m:t>
        </m:r>
      </m:oMath>
      <w:r w:rsidR="00D05ED9">
        <w:rPr>
          <w:kern w:val="2"/>
        </w:rPr>
        <w:t xml:space="preserve"> and </w:t>
      </w:r>
      <m:oMath>
        <m:r>
          <w:rPr>
            <w:rFonts w:ascii="Cambria Math" w:hAnsi="Cambria Math"/>
            <w:kern w:val="2"/>
          </w:rPr>
          <m:t>C</m:t>
        </m:r>
      </m:oMath>
      <w:r>
        <w:rPr>
          <w:kern w:val="2"/>
        </w:rPr>
        <w:t xml:space="preserve"> retain their initialized structure and act as static projections, providing stable directions in the parameter space.</w:t>
      </w:r>
    </w:p>
    <w:p w14:paraId="57E2B47E" w14:textId="45B6A4DC" w:rsidR="00682D14" w:rsidRDefault="00682D14" w:rsidP="00682D14">
      <w:pPr>
        <w:pStyle w:val="Standard"/>
        <w:widowControl w:val="0"/>
        <w:spacing w:before="200"/>
        <w:jc w:val="both"/>
        <w:rPr>
          <w:kern w:val="2"/>
        </w:rPr>
      </w:pPr>
      <w:r>
        <w:rPr>
          <w:kern w:val="2"/>
        </w:rPr>
        <w:t xml:space="preserve">In contrast, matrix </w:t>
      </w:r>
      <m:oMath>
        <m:r>
          <w:rPr>
            <w:rFonts w:ascii="Cambria Math" w:hAnsi="Cambria Math"/>
            <w:kern w:val="2"/>
          </w:rPr>
          <m:t>B</m:t>
        </m:r>
      </m:oMath>
      <w:r>
        <w:rPr>
          <w:kern w:val="2"/>
        </w:rPr>
        <w:t xml:space="preserve">, which is trainable, exhibits clear variability across layers in its layer normalization values. This variability indicates that </w:t>
      </w:r>
      <m:oMath>
        <m:r>
          <w:rPr>
            <w:rFonts w:ascii="Cambria Math" w:hAnsi="Cambria Math"/>
            <w:kern w:val="2"/>
          </w:rPr>
          <m:t>B</m:t>
        </m:r>
      </m:oMath>
      <w:r>
        <w:rPr>
          <w:kern w:val="2"/>
        </w:rPr>
        <w:t xml:space="preserve"> adapts dynamically during training, with each layer capturing distinct task-specific transformations. Interestingly, the layers with higher scaling factors, as previously discussed, also show correspondingly higher layer normalization values for </w:t>
      </w:r>
      <m:oMath>
        <m:r>
          <w:rPr>
            <w:rFonts w:ascii="Cambria Math" w:hAnsi="Cambria Math"/>
            <w:kern w:val="2"/>
          </w:rPr>
          <m:t>B</m:t>
        </m:r>
      </m:oMath>
      <w:r>
        <w:rPr>
          <w:kern w:val="2"/>
        </w:rPr>
        <w:t xml:space="preserve">. This relationship suggests that the layers requiring larger adaptations to align with task demands exhibit more pronounced changes in </w:t>
      </w:r>
      <m:oMath>
        <m:r>
          <w:rPr>
            <w:rFonts w:ascii="Cambria Math" w:hAnsi="Cambria Math"/>
            <w:kern w:val="2"/>
          </w:rPr>
          <m:t>B</m:t>
        </m:r>
      </m:oMath>
      <w:r>
        <w:rPr>
          <w:kern w:val="2"/>
        </w:rPr>
        <w:t>, which are reflected both in their scaling factors and in their layer normalization profiles.</w:t>
      </w:r>
    </w:p>
    <w:p w14:paraId="55FACD40" w14:textId="64B46C5D" w:rsidR="00A93E92" w:rsidRPr="00A93E92" w:rsidRDefault="00A93E92" w:rsidP="00682D14">
      <w:pPr>
        <w:pStyle w:val="Standard"/>
        <w:widowControl w:val="0"/>
        <w:spacing w:before="200"/>
        <w:jc w:val="both"/>
      </w:pPr>
      <w:r>
        <w:rPr>
          <w:kern w:val="2"/>
        </w:rPr>
        <w:t xml:space="preserve">These findings reinforce the role of </w:t>
      </w:r>
      <m:oMath>
        <m:r>
          <w:rPr>
            <w:rFonts w:ascii="Cambria Math" w:hAnsi="Cambria Math"/>
            <w:kern w:val="2"/>
          </w:rPr>
          <m:t>B</m:t>
        </m:r>
      </m:oMath>
      <w:r>
        <w:rPr>
          <w:kern w:val="2"/>
        </w:rPr>
        <w:t xml:space="preserve"> as the adaptable core of </w:t>
      </w:r>
      <w:proofErr w:type="spellStart"/>
      <w:r>
        <w:rPr>
          <w:kern w:val="2"/>
        </w:rPr>
        <w:t>TLoRA’s</w:t>
      </w:r>
      <w:proofErr w:type="spellEnd"/>
      <w:r>
        <w:rPr>
          <w:kern w:val="2"/>
        </w:rPr>
        <w:t xml:space="preserve"> low-rank adaptation framework, responding layer by layer to task-specific requirements while leveraging the stable structures provided by </w:t>
      </w:r>
      <m:oMath>
        <m:r>
          <w:rPr>
            <w:rFonts w:ascii="Cambria Math" w:hAnsi="Cambria Math"/>
            <w:kern w:val="2"/>
          </w:rPr>
          <m:t>A</m:t>
        </m:r>
      </m:oMath>
      <w:r>
        <w:rPr>
          <w:kern w:val="2"/>
        </w:rPr>
        <w:t xml:space="preserve"> and </w:t>
      </w:r>
      <m:oMath>
        <m:r>
          <w:rPr>
            <w:rFonts w:ascii="Cambria Math" w:hAnsi="Cambria Math"/>
            <w:kern w:val="2"/>
          </w:rPr>
          <m:t>C</m:t>
        </m:r>
      </m:oMath>
      <w:r>
        <w:rPr>
          <w:kern w:val="2"/>
        </w:rPr>
        <w:t>. The alignment between scaling factors and layer normalization values further highlights TLoRA’s ability to target specific layers for adaptation intensity, enhancing both its flexibility and efficiency in fine-tuning transformer models.</w:t>
      </w:r>
    </w:p>
    <w:p w14:paraId="06DCAB84" w14:textId="5AAC97F4" w:rsidR="00E34CF2" w:rsidRDefault="00E34CF2" w:rsidP="00682D14">
      <w:pPr>
        <w:pStyle w:val="Standard"/>
        <w:widowControl w:val="0"/>
        <w:spacing w:before="200"/>
        <w:jc w:val="both"/>
      </w:pPr>
      <w:r>
        <w:rPr>
          <w:noProof/>
        </w:rPr>
        <w:lastRenderedPageBreak/>
        <w:drawing>
          <wp:anchor distT="0" distB="0" distL="114300" distR="114300" simplePos="0" relativeHeight="251676672" behindDoc="0" locked="0" layoutInCell="1" allowOverlap="1" wp14:anchorId="2A4E63E7" wp14:editId="4B83EE56">
            <wp:simplePos x="0" y="0"/>
            <wp:positionH relativeFrom="column">
              <wp:posOffset>0</wp:posOffset>
            </wp:positionH>
            <wp:positionV relativeFrom="paragraph">
              <wp:posOffset>269240</wp:posOffset>
            </wp:positionV>
            <wp:extent cx="4992370" cy="4893945"/>
            <wp:effectExtent l="0" t="0" r="0" b="0"/>
            <wp:wrapTopAndBottom/>
            <wp:docPr id="68" name="Image7" descr="A graph of layer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7" descr="A graph of layers with number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992370" cy="4893945"/>
                    </a:xfrm>
                    <a:prstGeom prst="rect">
                      <a:avLst/>
                    </a:prstGeom>
                    <a:noFill/>
                  </pic:spPr>
                </pic:pic>
              </a:graphicData>
            </a:graphic>
            <wp14:sizeRelH relativeFrom="page">
              <wp14:pctWidth>0</wp14:pctWidth>
            </wp14:sizeRelH>
            <wp14:sizeRelV relativeFrom="page">
              <wp14:pctHeight>0</wp14:pctHeight>
            </wp14:sizeRelV>
          </wp:anchor>
        </w:drawing>
      </w:r>
    </w:p>
    <w:p w14:paraId="408DC8C4" w14:textId="3F3CEBCE" w:rsidR="00BB0FB7" w:rsidRPr="00316AD8" w:rsidRDefault="00E34CF2" w:rsidP="00682D14">
      <w:pPr>
        <w:pStyle w:val="Standard"/>
        <w:widowControl w:val="0"/>
        <w:spacing w:before="200"/>
        <w:jc w:val="both"/>
      </w:pPr>
      <w:r w:rsidRPr="00D37EE5">
        <w:rPr>
          <w:b/>
          <w:bCs/>
        </w:rPr>
        <w:t>Figure 7:</w:t>
      </w:r>
      <w:r w:rsidRPr="00D37EE5">
        <w:t xml:space="preserve"> Heatmap of layer normalization values for the query (</w:t>
      </w:r>
      <m:oMath>
        <m:r>
          <w:rPr>
            <w:rFonts w:ascii="Cambria Math" w:hAnsi="Cambria Math"/>
          </w:rPr>
          <m:t>q</m:t>
        </m:r>
      </m:oMath>
      <w:r w:rsidRPr="00D37EE5">
        <w:t xml:space="preserve">) matrices across the tri-matrix </w:t>
      </w:r>
      <w:r>
        <w:rPr>
          <w:kern w:val="2"/>
        </w:rPr>
        <w:t xml:space="preserve">components </w:t>
      </w:r>
      <m:oMath>
        <m:r>
          <w:rPr>
            <w:rFonts w:ascii="Cambria Math" w:hAnsi="Cambria Math"/>
            <w:kern w:val="2"/>
          </w:rPr>
          <m:t>A, B, C</m:t>
        </m:r>
      </m:oMath>
      <w:r w:rsidRPr="00D37EE5">
        <w:t xml:space="preserve">. The fixed matrices </w:t>
      </w:r>
      <m:oMath>
        <m:r>
          <w:rPr>
            <w:rFonts w:ascii="Cambria Math" w:hAnsi="Cambria Math"/>
            <w:kern w:val="2"/>
          </w:rPr>
          <m:t>A</m:t>
        </m:r>
      </m:oMath>
      <w:r>
        <w:rPr>
          <w:kern w:val="2"/>
        </w:rPr>
        <w:t xml:space="preserve"> and </w:t>
      </w:r>
      <m:oMath>
        <m:r>
          <w:rPr>
            <w:rFonts w:ascii="Cambria Math" w:hAnsi="Cambria Math"/>
            <w:kern w:val="2"/>
          </w:rPr>
          <m:t>C</m:t>
        </m:r>
      </m:oMath>
      <w:r w:rsidRPr="00D37EE5">
        <w:t xml:space="preserve"> show no variability in their layer normalization values, as expected. In contrast, the trainable matrix BB exhibits significant variability across layers, which corresponds to the learned task-specific adaptations.</w:t>
      </w:r>
    </w:p>
    <w:p w14:paraId="7D5ACF15" w14:textId="77777777" w:rsidR="00682D14" w:rsidRDefault="00682D14" w:rsidP="00682D14">
      <w:pPr>
        <w:pStyle w:val="Standard"/>
        <w:widowControl w:val="0"/>
        <w:spacing w:before="200"/>
        <w:jc w:val="both"/>
        <w:rPr>
          <w:b/>
          <w:bCs/>
        </w:rPr>
      </w:pPr>
      <w:r>
        <w:rPr>
          <w:b/>
          <w:bCs/>
          <w:kern w:val="2"/>
        </w:rPr>
        <w:t xml:space="preserve">5.2. </w:t>
      </w:r>
      <w:proofErr w:type="spellStart"/>
      <w:r>
        <w:rPr>
          <w:b/>
          <w:bCs/>
          <w:kern w:val="2"/>
        </w:rPr>
        <w:t>TLoRA</w:t>
      </w:r>
      <w:proofErr w:type="spellEnd"/>
      <w:r>
        <w:rPr>
          <w:b/>
          <w:bCs/>
          <w:kern w:val="2"/>
        </w:rPr>
        <w:t xml:space="preserve"> resembles </w:t>
      </w:r>
      <w:proofErr w:type="spellStart"/>
      <w:r>
        <w:rPr>
          <w:b/>
          <w:bCs/>
          <w:kern w:val="2"/>
        </w:rPr>
        <w:t>LoRA</w:t>
      </w:r>
      <w:proofErr w:type="spellEnd"/>
    </w:p>
    <w:p w14:paraId="38D3FE5D" w14:textId="41B3A0FD" w:rsidR="002A5DFB" w:rsidRPr="002A5DFB" w:rsidRDefault="00682D14" w:rsidP="002A5DFB">
      <w:pPr>
        <w:pStyle w:val="Standard"/>
        <w:widowControl w:val="0"/>
        <w:spacing w:before="200"/>
        <w:jc w:val="both"/>
        <w:rPr>
          <w:kern w:val="2"/>
        </w:rPr>
      </w:pPr>
      <w:r>
        <w:rPr>
          <w:kern w:val="2"/>
        </w:rPr>
        <w:t xml:space="preserve">To investigate the similarity between </w:t>
      </w:r>
      <w:proofErr w:type="spellStart"/>
      <w:r>
        <w:rPr>
          <w:kern w:val="2"/>
        </w:rPr>
        <w:t>TLoRA</w:t>
      </w:r>
      <w:proofErr w:type="spellEnd"/>
      <w:r>
        <w:rPr>
          <w:kern w:val="2"/>
        </w:rPr>
        <w:t xml:space="preserve"> and </w:t>
      </w:r>
      <w:proofErr w:type="spellStart"/>
      <w:r>
        <w:rPr>
          <w:kern w:val="2"/>
        </w:rPr>
        <w:t>LoRA</w:t>
      </w:r>
      <w:proofErr w:type="spellEnd"/>
      <w:r>
        <w:rPr>
          <w:kern w:val="2"/>
        </w:rPr>
        <w:t xml:space="preserve">, we analyze whether </w:t>
      </w:r>
      <w:proofErr w:type="spellStart"/>
      <w:r>
        <w:rPr>
          <w:kern w:val="2"/>
        </w:rPr>
        <w:t>TLoRA</w:t>
      </w:r>
      <w:proofErr w:type="spellEnd"/>
      <w:r>
        <w:rPr>
          <w:kern w:val="2"/>
        </w:rPr>
        <w:t xml:space="preserve"> follows a comparable update trajectory to that of </w:t>
      </w:r>
      <w:proofErr w:type="spellStart"/>
      <w:r>
        <w:rPr>
          <w:kern w:val="2"/>
        </w:rPr>
        <w:t>LoRA</w:t>
      </w:r>
      <w:proofErr w:type="spellEnd"/>
      <w:r>
        <w:rPr>
          <w:kern w:val="2"/>
        </w:rPr>
        <w:t xml:space="preserve"> during training. Using the same experimental procedure as outlined in the </w:t>
      </w:r>
      <w:proofErr w:type="spellStart"/>
      <w:r>
        <w:rPr>
          <w:kern w:val="2"/>
        </w:rPr>
        <w:t>LoRA</w:t>
      </w:r>
      <w:proofErr w:type="spellEnd"/>
      <w:r>
        <w:rPr>
          <w:kern w:val="2"/>
        </w:rPr>
        <w:t xml:space="preserve"> paper, </w:t>
      </w:r>
      <w:r w:rsidR="00B1382F">
        <w:rPr>
          <w:kern w:val="2"/>
        </w:rPr>
        <w:t xml:space="preserve">we first train a </w:t>
      </w:r>
      <w:proofErr w:type="spellStart"/>
      <w:r w:rsidR="00B1382F">
        <w:rPr>
          <w:kern w:val="2"/>
        </w:rPr>
        <w:t>LoRA</w:t>
      </w:r>
      <w:proofErr w:type="spellEnd"/>
      <w:r w:rsidR="00B1382F">
        <w:rPr>
          <w:kern w:val="2"/>
        </w:rPr>
        <w:t xml:space="preserve"> model. </w:t>
      </w:r>
      <w:r w:rsidR="002A5DFB" w:rsidRPr="002A5DFB">
        <w:t xml:space="preserve">We subsequently evaluate the adaptation dynamics of both </w:t>
      </w:r>
      <w:proofErr w:type="spellStart"/>
      <w:r w:rsidR="002A5DFB" w:rsidRPr="002A5DFB">
        <w:t>LoRA</w:t>
      </w:r>
      <w:proofErr w:type="spellEnd"/>
      <w:r w:rsidR="002A5DFB" w:rsidRPr="002A5DFB">
        <w:t xml:space="preserve"> and </w:t>
      </w:r>
      <w:proofErr w:type="spellStart"/>
      <w:r w:rsidR="002A5DFB" w:rsidRPr="002A5DFB">
        <w:t>TLoRA</w:t>
      </w:r>
      <w:proofErr w:type="spellEnd"/>
      <w:r w:rsidR="002A5DFB" w:rsidRPr="002A5DFB">
        <w:t xml:space="preserve"> methods on the GLUE MRPC dataset, providing a detailed comparison of their behavior and performance during fine-tuning.</w:t>
      </w:r>
    </w:p>
    <w:p w14:paraId="52B9423F" w14:textId="77777777" w:rsidR="002A5DFB" w:rsidRDefault="002A5DFB" w:rsidP="00682D14">
      <w:pPr>
        <w:pStyle w:val="Standard"/>
        <w:widowControl w:val="0"/>
        <w:spacing w:before="200"/>
        <w:jc w:val="both"/>
      </w:pPr>
    </w:p>
    <w:p w14:paraId="3EEC8670" w14:textId="77777777" w:rsidR="00682D14" w:rsidRDefault="00682D14" w:rsidP="00682D14">
      <w:pPr>
        <w:pStyle w:val="Standard"/>
        <w:widowControl w:val="0"/>
        <w:spacing w:before="200"/>
        <w:jc w:val="both"/>
      </w:pPr>
    </w:p>
    <w:p w14:paraId="11CBDC30" w14:textId="19B61B12" w:rsidR="00064503" w:rsidRPr="00064503" w:rsidRDefault="00682D14" w:rsidP="00064503">
      <w:pPr>
        <w:pStyle w:val="Standard"/>
        <w:spacing w:before="200"/>
        <w:jc w:val="both"/>
        <w:rPr>
          <w:noProof/>
        </w:rPr>
      </w:pPr>
      <w:r>
        <w:rPr>
          <w:noProof/>
        </w:rPr>
        <w:lastRenderedPageBreak/>
        <w:drawing>
          <wp:anchor distT="0" distB="0" distL="114300" distR="114300" simplePos="0" relativeHeight="251666432" behindDoc="0" locked="0" layoutInCell="0" allowOverlap="1" wp14:anchorId="6DE7A224" wp14:editId="11918D46">
            <wp:simplePos x="0" y="0"/>
            <wp:positionH relativeFrom="column">
              <wp:align>center</wp:align>
            </wp:positionH>
            <wp:positionV relativeFrom="paragraph">
              <wp:posOffset>635</wp:posOffset>
            </wp:positionV>
            <wp:extent cx="5029200" cy="2103755"/>
            <wp:effectExtent l="0" t="0" r="0" b="0"/>
            <wp:wrapTopAndBottom/>
            <wp:docPr id="69" name="Image8" descr="A graph of a normal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8" descr="A graph of a normal distribution&#10;&#10;Description automatically generated with medium confidence"/>
                    <pic:cNvPicPr>
                      <a:picLocks noChangeAspect="1" noChangeArrowheads="1"/>
                    </pic:cNvPicPr>
                  </pic:nvPicPr>
                  <pic:blipFill>
                    <a:blip r:embed="rId17"/>
                    <a:stretch>
                      <a:fillRect/>
                    </a:stretch>
                  </pic:blipFill>
                  <pic:spPr bwMode="auto">
                    <a:xfrm>
                      <a:off x="0" y="0"/>
                      <a:ext cx="5029200" cy="2103755"/>
                    </a:xfrm>
                    <a:prstGeom prst="rect">
                      <a:avLst/>
                    </a:prstGeom>
                    <a:noFill/>
                  </pic:spPr>
                </pic:pic>
              </a:graphicData>
            </a:graphic>
          </wp:anchor>
        </w:drawing>
      </w:r>
      <w:r w:rsidR="00064503" w:rsidRPr="00064503">
        <w:rPr>
          <w:b/>
          <w:bCs/>
          <w:noProof/>
        </w:rPr>
        <w:t>Figure 8:</w:t>
      </w:r>
      <w:r w:rsidR="00064503" w:rsidRPr="00064503">
        <w:rPr>
          <w:noProof/>
        </w:rPr>
        <w:t xml:space="preserve"> Eigenvalue distributions of the learned parameter updates for TLoRA and LoRA. The figure compares the eigenvalue distributions of the updates for both methods, showing that the distributions closely align in terms of both positive and negative eigenvalues.</w:t>
      </w:r>
    </w:p>
    <w:p w14:paraId="190F26A0" w14:textId="30260FE7" w:rsidR="00682D14" w:rsidRDefault="002B2A10" w:rsidP="00682D14">
      <w:pPr>
        <w:pStyle w:val="Standard"/>
        <w:widowControl w:val="0"/>
        <w:spacing w:before="200"/>
        <w:jc w:val="both"/>
        <w:rPr>
          <w:kern w:val="2"/>
        </w:rPr>
      </w:pPr>
      <w:r w:rsidRPr="00FF291B">
        <w:rPr>
          <w:b/>
          <w:bCs/>
          <w:noProof/>
        </w:rPr>
        <w:drawing>
          <wp:anchor distT="0" distB="0" distL="114300" distR="114300" simplePos="0" relativeHeight="251667456" behindDoc="0" locked="0" layoutInCell="0" allowOverlap="1" wp14:anchorId="57E33767" wp14:editId="33CEDA88">
            <wp:simplePos x="0" y="0"/>
            <wp:positionH relativeFrom="column">
              <wp:posOffset>520700</wp:posOffset>
            </wp:positionH>
            <wp:positionV relativeFrom="paragraph">
              <wp:posOffset>1721318</wp:posOffset>
            </wp:positionV>
            <wp:extent cx="3987165" cy="3180715"/>
            <wp:effectExtent l="0" t="0" r="0" b="0"/>
            <wp:wrapTopAndBottom/>
            <wp:docPr id="7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9"/>
                    <pic:cNvPicPr>
                      <a:picLocks noChangeAspect="1" noChangeArrowheads="1"/>
                    </pic:cNvPicPr>
                  </pic:nvPicPr>
                  <pic:blipFill>
                    <a:blip r:embed="rId18"/>
                    <a:stretch>
                      <a:fillRect/>
                    </a:stretch>
                  </pic:blipFill>
                  <pic:spPr bwMode="auto">
                    <a:xfrm>
                      <a:off x="0" y="0"/>
                      <a:ext cx="3987165" cy="3180715"/>
                    </a:xfrm>
                    <a:prstGeom prst="rect">
                      <a:avLst/>
                    </a:prstGeom>
                    <a:noFill/>
                  </pic:spPr>
                </pic:pic>
              </a:graphicData>
            </a:graphic>
          </wp:anchor>
        </w:drawing>
      </w:r>
      <w:r w:rsidR="00682D14">
        <w:rPr>
          <w:kern w:val="2"/>
        </w:rPr>
        <w:t xml:space="preserve">In Figure </w:t>
      </w:r>
      <w:r w:rsidR="000C669C">
        <w:rPr>
          <w:kern w:val="2"/>
        </w:rPr>
        <w:t>8</w:t>
      </w:r>
      <w:r w:rsidR="00682D14">
        <w:rPr>
          <w:kern w:val="2"/>
        </w:rPr>
        <w:t xml:space="preserve">, we present the eigenvalue distributions of the learned parameter updates for both </w:t>
      </w:r>
      <w:proofErr w:type="spellStart"/>
      <w:r w:rsidR="00682D14">
        <w:rPr>
          <w:kern w:val="2"/>
        </w:rPr>
        <w:t>LoRA</w:t>
      </w:r>
      <w:proofErr w:type="spellEnd"/>
      <w:r w:rsidR="00682D14">
        <w:rPr>
          <w:kern w:val="2"/>
        </w:rPr>
        <w:t xml:space="preserve"> and </w:t>
      </w:r>
      <w:proofErr w:type="spellStart"/>
      <w:r w:rsidR="00682D14">
        <w:rPr>
          <w:kern w:val="2"/>
        </w:rPr>
        <w:t>TLoRA</w:t>
      </w:r>
      <w:proofErr w:type="spellEnd"/>
      <w:r w:rsidR="00682D14">
        <w:rPr>
          <w:kern w:val="2"/>
        </w:rPr>
        <w:t xml:space="preserve">, distinguishing positive and negative eigenvalues by their absolute values. Notably, the distributions align closely between the two methods, with </w:t>
      </w:r>
      <w:proofErr w:type="spellStart"/>
      <w:r w:rsidR="00682D14">
        <w:rPr>
          <w:kern w:val="2"/>
        </w:rPr>
        <w:t>TLoRA’s</w:t>
      </w:r>
      <w:proofErr w:type="spellEnd"/>
      <w:r w:rsidR="00682D14">
        <w:rPr>
          <w:kern w:val="2"/>
        </w:rPr>
        <w:t xml:space="preserve"> eigenvalues closely mirroring the spread and magnitude of </w:t>
      </w:r>
      <w:proofErr w:type="spellStart"/>
      <w:r w:rsidR="00682D14">
        <w:rPr>
          <w:kern w:val="2"/>
        </w:rPr>
        <w:t>LoRA’s</w:t>
      </w:r>
      <w:proofErr w:type="spellEnd"/>
      <w:r w:rsidR="00682D14">
        <w:rPr>
          <w:kern w:val="2"/>
        </w:rPr>
        <w:t xml:space="preserve">. This similarity in eigenvalue behavior suggests that, despite </w:t>
      </w:r>
      <w:proofErr w:type="spellStart"/>
      <w:r w:rsidR="00682D14">
        <w:rPr>
          <w:kern w:val="2"/>
        </w:rPr>
        <w:t>TLoRA's</w:t>
      </w:r>
      <w:proofErr w:type="spellEnd"/>
      <w:r w:rsidR="00682D14">
        <w:rPr>
          <w:kern w:val="2"/>
        </w:rPr>
        <w:t xml:space="preserve"> use of a tri-matrix decomposition and fewer trainable parameters, it </w:t>
      </w:r>
      <w:proofErr w:type="gramStart"/>
      <w:r w:rsidR="00682D14">
        <w:rPr>
          <w:kern w:val="2"/>
        </w:rPr>
        <w:t>is able to</w:t>
      </w:r>
      <w:proofErr w:type="gramEnd"/>
      <w:r w:rsidR="00682D14">
        <w:rPr>
          <w:kern w:val="2"/>
        </w:rPr>
        <w:t xml:space="preserve"> capture the essential directions of adaptation in a manner analogous to </w:t>
      </w:r>
      <w:proofErr w:type="spellStart"/>
      <w:r w:rsidR="00682D14">
        <w:rPr>
          <w:kern w:val="2"/>
        </w:rPr>
        <w:t>LoRA</w:t>
      </w:r>
      <w:proofErr w:type="spellEnd"/>
      <w:r w:rsidR="00682D14">
        <w:rPr>
          <w:kern w:val="2"/>
        </w:rPr>
        <w:t>.</w:t>
      </w:r>
      <w:r>
        <w:t xml:space="preserve"> </w:t>
      </w:r>
      <w:r w:rsidR="00682D14">
        <w:rPr>
          <w:kern w:val="2"/>
        </w:rPr>
        <w:t xml:space="preserve">The resemblance in eigenvalue distributions underscores that </w:t>
      </w:r>
      <w:proofErr w:type="spellStart"/>
      <w:r w:rsidR="00682D14">
        <w:rPr>
          <w:kern w:val="2"/>
        </w:rPr>
        <w:t>TLoRA</w:t>
      </w:r>
      <w:proofErr w:type="spellEnd"/>
      <w:r w:rsidR="00682D14">
        <w:rPr>
          <w:kern w:val="2"/>
        </w:rPr>
        <w:t xml:space="preserve"> achieves an effective and efficient approximation of </w:t>
      </w:r>
      <w:proofErr w:type="spellStart"/>
      <w:r w:rsidR="00682D14">
        <w:rPr>
          <w:kern w:val="2"/>
        </w:rPr>
        <w:t>LoRA’s</w:t>
      </w:r>
      <w:proofErr w:type="spellEnd"/>
      <w:r w:rsidR="00682D14">
        <w:rPr>
          <w:kern w:val="2"/>
        </w:rPr>
        <w:t xml:space="preserve"> adaptation pathway. This observation supports the hypothesis that </w:t>
      </w:r>
      <w:proofErr w:type="spellStart"/>
      <w:r w:rsidR="00682D14">
        <w:rPr>
          <w:kern w:val="2"/>
        </w:rPr>
        <w:t>TLoRA’s</w:t>
      </w:r>
      <w:proofErr w:type="spellEnd"/>
      <w:r w:rsidR="00682D14">
        <w:rPr>
          <w:kern w:val="2"/>
        </w:rPr>
        <w:t xml:space="preserve"> tri-matrix design, even with fixed parameters in </w:t>
      </w:r>
      <m:oMath>
        <m:r>
          <w:rPr>
            <w:rFonts w:ascii="Cambria Math" w:hAnsi="Cambria Math"/>
            <w:kern w:val="2"/>
          </w:rPr>
          <m:t>A</m:t>
        </m:r>
      </m:oMath>
      <w:r w:rsidR="00682D14">
        <w:rPr>
          <w:kern w:val="2"/>
        </w:rPr>
        <w:t xml:space="preserve"> and </w:t>
      </w:r>
      <m:oMath>
        <m:r>
          <w:rPr>
            <w:rFonts w:ascii="Cambria Math" w:hAnsi="Cambria Math"/>
            <w:kern w:val="2"/>
          </w:rPr>
          <m:t>C</m:t>
        </m:r>
      </m:oMath>
      <w:r w:rsidR="00682D14">
        <w:rPr>
          <w:kern w:val="2"/>
        </w:rPr>
        <w:t xml:space="preserve">, </w:t>
      </w:r>
      <w:r w:rsidR="00200DA9">
        <w:rPr>
          <w:kern w:val="2"/>
        </w:rPr>
        <w:t>can reach</w:t>
      </w:r>
      <w:r w:rsidR="00682D14">
        <w:rPr>
          <w:kern w:val="2"/>
        </w:rPr>
        <w:t xml:space="preserve"> a comparable low-rank solution, capturing the core task-specific transformations in a similarly structured manner.</w:t>
      </w:r>
    </w:p>
    <w:p w14:paraId="7DD45F31" w14:textId="50CBB969" w:rsidR="00683A4C" w:rsidRDefault="00683A4C" w:rsidP="00682D14">
      <w:pPr>
        <w:pStyle w:val="Standard"/>
        <w:widowControl w:val="0"/>
        <w:spacing w:before="200"/>
        <w:jc w:val="both"/>
        <w:rPr>
          <w:kern w:val="2"/>
        </w:rPr>
      </w:pPr>
      <w:r w:rsidRPr="00FF291B">
        <w:rPr>
          <w:b/>
          <w:bCs/>
        </w:rPr>
        <w:t>Figure 9:</w:t>
      </w:r>
      <w:r>
        <w:t xml:space="preserve"> </w:t>
      </w:r>
      <w:r w:rsidRPr="00683A4C">
        <w:rPr>
          <w:kern w:val="2"/>
        </w:rPr>
        <w:t xml:space="preserve">The figure shows the element-wise difference of the weight matrices between </w:t>
      </w:r>
      <w:proofErr w:type="spellStart"/>
      <w:r w:rsidRPr="00683A4C">
        <w:rPr>
          <w:kern w:val="2"/>
        </w:rPr>
        <w:t>LoRA</w:t>
      </w:r>
      <w:proofErr w:type="spellEnd"/>
      <w:r w:rsidRPr="00683A4C">
        <w:rPr>
          <w:kern w:val="2"/>
        </w:rPr>
        <w:t xml:space="preserve"> and </w:t>
      </w:r>
      <w:proofErr w:type="spellStart"/>
      <w:r w:rsidRPr="00683A4C">
        <w:rPr>
          <w:kern w:val="2"/>
        </w:rPr>
        <w:t>TLoRA</w:t>
      </w:r>
      <w:proofErr w:type="spellEnd"/>
      <w:r w:rsidRPr="00683A4C">
        <w:rPr>
          <w:kern w:val="2"/>
        </w:rPr>
        <w:t xml:space="preserve"> for a specific layer. The differences are close to zero, indicating that the adaptation behavior of </w:t>
      </w:r>
      <w:proofErr w:type="spellStart"/>
      <w:r w:rsidRPr="00683A4C">
        <w:rPr>
          <w:kern w:val="2"/>
        </w:rPr>
        <w:t>TLoRA</w:t>
      </w:r>
      <w:proofErr w:type="spellEnd"/>
      <w:r w:rsidRPr="00683A4C">
        <w:rPr>
          <w:kern w:val="2"/>
        </w:rPr>
        <w:t xml:space="preserve"> closely resembles that of </w:t>
      </w:r>
      <w:proofErr w:type="spellStart"/>
      <w:r w:rsidRPr="00683A4C">
        <w:rPr>
          <w:kern w:val="2"/>
        </w:rPr>
        <w:t>LoRA</w:t>
      </w:r>
      <w:proofErr w:type="spellEnd"/>
      <w:r>
        <w:rPr>
          <w:kern w:val="2"/>
        </w:rPr>
        <w:t>.</w:t>
      </w:r>
    </w:p>
    <w:p w14:paraId="231F8631" w14:textId="06A3DE00" w:rsidR="00682D14" w:rsidRDefault="00682D14" w:rsidP="00682D14">
      <w:pPr>
        <w:pStyle w:val="Standard"/>
        <w:widowControl w:val="0"/>
        <w:spacing w:before="200"/>
        <w:jc w:val="both"/>
      </w:pPr>
      <w:r>
        <w:rPr>
          <w:kern w:val="2"/>
        </w:rPr>
        <w:lastRenderedPageBreak/>
        <w:t xml:space="preserve">This resemblance between </w:t>
      </w:r>
      <w:proofErr w:type="spellStart"/>
      <w:r>
        <w:rPr>
          <w:kern w:val="2"/>
        </w:rPr>
        <w:t>TLoRA</w:t>
      </w:r>
      <w:proofErr w:type="spellEnd"/>
      <w:r>
        <w:rPr>
          <w:kern w:val="2"/>
        </w:rPr>
        <w:t xml:space="preserve"> and </w:t>
      </w:r>
      <w:proofErr w:type="spellStart"/>
      <w:r>
        <w:rPr>
          <w:kern w:val="2"/>
        </w:rPr>
        <w:t>LoRA</w:t>
      </w:r>
      <w:proofErr w:type="spellEnd"/>
      <w:r>
        <w:rPr>
          <w:kern w:val="2"/>
        </w:rPr>
        <w:t xml:space="preserve"> is further highlighted by examining the element-wise differences between their adaptation matrices. In Figure </w:t>
      </w:r>
      <w:r w:rsidR="000C669C">
        <w:rPr>
          <w:kern w:val="2"/>
        </w:rPr>
        <w:t>9</w:t>
      </w:r>
      <w:r>
        <w:rPr>
          <w:kern w:val="2"/>
        </w:rPr>
        <w:t xml:space="preserve">, we visualize the difference between the </w:t>
      </w:r>
      <w:proofErr w:type="spellStart"/>
      <w:r>
        <w:rPr>
          <w:kern w:val="2"/>
        </w:rPr>
        <w:t>LoRA</w:t>
      </w:r>
      <w:proofErr w:type="spellEnd"/>
      <w:r>
        <w:rPr>
          <w:kern w:val="2"/>
        </w:rPr>
        <w:t xml:space="preserve"> and </w:t>
      </w:r>
      <w:proofErr w:type="spellStart"/>
      <w:r>
        <w:rPr>
          <w:kern w:val="2"/>
        </w:rPr>
        <w:t>TLoRA</w:t>
      </w:r>
      <w:proofErr w:type="spellEnd"/>
      <w:r>
        <w:rPr>
          <w:kern w:val="2"/>
        </w:rPr>
        <w:t xml:space="preserve"> matrices for the query </w:t>
      </w:r>
      <w:r w:rsidR="00CC49DF">
        <w:rPr>
          <w:kern w:val="2"/>
        </w:rPr>
        <w:t>(</w:t>
      </w:r>
      <m:oMath>
        <m:r>
          <w:rPr>
            <w:rFonts w:ascii="Cambria Math" w:hAnsi="Cambria Math"/>
            <w:kern w:val="2"/>
          </w:rPr>
          <m:t>q</m:t>
        </m:r>
      </m:oMath>
      <w:r>
        <w:rPr>
          <w:kern w:val="2"/>
        </w:rPr>
        <w:t>) component in the first layer (layer 0). As shown, the values in the LoRA–TLoRA matrix are close to zero across most elements, indicating minimal divergence between the two methods in their parameter updates at this layer.</w:t>
      </w:r>
    </w:p>
    <w:p w14:paraId="0B6BC99D" w14:textId="3B2EA2B4" w:rsidR="00682D14" w:rsidRDefault="00682D14" w:rsidP="00682D14">
      <w:pPr>
        <w:pStyle w:val="Standard"/>
        <w:widowControl w:val="0"/>
        <w:spacing w:before="200"/>
        <w:jc w:val="both"/>
      </w:pPr>
      <w:r>
        <w:rPr>
          <w:kern w:val="2"/>
        </w:rPr>
        <w:t xml:space="preserve">The near-zero differences suggest that, despite structural distinctions and </w:t>
      </w:r>
      <w:proofErr w:type="spellStart"/>
      <w:r>
        <w:rPr>
          <w:kern w:val="2"/>
        </w:rPr>
        <w:t>TLoRA’s</w:t>
      </w:r>
      <w:proofErr w:type="spellEnd"/>
      <w:r>
        <w:rPr>
          <w:kern w:val="2"/>
        </w:rPr>
        <w:t xml:space="preserve"> added scaling and fixed matrices </w:t>
      </w:r>
      <m:oMath>
        <m:r>
          <w:rPr>
            <w:rFonts w:ascii="Cambria Math" w:hAnsi="Cambria Math"/>
            <w:kern w:val="2"/>
          </w:rPr>
          <m:t>A</m:t>
        </m:r>
      </m:oMath>
      <w:r>
        <w:rPr>
          <w:kern w:val="2"/>
        </w:rPr>
        <w:t xml:space="preserve"> and </w:t>
      </w:r>
      <m:oMath>
        <m:r>
          <w:rPr>
            <w:rFonts w:ascii="Cambria Math" w:hAnsi="Cambria Math"/>
            <w:kern w:val="2"/>
          </w:rPr>
          <m:t>C</m:t>
        </m:r>
      </m:oMath>
      <w:r>
        <w:rPr>
          <w:kern w:val="2"/>
        </w:rPr>
        <w:t>, both methods arrive at similar low-rank parameter adjustments for this layer. This outcome further supports the idea that TLoRA effectively mirrors LoRA’s adaptation without requiring identical parameter configurations, demonstrating that TLoRA can approximate LoRA’s solution while leveraging its tri-matrix design. This similarity highlights TLoRA’s ability to capture the essential adaptation directions in a computationally efficient manner, reinforcing its utility as a low-rank alternative for efficient model fine-tuning.</w:t>
      </w:r>
    </w:p>
    <w:p w14:paraId="41224E46" w14:textId="77777777" w:rsidR="00682D14" w:rsidRDefault="00682D14" w:rsidP="00682D14">
      <w:pPr>
        <w:pStyle w:val="Standard"/>
        <w:widowControl w:val="0"/>
        <w:spacing w:before="200"/>
        <w:jc w:val="both"/>
      </w:pPr>
    </w:p>
    <w:p w14:paraId="5C219CC8" w14:textId="52B892E8" w:rsidR="00682D14" w:rsidRDefault="00682D14" w:rsidP="00682D14">
      <w:pPr>
        <w:pStyle w:val="Standard"/>
        <w:widowControl w:val="0"/>
        <w:spacing w:before="200"/>
        <w:jc w:val="both"/>
      </w:pPr>
      <w:r>
        <w:rPr>
          <w:noProof/>
        </w:rPr>
        <w:drawing>
          <wp:anchor distT="0" distB="0" distL="114300" distR="114300" simplePos="0" relativeHeight="251668480" behindDoc="0" locked="0" layoutInCell="0" allowOverlap="1" wp14:anchorId="70DB4DA8" wp14:editId="17E5761F">
            <wp:simplePos x="0" y="0"/>
            <wp:positionH relativeFrom="column">
              <wp:align>center</wp:align>
            </wp:positionH>
            <wp:positionV relativeFrom="paragraph">
              <wp:posOffset>635</wp:posOffset>
            </wp:positionV>
            <wp:extent cx="5029200" cy="4917440"/>
            <wp:effectExtent l="0" t="0" r="0" b="0"/>
            <wp:wrapTopAndBottom/>
            <wp:docPr id="71" name="Image10" descr="A red and blu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10" descr="A red and blue graph&#10;&#10;Description automatically generated"/>
                    <pic:cNvPicPr>
                      <a:picLocks noChangeAspect="1" noChangeArrowheads="1"/>
                    </pic:cNvPicPr>
                  </pic:nvPicPr>
                  <pic:blipFill>
                    <a:blip r:embed="rId19"/>
                    <a:stretch>
                      <a:fillRect/>
                    </a:stretch>
                  </pic:blipFill>
                  <pic:spPr bwMode="auto">
                    <a:xfrm>
                      <a:off x="0" y="0"/>
                      <a:ext cx="5029200" cy="4917440"/>
                    </a:xfrm>
                    <a:prstGeom prst="rect">
                      <a:avLst/>
                    </a:prstGeom>
                    <a:noFill/>
                  </pic:spPr>
                </pic:pic>
              </a:graphicData>
            </a:graphic>
          </wp:anchor>
        </w:drawing>
      </w:r>
      <w:r w:rsidR="00686623" w:rsidRPr="00686623">
        <w:rPr>
          <w:b/>
          <w:bCs/>
          <w:noProof/>
        </w:rPr>
        <w:t>Figure 10:</w:t>
      </w:r>
      <w:r w:rsidR="00686623" w:rsidRPr="00686623">
        <w:rPr>
          <w:noProof/>
        </w:rPr>
        <w:t xml:space="preserve"> Cosine similarity values across all layers for the query (q) and value (v) attention components between TLoRA and LoRA.</w:t>
      </w:r>
    </w:p>
    <w:p w14:paraId="75CC8A77" w14:textId="776C2322" w:rsidR="00682D14" w:rsidRDefault="00682D14" w:rsidP="0011398A">
      <w:pPr>
        <w:pStyle w:val="Standard"/>
        <w:widowControl w:val="0"/>
        <w:spacing w:before="200"/>
        <w:jc w:val="both"/>
      </w:pPr>
      <w:r>
        <w:rPr>
          <w:kern w:val="2"/>
        </w:rPr>
        <w:t xml:space="preserve">To further quantify the similarity between </w:t>
      </w:r>
      <w:proofErr w:type="spellStart"/>
      <w:r>
        <w:rPr>
          <w:kern w:val="2"/>
        </w:rPr>
        <w:t>LoRA</w:t>
      </w:r>
      <w:proofErr w:type="spellEnd"/>
      <w:r>
        <w:rPr>
          <w:kern w:val="2"/>
        </w:rPr>
        <w:t xml:space="preserve"> and </w:t>
      </w:r>
      <w:proofErr w:type="spellStart"/>
      <w:r>
        <w:rPr>
          <w:kern w:val="2"/>
        </w:rPr>
        <w:t>TLoRA</w:t>
      </w:r>
      <w:proofErr w:type="spellEnd"/>
      <w:r>
        <w:rPr>
          <w:kern w:val="2"/>
        </w:rPr>
        <w:t xml:space="preserve">, we calculate the cosine similarity between their learned parameter updates across all layers for both the query </w:t>
      </w:r>
      <w:r w:rsidR="00CA122C">
        <w:rPr>
          <w:kern w:val="2"/>
        </w:rPr>
        <w:t>(</w:t>
      </w:r>
      <m:oMath>
        <m:r>
          <w:rPr>
            <w:rFonts w:ascii="Cambria Math" w:hAnsi="Cambria Math"/>
            <w:kern w:val="2"/>
          </w:rPr>
          <m:t>q</m:t>
        </m:r>
      </m:oMath>
      <w:r>
        <w:rPr>
          <w:kern w:val="2"/>
        </w:rPr>
        <w:t>) and value (</w:t>
      </w:r>
      <m:oMath>
        <m:r>
          <w:rPr>
            <w:rFonts w:ascii="Cambria Math" w:hAnsi="Cambria Math"/>
            <w:kern w:val="2"/>
          </w:rPr>
          <m:t>v</m:t>
        </m:r>
      </m:oMath>
      <w:r>
        <w:rPr>
          <w:kern w:val="2"/>
        </w:rPr>
        <w:t xml:space="preserve">) attention components. As shown in Figure </w:t>
      </w:r>
      <w:r w:rsidR="000C669C">
        <w:rPr>
          <w:kern w:val="2"/>
        </w:rPr>
        <w:t>10</w:t>
      </w:r>
      <w:r>
        <w:rPr>
          <w:kern w:val="2"/>
        </w:rPr>
        <w:t xml:space="preserve">, the cosine similarity values are consistently close to 1 across layers, indicating a high degree of alignment in the adaptation directions achieved by </w:t>
      </w:r>
      <w:proofErr w:type="spellStart"/>
      <w:r>
        <w:rPr>
          <w:kern w:val="2"/>
        </w:rPr>
        <w:lastRenderedPageBreak/>
        <w:t>TLoRA</w:t>
      </w:r>
      <w:proofErr w:type="spellEnd"/>
      <w:r>
        <w:rPr>
          <w:kern w:val="2"/>
        </w:rPr>
        <w:t xml:space="preserve"> compared to </w:t>
      </w:r>
      <w:proofErr w:type="spellStart"/>
      <w:r>
        <w:rPr>
          <w:kern w:val="2"/>
        </w:rPr>
        <w:t>LoRA</w:t>
      </w:r>
      <w:proofErr w:type="spellEnd"/>
      <w:r>
        <w:rPr>
          <w:kern w:val="2"/>
        </w:rPr>
        <w:t>.</w:t>
      </w:r>
      <w:r w:rsidR="0011398A">
        <w:rPr>
          <w:kern w:val="2"/>
        </w:rPr>
        <w:t xml:space="preserve"> </w:t>
      </w:r>
      <w:r>
        <w:t xml:space="preserve">This high similarity suggests that, despite </w:t>
      </w:r>
      <w:proofErr w:type="spellStart"/>
      <w:r>
        <w:t>TLoRA’s</w:t>
      </w:r>
      <w:proofErr w:type="spellEnd"/>
      <w:r>
        <w:t xml:space="preserve"> unique tri-matrix decomposition with two fixed matrices and a learnable scaling factor, it effectively approximates the directional adjustments made by </w:t>
      </w:r>
      <w:proofErr w:type="spellStart"/>
      <w:r>
        <w:t>LoRA</w:t>
      </w:r>
      <w:proofErr w:type="spellEnd"/>
      <w:r>
        <w:t xml:space="preserve">. The close alignment for both </w:t>
      </w:r>
      <w:r w:rsidR="00CA122C">
        <w:rPr>
          <w:kern w:val="2"/>
        </w:rPr>
        <w:t>(</w:t>
      </w:r>
      <m:oMath>
        <m:r>
          <w:rPr>
            <w:rFonts w:ascii="Cambria Math" w:hAnsi="Cambria Math"/>
            <w:kern w:val="2"/>
          </w:rPr>
          <m:t>q</m:t>
        </m:r>
      </m:oMath>
      <w:r w:rsidR="00CA122C">
        <w:rPr>
          <w:kern w:val="2"/>
        </w:rPr>
        <w:t>) and (</w:t>
      </w:r>
      <m:oMath>
        <m:r>
          <w:rPr>
            <w:rFonts w:ascii="Cambria Math" w:hAnsi="Cambria Math"/>
            <w:kern w:val="2"/>
          </w:rPr>
          <m:t>v</m:t>
        </m:r>
      </m:oMath>
      <w:r w:rsidR="00CA122C">
        <w:rPr>
          <w:kern w:val="2"/>
        </w:rPr>
        <w:t xml:space="preserve">) </w:t>
      </w:r>
      <w:r>
        <w:t xml:space="preserve">components indicates that </w:t>
      </w:r>
      <w:proofErr w:type="spellStart"/>
      <w:r>
        <w:t>TLoRA</w:t>
      </w:r>
      <w:proofErr w:type="spellEnd"/>
      <w:r>
        <w:t xml:space="preserve"> captures the essential transformations required for task-specific adaptation in a manner nearly indistinguishable from </w:t>
      </w:r>
      <w:proofErr w:type="spellStart"/>
      <w:r>
        <w:t>LoRA</w:t>
      </w:r>
      <w:proofErr w:type="spellEnd"/>
      <w:r>
        <w:t>.</w:t>
      </w:r>
    </w:p>
    <w:p w14:paraId="42E8E201" w14:textId="77777777" w:rsidR="00682D14" w:rsidRDefault="00682D14" w:rsidP="00682D14">
      <w:pPr>
        <w:pStyle w:val="Standard"/>
        <w:widowControl w:val="0"/>
        <w:spacing w:before="200"/>
        <w:jc w:val="both"/>
      </w:pPr>
      <w:r>
        <w:rPr>
          <w:kern w:val="2"/>
        </w:rPr>
        <w:t xml:space="preserve">These findings provide strong evidence that </w:t>
      </w:r>
      <w:proofErr w:type="spellStart"/>
      <w:r>
        <w:rPr>
          <w:kern w:val="2"/>
        </w:rPr>
        <w:t>TLoRA</w:t>
      </w:r>
      <w:proofErr w:type="spellEnd"/>
      <w:r>
        <w:rPr>
          <w:kern w:val="2"/>
        </w:rPr>
        <w:t xml:space="preserve"> replicates </w:t>
      </w:r>
      <w:proofErr w:type="spellStart"/>
      <w:r>
        <w:rPr>
          <w:kern w:val="2"/>
        </w:rPr>
        <w:t>LoRA’s</w:t>
      </w:r>
      <w:proofErr w:type="spellEnd"/>
      <w:r>
        <w:rPr>
          <w:kern w:val="2"/>
        </w:rPr>
        <w:t xml:space="preserve"> core adaptation behavior, achieving comparable fine-tuning efficiency and effectiveness. By capturing the same key parameter shifts, </w:t>
      </w:r>
      <w:proofErr w:type="spellStart"/>
      <w:r>
        <w:rPr>
          <w:kern w:val="2"/>
        </w:rPr>
        <w:t>TLoRA</w:t>
      </w:r>
      <w:proofErr w:type="spellEnd"/>
      <w:r>
        <w:rPr>
          <w:kern w:val="2"/>
        </w:rPr>
        <w:t xml:space="preserve"> demonstrates that it </w:t>
      </w:r>
      <w:proofErr w:type="gramStart"/>
      <w:r>
        <w:rPr>
          <w:kern w:val="2"/>
        </w:rPr>
        <w:t>is capable of maintaining</w:t>
      </w:r>
      <w:proofErr w:type="gramEnd"/>
      <w:r>
        <w:rPr>
          <w:kern w:val="2"/>
        </w:rPr>
        <w:t xml:space="preserve"> </w:t>
      </w:r>
      <w:proofErr w:type="spellStart"/>
      <w:r>
        <w:rPr>
          <w:kern w:val="2"/>
        </w:rPr>
        <w:t>LoRA</w:t>
      </w:r>
      <w:proofErr w:type="spellEnd"/>
      <w:r>
        <w:rPr>
          <w:kern w:val="2"/>
        </w:rPr>
        <w:t xml:space="preserve">-like performance even with its modified, parameter-efficient architecture. This alignment highlights </w:t>
      </w:r>
      <w:proofErr w:type="spellStart"/>
      <w:r>
        <w:rPr>
          <w:kern w:val="2"/>
        </w:rPr>
        <w:t>TLoRA’s</w:t>
      </w:r>
      <w:proofErr w:type="spellEnd"/>
      <w:r>
        <w:rPr>
          <w:kern w:val="2"/>
        </w:rPr>
        <w:t xml:space="preserve"> potential as a resource-efficient fine-tuning strategy that can emulate the effectiveness of traditional low-rank adaptations.</w:t>
      </w:r>
    </w:p>
    <w:p w14:paraId="2628B6AD" w14:textId="3B2C4333" w:rsidR="0009211F" w:rsidRPr="0009211F" w:rsidRDefault="0009211F" w:rsidP="0009211F">
      <w:pPr>
        <w:pStyle w:val="ListParagraph"/>
        <w:numPr>
          <w:ilvl w:val="0"/>
          <w:numId w:val="2"/>
        </w:numPr>
        <w:spacing w:before="200" w:after="120"/>
        <w:jc w:val="both"/>
        <w:textAlignment w:val="auto"/>
        <w:rPr>
          <w:b/>
          <w:bCs/>
          <w:kern w:val="2"/>
          <w:sz w:val="24"/>
          <w:szCs w:val="24"/>
        </w:rPr>
      </w:pPr>
      <w:r w:rsidRPr="0009211F">
        <w:rPr>
          <w:b/>
          <w:bCs/>
          <w:kern w:val="2"/>
          <w:sz w:val="24"/>
          <w:szCs w:val="24"/>
        </w:rPr>
        <w:t>Conclusion</w:t>
      </w:r>
    </w:p>
    <w:p w14:paraId="33C662B5" w14:textId="4964AE6F" w:rsidR="00682D14" w:rsidRDefault="00682D14" w:rsidP="00682D14">
      <w:pPr>
        <w:pStyle w:val="Standard"/>
        <w:jc w:val="both"/>
      </w:pPr>
      <w:r>
        <w:t>Building on the foundational work of Low-Rank Adaptation (</w:t>
      </w:r>
      <w:proofErr w:type="spellStart"/>
      <w:r>
        <w:t>LoRA</w:t>
      </w:r>
      <w:proofErr w:type="spellEnd"/>
      <w:r>
        <w:t xml:space="preserve">), we introduce </w:t>
      </w:r>
      <w:proofErr w:type="spellStart"/>
      <w:r>
        <w:t>TLoRA</w:t>
      </w:r>
      <w:proofErr w:type="spellEnd"/>
      <w:r>
        <w:t>, a novel fine-tuning technique designed to enhance model adaptability and performance with computational efficiency.</w:t>
      </w:r>
      <w:r w:rsidR="0018284E">
        <w:t xml:space="preserve"> </w:t>
      </w:r>
      <w:proofErr w:type="spellStart"/>
      <w:r>
        <w:t>TLoRA</w:t>
      </w:r>
      <w:proofErr w:type="spellEnd"/>
      <w:r>
        <w:t xml:space="preserve"> introduces a tri-matrix decomposition to adapt pre-trained language models, utilizing the matrices </w:t>
      </w:r>
      <w:bookmarkStart w:id="3" w:name="_Hlk184546375"/>
      <m:oMath>
        <m:r>
          <w:rPr>
            <w:rFonts w:ascii="Cambria Math" w:hAnsi="Cambria Math"/>
          </w:rPr>
          <m:t>A, B, C</m:t>
        </m:r>
      </m:oMath>
      <w:bookmarkEnd w:id="3"/>
      <w:r>
        <w:t xml:space="preserve"> to compute a low-rank update to the model's weights. The contribution of this update is controlled by a trainable scaling factor </w:t>
      </w:r>
      <m:oMath>
        <m:r>
          <m:rPr>
            <m:sty m:val="p"/>
          </m:rPr>
          <w:rPr>
            <w:rFonts w:ascii="Cambria Math" w:hAnsi="Cambria Math"/>
          </w:rPr>
          <m:t>α</m:t>
        </m:r>
      </m:oMath>
      <w:r>
        <w:t xml:space="preserve">, which is learned during training. This approach strikes a balance between computational efficiency and adaptation flexibility, enabling effective model fine-tuning with a minimal increase in parameters. By using non-trainable matrices </w:t>
      </w:r>
      <m:oMath>
        <m:r>
          <w:rPr>
            <w:rFonts w:ascii="Cambria Math" w:hAnsi="Cambria Math"/>
          </w:rPr>
          <m:t>A</m:t>
        </m:r>
      </m:oMath>
      <w:r>
        <w:t xml:space="preserve"> and </w:t>
      </w:r>
      <m:oMath>
        <m:r>
          <w:rPr>
            <w:rFonts w:ascii="Cambria Math" w:hAnsi="Cambria Math"/>
          </w:rPr>
          <m:t>C</m:t>
        </m:r>
      </m:oMath>
      <w:r w:rsidR="00DF253A">
        <w:t xml:space="preserve"> </w:t>
      </w:r>
      <w:r>
        <w:t xml:space="preserve">and allowing </w:t>
      </w:r>
      <m:oMath>
        <m:r>
          <w:rPr>
            <w:rFonts w:ascii="Cambria Math" w:hAnsi="Cambria Math"/>
          </w:rPr>
          <m:t>B</m:t>
        </m:r>
      </m:oMath>
      <w:r>
        <w:t xml:space="preserve"> to be trainable, TLoRA enables efficient adaptation while maintaining the core functionality of the original pre-trained model.</w:t>
      </w:r>
    </w:p>
    <w:p w14:paraId="5CC59ADC" w14:textId="77777777" w:rsidR="00682D14" w:rsidRDefault="00682D14" w:rsidP="00682D14">
      <w:pPr>
        <w:pStyle w:val="Standard"/>
        <w:jc w:val="both"/>
      </w:pPr>
    </w:p>
    <w:p w14:paraId="23D2D359" w14:textId="3684A9C6" w:rsidR="00682D14" w:rsidRDefault="00682D14" w:rsidP="00682D14">
      <w:pPr>
        <w:pStyle w:val="Standard"/>
        <w:jc w:val="both"/>
      </w:pPr>
      <w:proofErr w:type="spellStart"/>
      <w:r>
        <w:t>TLoRA</w:t>
      </w:r>
      <w:proofErr w:type="spellEnd"/>
      <w:r>
        <w:t xml:space="preserve"> offers a robust and efficient method for fine-tuning large language models, pushing the boundaries of model adaptability and performance. This novel approach showcases the potential for extending low-rank adaptation techniques to achieve greater efficiency and effectiveness in the evolving landscape of large language models.</w:t>
      </w:r>
    </w:p>
    <w:p w14:paraId="6A02C69C" w14:textId="77777777" w:rsidR="00682D14" w:rsidRDefault="00682D14" w:rsidP="00682D14">
      <w:pPr>
        <w:pStyle w:val="Standard"/>
        <w:widowControl w:val="0"/>
        <w:spacing w:before="240" w:after="40" w:line="218" w:lineRule="auto"/>
      </w:pPr>
      <w:r>
        <w:rPr>
          <w:b/>
          <w:bCs/>
          <w:kern w:val="2"/>
          <w:sz w:val="24"/>
          <w:szCs w:val="24"/>
        </w:rPr>
        <w:t>References</w:t>
      </w:r>
    </w:p>
    <w:p w14:paraId="078A413E" w14:textId="77777777" w:rsidR="00682D14" w:rsidRDefault="00682D14" w:rsidP="00682D14">
      <w:pPr>
        <w:pStyle w:val="Standard"/>
      </w:pPr>
    </w:p>
    <w:p w14:paraId="48D9AC8D" w14:textId="77777777" w:rsidR="00A30A6D" w:rsidRPr="00A30A6D" w:rsidRDefault="006101B8" w:rsidP="00A30A6D">
      <w:pPr>
        <w:pStyle w:val="Bibliography"/>
        <w:rPr>
          <w:rFonts w:eastAsiaTheme="minorHAnsi"/>
        </w:rPr>
      </w:pPr>
      <w:r>
        <w:fldChar w:fldCharType="begin"/>
      </w:r>
      <w:r w:rsidR="00A30A6D">
        <w:instrText xml:space="preserve"> ADDIN ZOTERO_BIBL {"uncited":[],"omitted":[],"custom":[]} CSL_BIBLIOGRAPHY </w:instrText>
      </w:r>
      <w:r>
        <w:fldChar w:fldCharType="separate"/>
      </w:r>
      <w:r w:rsidR="00A30A6D" w:rsidRPr="00A30A6D">
        <w:rPr>
          <w:rFonts w:eastAsiaTheme="minorHAnsi"/>
        </w:rPr>
        <w:t xml:space="preserve">Brown, Tom B. 2020. “Language Models Are Few-Shot Learners.” </w:t>
      </w:r>
      <w:proofErr w:type="spellStart"/>
      <w:r w:rsidR="00A30A6D" w:rsidRPr="00A30A6D">
        <w:rPr>
          <w:rFonts w:eastAsiaTheme="minorHAnsi"/>
          <w:i/>
          <w:iCs/>
        </w:rPr>
        <w:t>arXiv</w:t>
      </w:r>
      <w:proofErr w:type="spellEnd"/>
      <w:r w:rsidR="00A30A6D" w:rsidRPr="00A30A6D">
        <w:rPr>
          <w:rFonts w:eastAsiaTheme="minorHAnsi"/>
          <w:i/>
          <w:iCs/>
        </w:rPr>
        <w:t xml:space="preserve"> Preprint arXiv:2005.14165</w:t>
      </w:r>
      <w:r w:rsidR="00A30A6D" w:rsidRPr="00A30A6D">
        <w:rPr>
          <w:rFonts w:eastAsiaTheme="minorHAnsi"/>
        </w:rPr>
        <w:t>.</w:t>
      </w:r>
    </w:p>
    <w:p w14:paraId="61BD6E98" w14:textId="77777777" w:rsidR="00A30A6D" w:rsidRPr="00A30A6D" w:rsidRDefault="00A30A6D" w:rsidP="00A30A6D">
      <w:pPr>
        <w:pStyle w:val="Bibliography"/>
        <w:rPr>
          <w:rFonts w:eastAsiaTheme="minorHAnsi"/>
        </w:rPr>
      </w:pPr>
      <w:r w:rsidRPr="00A30A6D">
        <w:rPr>
          <w:rFonts w:eastAsiaTheme="minorHAnsi"/>
        </w:rPr>
        <w:t xml:space="preserve">Chen, </w:t>
      </w:r>
      <w:proofErr w:type="spellStart"/>
      <w:r w:rsidRPr="00A30A6D">
        <w:rPr>
          <w:rFonts w:eastAsiaTheme="minorHAnsi"/>
        </w:rPr>
        <w:t>Zezhou</w:t>
      </w:r>
      <w:proofErr w:type="spellEnd"/>
      <w:r w:rsidRPr="00A30A6D">
        <w:rPr>
          <w:rFonts w:eastAsiaTheme="minorHAnsi"/>
        </w:rPr>
        <w:t xml:space="preserve">, </w:t>
      </w:r>
      <w:proofErr w:type="spellStart"/>
      <w:r w:rsidRPr="00A30A6D">
        <w:rPr>
          <w:rFonts w:eastAsiaTheme="minorHAnsi"/>
        </w:rPr>
        <w:t>Zhaoxiang</w:t>
      </w:r>
      <w:proofErr w:type="spellEnd"/>
      <w:r w:rsidRPr="00A30A6D">
        <w:rPr>
          <w:rFonts w:eastAsiaTheme="minorHAnsi"/>
        </w:rPr>
        <w:t xml:space="preserve"> Liu, Kai Wang, and </w:t>
      </w:r>
      <w:proofErr w:type="spellStart"/>
      <w:r w:rsidRPr="00A30A6D">
        <w:rPr>
          <w:rFonts w:eastAsiaTheme="minorHAnsi"/>
        </w:rPr>
        <w:t>Shiguo</w:t>
      </w:r>
      <w:proofErr w:type="spellEnd"/>
      <w:r w:rsidRPr="00A30A6D">
        <w:rPr>
          <w:rFonts w:eastAsiaTheme="minorHAnsi"/>
        </w:rPr>
        <w:t xml:space="preserve"> Lian. 2024. “Reparameterization-Based Parameter-Efficient Fine-Tuning Methods for Large Language Models: A Systematic Survey.” In </w:t>
      </w:r>
      <w:r w:rsidRPr="00A30A6D">
        <w:rPr>
          <w:rFonts w:eastAsiaTheme="minorHAnsi"/>
          <w:i/>
          <w:iCs/>
        </w:rPr>
        <w:t>CCF International Conference on Natural Language Processing and Chinese Computing</w:t>
      </w:r>
      <w:r w:rsidRPr="00A30A6D">
        <w:rPr>
          <w:rFonts w:eastAsiaTheme="minorHAnsi"/>
        </w:rPr>
        <w:t>, 107–18. Springer.</w:t>
      </w:r>
    </w:p>
    <w:p w14:paraId="3B48A119" w14:textId="77777777" w:rsidR="00A30A6D" w:rsidRPr="00A30A6D" w:rsidRDefault="00A30A6D" w:rsidP="00A30A6D">
      <w:pPr>
        <w:pStyle w:val="Bibliography"/>
        <w:rPr>
          <w:rFonts w:eastAsiaTheme="minorHAnsi"/>
        </w:rPr>
      </w:pPr>
      <w:r w:rsidRPr="00A30A6D">
        <w:rPr>
          <w:rFonts w:eastAsiaTheme="minorHAnsi"/>
        </w:rPr>
        <w:t xml:space="preserve">Chung, Hyung Won, Le Hou, Shayne </w:t>
      </w:r>
      <w:proofErr w:type="spellStart"/>
      <w:r w:rsidRPr="00A30A6D">
        <w:rPr>
          <w:rFonts w:eastAsiaTheme="minorHAnsi"/>
        </w:rPr>
        <w:t>Longpre</w:t>
      </w:r>
      <w:proofErr w:type="spellEnd"/>
      <w:r w:rsidRPr="00A30A6D">
        <w:rPr>
          <w:rFonts w:eastAsiaTheme="minorHAnsi"/>
        </w:rPr>
        <w:t xml:space="preserve">, Barret </w:t>
      </w:r>
      <w:proofErr w:type="spellStart"/>
      <w:r w:rsidRPr="00A30A6D">
        <w:rPr>
          <w:rFonts w:eastAsiaTheme="minorHAnsi"/>
        </w:rPr>
        <w:t>Zoph</w:t>
      </w:r>
      <w:proofErr w:type="spellEnd"/>
      <w:r w:rsidRPr="00A30A6D">
        <w:rPr>
          <w:rFonts w:eastAsiaTheme="minorHAnsi"/>
        </w:rPr>
        <w:t xml:space="preserve">, Yi Tay, William </w:t>
      </w:r>
      <w:proofErr w:type="spellStart"/>
      <w:r w:rsidRPr="00A30A6D">
        <w:rPr>
          <w:rFonts w:eastAsiaTheme="minorHAnsi"/>
        </w:rPr>
        <w:t>Fedus</w:t>
      </w:r>
      <w:proofErr w:type="spellEnd"/>
      <w:r w:rsidRPr="00A30A6D">
        <w:rPr>
          <w:rFonts w:eastAsiaTheme="minorHAnsi"/>
        </w:rPr>
        <w:t xml:space="preserve">, </w:t>
      </w:r>
      <w:proofErr w:type="spellStart"/>
      <w:r w:rsidRPr="00A30A6D">
        <w:rPr>
          <w:rFonts w:eastAsiaTheme="minorHAnsi"/>
        </w:rPr>
        <w:t>Yunxuan</w:t>
      </w:r>
      <w:proofErr w:type="spellEnd"/>
      <w:r w:rsidRPr="00A30A6D">
        <w:rPr>
          <w:rFonts w:eastAsiaTheme="minorHAnsi"/>
        </w:rPr>
        <w:t xml:space="preserve"> Li, et al. 2024. “Scaling Instruction-Finetuned Language Models.” </w:t>
      </w:r>
      <w:r w:rsidRPr="00A30A6D">
        <w:rPr>
          <w:rFonts w:eastAsiaTheme="minorHAnsi"/>
          <w:i/>
          <w:iCs/>
        </w:rPr>
        <w:t>Journal of Machine Learning Research</w:t>
      </w:r>
      <w:r w:rsidRPr="00A30A6D">
        <w:rPr>
          <w:rFonts w:eastAsiaTheme="minorHAnsi"/>
        </w:rPr>
        <w:t xml:space="preserve"> 25 (70): 1–53.</w:t>
      </w:r>
    </w:p>
    <w:p w14:paraId="6C591ACA" w14:textId="77777777" w:rsidR="00A30A6D" w:rsidRPr="00A30A6D" w:rsidRDefault="00A30A6D" w:rsidP="00A30A6D">
      <w:pPr>
        <w:pStyle w:val="Bibliography"/>
        <w:rPr>
          <w:rFonts w:eastAsiaTheme="minorHAnsi"/>
        </w:rPr>
      </w:pPr>
      <w:r w:rsidRPr="00A30A6D">
        <w:rPr>
          <w:rFonts w:eastAsiaTheme="minorHAnsi"/>
        </w:rPr>
        <w:t xml:space="preserve">Ding, Ning, </w:t>
      </w:r>
      <w:proofErr w:type="spellStart"/>
      <w:r w:rsidRPr="00A30A6D">
        <w:rPr>
          <w:rFonts w:eastAsiaTheme="minorHAnsi"/>
        </w:rPr>
        <w:t>Yujia</w:t>
      </w:r>
      <w:proofErr w:type="spellEnd"/>
      <w:r w:rsidRPr="00A30A6D">
        <w:rPr>
          <w:rFonts w:eastAsiaTheme="minorHAnsi"/>
        </w:rPr>
        <w:t xml:space="preserve"> Qin, Guang Yang, </w:t>
      </w:r>
      <w:proofErr w:type="spellStart"/>
      <w:r w:rsidRPr="00A30A6D">
        <w:rPr>
          <w:rFonts w:eastAsiaTheme="minorHAnsi"/>
        </w:rPr>
        <w:t>Fuchao</w:t>
      </w:r>
      <w:proofErr w:type="spellEnd"/>
      <w:r w:rsidRPr="00A30A6D">
        <w:rPr>
          <w:rFonts w:eastAsiaTheme="minorHAnsi"/>
        </w:rPr>
        <w:t xml:space="preserve"> Wei, </w:t>
      </w:r>
      <w:proofErr w:type="spellStart"/>
      <w:r w:rsidRPr="00A30A6D">
        <w:rPr>
          <w:rFonts w:eastAsiaTheme="minorHAnsi"/>
        </w:rPr>
        <w:t>Zonghan</w:t>
      </w:r>
      <w:proofErr w:type="spellEnd"/>
      <w:r w:rsidRPr="00A30A6D">
        <w:rPr>
          <w:rFonts w:eastAsiaTheme="minorHAnsi"/>
        </w:rPr>
        <w:t xml:space="preserve"> Yang, Yusheng Su, </w:t>
      </w:r>
      <w:proofErr w:type="spellStart"/>
      <w:r w:rsidRPr="00A30A6D">
        <w:rPr>
          <w:rFonts w:eastAsiaTheme="minorHAnsi"/>
        </w:rPr>
        <w:t>Shengding</w:t>
      </w:r>
      <w:proofErr w:type="spellEnd"/>
      <w:r w:rsidRPr="00A30A6D">
        <w:rPr>
          <w:rFonts w:eastAsiaTheme="minorHAnsi"/>
        </w:rPr>
        <w:t xml:space="preserve"> Hu, et al. 2023. “Parameter-Efficient Fine-Tuning of Large-Scale Pre-Trained Language Models.” </w:t>
      </w:r>
      <w:r w:rsidRPr="00A30A6D">
        <w:rPr>
          <w:rFonts w:eastAsiaTheme="minorHAnsi"/>
          <w:i/>
          <w:iCs/>
        </w:rPr>
        <w:t>Nature Machine Intelligence</w:t>
      </w:r>
      <w:r w:rsidRPr="00A30A6D">
        <w:rPr>
          <w:rFonts w:eastAsiaTheme="minorHAnsi"/>
        </w:rPr>
        <w:t xml:space="preserve"> 5 (3): 220–35.</w:t>
      </w:r>
    </w:p>
    <w:p w14:paraId="3165A800" w14:textId="77777777" w:rsidR="00A30A6D" w:rsidRPr="00A30A6D" w:rsidRDefault="00A30A6D" w:rsidP="00A30A6D">
      <w:pPr>
        <w:pStyle w:val="Bibliography"/>
        <w:rPr>
          <w:rFonts w:eastAsiaTheme="minorHAnsi"/>
        </w:rPr>
      </w:pPr>
      <w:proofErr w:type="spellStart"/>
      <w:r w:rsidRPr="00A30A6D">
        <w:rPr>
          <w:rFonts w:eastAsiaTheme="minorHAnsi"/>
        </w:rPr>
        <w:t>Floridi</w:t>
      </w:r>
      <w:proofErr w:type="spellEnd"/>
      <w:r w:rsidRPr="00A30A6D">
        <w:rPr>
          <w:rFonts w:eastAsiaTheme="minorHAnsi"/>
        </w:rPr>
        <w:t xml:space="preserve">, Luciano, and Massimo </w:t>
      </w:r>
      <w:proofErr w:type="spellStart"/>
      <w:r w:rsidRPr="00A30A6D">
        <w:rPr>
          <w:rFonts w:eastAsiaTheme="minorHAnsi"/>
        </w:rPr>
        <w:t>Chiriatti</w:t>
      </w:r>
      <w:proofErr w:type="spellEnd"/>
      <w:r w:rsidRPr="00A30A6D">
        <w:rPr>
          <w:rFonts w:eastAsiaTheme="minorHAnsi"/>
        </w:rPr>
        <w:t xml:space="preserve">. 2020. “GPT-3: Its Nature, Scope, Limits, and Consequences.” </w:t>
      </w:r>
      <w:r w:rsidRPr="00A30A6D">
        <w:rPr>
          <w:rFonts w:eastAsiaTheme="minorHAnsi"/>
          <w:i/>
          <w:iCs/>
        </w:rPr>
        <w:t>Minds and Machines</w:t>
      </w:r>
      <w:r w:rsidRPr="00A30A6D">
        <w:rPr>
          <w:rFonts w:eastAsiaTheme="minorHAnsi"/>
        </w:rPr>
        <w:t xml:space="preserve"> 30:681–94.</w:t>
      </w:r>
    </w:p>
    <w:p w14:paraId="23EAE224" w14:textId="77777777" w:rsidR="00A30A6D" w:rsidRPr="00A30A6D" w:rsidRDefault="00A30A6D" w:rsidP="00A30A6D">
      <w:pPr>
        <w:pStyle w:val="Bibliography"/>
        <w:rPr>
          <w:rFonts w:eastAsiaTheme="minorHAnsi"/>
        </w:rPr>
      </w:pPr>
      <w:r w:rsidRPr="00A30A6D">
        <w:rPr>
          <w:rFonts w:eastAsiaTheme="minorHAnsi"/>
        </w:rPr>
        <w:t xml:space="preserve">Han, </w:t>
      </w:r>
      <w:proofErr w:type="spellStart"/>
      <w:r w:rsidRPr="00A30A6D">
        <w:rPr>
          <w:rFonts w:eastAsiaTheme="minorHAnsi"/>
        </w:rPr>
        <w:t>Zeyu</w:t>
      </w:r>
      <w:proofErr w:type="spellEnd"/>
      <w:r w:rsidRPr="00A30A6D">
        <w:rPr>
          <w:rFonts w:eastAsiaTheme="minorHAnsi"/>
        </w:rPr>
        <w:t xml:space="preserve">, Chao Gao, </w:t>
      </w:r>
      <w:proofErr w:type="spellStart"/>
      <w:r w:rsidRPr="00A30A6D">
        <w:rPr>
          <w:rFonts w:eastAsiaTheme="minorHAnsi"/>
        </w:rPr>
        <w:t>Jinyang</w:t>
      </w:r>
      <w:proofErr w:type="spellEnd"/>
      <w:r w:rsidRPr="00A30A6D">
        <w:rPr>
          <w:rFonts w:eastAsiaTheme="minorHAnsi"/>
        </w:rPr>
        <w:t xml:space="preserve"> Liu, Jeff Zhang, and Sai Qian Zhang. 2024. “Parameter-Efficient Fine-Tuning for Large Models: A Comprehensive Survey.” </w:t>
      </w:r>
      <w:proofErr w:type="spellStart"/>
      <w:r w:rsidRPr="00A30A6D">
        <w:rPr>
          <w:rFonts w:eastAsiaTheme="minorHAnsi"/>
          <w:i/>
          <w:iCs/>
        </w:rPr>
        <w:t>arXiv</w:t>
      </w:r>
      <w:proofErr w:type="spellEnd"/>
      <w:r w:rsidRPr="00A30A6D">
        <w:rPr>
          <w:rFonts w:eastAsiaTheme="minorHAnsi"/>
          <w:i/>
          <w:iCs/>
        </w:rPr>
        <w:t xml:space="preserve"> Preprint arXiv:2403.14608</w:t>
      </w:r>
      <w:r w:rsidRPr="00A30A6D">
        <w:rPr>
          <w:rFonts w:eastAsiaTheme="minorHAnsi"/>
        </w:rPr>
        <w:t>.</w:t>
      </w:r>
    </w:p>
    <w:p w14:paraId="04F24644" w14:textId="77777777" w:rsidR="00A30A6D" w:rsidRPr="00A30A6D" w:rsidRDefault="00A30A6D" w:rsidP="00A30A6D">
      <w:pPr>
        <w:pStyle w:val="Bibliography"/>
        <w:rPr>
          <w:rFonts w:eastAsiaTheme="minorHAnsi"/>
        </w:rPr>
      </w:pPr>
      <w:r w:rsidRPr="00A30A6D">
        <w:rPr>
          <w:rFonts w:eastAsiaTheme="minorHAnsi"/>
        </w:rPr>
        <w:t xml:space="preserve">He, </w:t>
      </w:r>
      <w:proofErr w:type="spellStart"/>
      <w:r w:rsidRPr="00A30A6D">
        <w:rPr>
          <w:rFonts w:eastAsiaTheme="minorHAnsi"/>
        </w:rPr>
        <w:t>Kaiming</w:t>
      </w:r>
      <w:proofErr w:type="spellEnd"/>
      <w:r w:rsidRPr="00A30A6D">
        <w:rPr>
          <w:rFonts w:eastAsiaTheme="minorHAnsi"/>
        </w:rPr>
        <w:t xml:space="preserve">, </w:t>
      </w:r>
      <w:proofErr w:type="spellStart"/>
      <w:r w:rsidRPr="00A30A6D">
        <w:rPr>
          <w:rFonts w:eastAsiaTheme="minorHAnsi"/>
        </w:rPr>
        <w:t>Xiangyu</w:t>
      </w:r>
      <w:proofErr w:type="spellEnd"/>
      <w:r w:rsidRPr="00A30A6D">
        <w:rPr>
          <w:rFonts w:eastAsiaTheme="minorHAnsi"/>
        </w:rPr>
        <w:t xml:space="preserve"> Zhang, </w:t>
      </w:r>
      <w:proofErr w:type="spellStart"/>
      <w:r w:rsidRPr="00A30A6D">
        <w:rPr>
          <w:rFonts w:eastAsiaTheme="minorHAnsi"/>
        </w:rPr>
        <w:t>Shaoqing</w:t>
      </w:r>
      <w:proofErr w:type="spellEnd"/>
      <w:r w:rsidRPr="00A30A6D">
        <w:rPr>
          <w:rFonts w:eastAsiaTheme="minorHAnsi"/>
        </w:rPr>
        <w:t xml:space="preserve"> Ren, and Jian Sun. 2015. “Delving Deep into Rectifiers: Surpassing Human-Level Performance on </w:t>
      </w:r>
      <w:proofErr w:type="spellStart"/>
      <w:r w:rsidRPr="00A30A6D">
        <w:rPr>
          <w:rFonts w:eastAsiaTheme="minorHAnsi"/>
        </w:rPr>
        <w:t>Imagenet</w:t>
      </w:r>
      <w:proofErr w:type="spellEnd"/>
      <w:r w:rsidRPr="00A30A6D">
        <w:rPr>
          <w:rFonts w:eastAsiaTheme="minorHAnsi"/>
        </w:rPr>
        <w:t xml:space="preserve"> Classification.” In </w:t>
      </w:r>
      <w:r w:rsidRPr="00A30A6D">
        <w:rPr>
          <w:rFonts w:eastAsiaTheme="minorHAnsi"/>
          <w:i/>
          <w:iCs/>
        </w:rPr>
        <w:t>Proceedings of the IEEE International Conference on Computer Vision</w:t>
      </w:r>
      <w:r w:rsidRPr="00A30A6D">
        <w:rPr>
          <w:rFonts w:eastAsiaTheme="minorHAnsi"/>
        </w:rPr>
        <w:t>, 1026–34.</w:t>
      </w:r>
    </w:p>
    <w:p w14:paraId="5D7E413E" w14:textId="77777777" w:rsidR="00A30A6D" w:rsidRPr="00A30A6D" w:rsidRDefault="00A30A6D" w:rsidP="00A30A6D">
      <w:pPr>
        <w:pStyle w:val="Bibliography"/>
        <w:rPr>
          <w:rFonts w:eastAsiaTheme="minorHAnsi"/>
        </w:rPr>
      </w:pPr>
      <w:r w:rsidRPr="00A30A6D">
        <w:rPr>
          <w:rFonts w:eastAsiaTheme="minorHAnsi"/>
        </w:rPr>
        <w:t xml:space="preserve">Hu, Edward J, </w:t>
      </w:r>
      <w:proofErr w:type="spellStart"/>
      <w:r w:rsidRPr="00A30A6D">
        <w:rPr>
          <w:rFonts w:eastAsiaTheme="minorHAnsi"/>
        </w:rPr>
        <w:t>Yelong</w:t>
      </w:r>
      <w:proofErr w:type="spellEnd"/>
      <w:r w:rsidRPr="00A30A6D">
        <w:rPr>
          <w:rFonts w:eastAsiaTheme="minorHAnsi"/>
        </w:rPr>
        <w:t xml:space="preserve"> Shen, Phillip Wallis, </w:t>
      </w:r>
      <w:proofErr w:type="spellStart"/>
      <w:r w:rsidRPr="00A30A6D">
        <w:rPr>
          <w:rFonts w:eastAsiaTheme="minorHAnsi"/>
        </w:rPr>
        <w:t>Zeyuan</w:t>
      </w:r>
      <w:proofErr w:type="spellEnd"/>
      <w:r w:rsidRPr="00A30A6D">
        <w:rPr>
          <w:rFonts w:eastAsiaTheme="minorHAnsi"/>
        </w:rPr>
        <w:t xml:space="preserve"> Allen-Zhu, </w:t>
      </w:r>
      <w:proofErr w:type="spellStart"/>
      <w:r w:rsidRPr="00A30A6D">
        <w:rPr>
          <w:rFonts w:eastAsiaTheme="minorHAnsi"/>
        </w:rPr>
        <w:t>Yuanzhi</w:t>
      </w:r>
      <w:proofErr w:type="spellEnd"/>
      <w:r w:rsidRPr="00A30A6D">
        <w:rPr>
          <w:rFonts w:eastAsiaTheme="minorHAnsi"/>
        </w:rPr>
        <w:t xml:space="preserve"> Li, Shean Wang, Lu Wang, and </w:t>
      </w:r>
      <w:proofErr w:type="spellStart"/>
      <w:r w:rsidRPr="00A30A6D">
        <w:rPr>
          <w:rFonts w:eastAsiaTheme="minorHAnsi"/>
        </w:rPr>
        <w:t>Weizhu</w:t>
      </w:r>
      <w:proofErr w:type="spellEnd"/>
      <w:r w:rsidRPr="00A30A6D">
        <w:rPr>
          <w:rFonts w:eastAsiaTheme="minorHAnsi"/>
        </w:rPr>
        <w:t xml:space="preserve"> Chen. 2021. “Lora: Low-Rank Adaptation of Large Language Models.” </w:t>
      </w:r>
      <w:proofErr w:type="spellStart"/>
      <w:r w:rsidRPr="00A30A6D">
        <w:rPr>
          <w:rFonts w:eastAsiaTheme="minorHAnsi"/>
          <w:i/>
          <w:iCs/>
        </w:rPr>
        <w:t>arXiv</w:t>
      </w:r>
      <w:proofErr w:type="spellEnd"/>
      <w:r w:rsidRPr="00A30A6D">
        <w:rPr>
          <w:rFonts w:eastAsiaTheme="minorHAnsi"/>
          <w:i/>
          <w:iCs/>
        </w:rPr>
        <w:t xml:space="preserve"> Preprint arXiv:2106.09685</w:t>
      </w:r>
      <w:r w:rsidRPr="00A30A6D">
        <w:rPr>
          <w:rFonts w:eastAsiaTheme="minorHAnsi"/>
        </w:rPr>
        <w:t>.</w:t>
      </w:r>
    </w:p>
    <w:p w14:paraId="4F99DD9C" w14:textId="77777777" w:rsidR="00A30A6D" w:rsidRPr="00A30A6D" w:rsidRDefault="00A30A6D" w:rsidP="00A30A6D">
      <w:pPr>
        <w:pStyle w:val="Bibliography"/>
        <w:rPr>
          <w:rFonts w:eastAsiaTheme="minorHAnsi"/>
        </w:rPr>
      </w:pPr>
      <w:r w:rsidRPr="00A30A6D">
        <w:rPr>
          <w:rFonts w:eastAsiaTheme="minorHAnsi"/>
        </w:rPr>
        <w:t xml:space="preserve">Kenton, Jacob Devlin Ming-Wei Chang, and Lee Kristina Toutanova. 2019. “Bert: Pre-Training of </w:t>
      </w:r>
      <w:r w:rsidRPr="00A30A6D">
        <w:rPr>
          <w:rFonts w:eastAsiaTheme="minorHAnsi"/>
        </w:rPr>
        <w:lastRenderedPageBreak/>
        <w:t xml:space="preserve">Deep Bidirectional Transformers for Language Understanding.” In </w:t>
      </w:r>
      <w:r w:rsidRPr="00A30A6D">
        <w:rPr>
          <w:rFonts w:eastAsiaTheme="minorHAnsi"/>
          <w:i/>
          <w:iCs/>
        </w:rPr>
        <w:t xml:space="preserve">Proceedings of </w:t>
      </w:r>
      <w:proofErr w:type="spellStart"/>
      <w:r w:rsidRPr="00A30A6D">
        <w:rPr>
          <w:rFonts w:eastAsiaTheme="minorHAnsi"/>
          <w:i/>
          <w:iCs/>
        </w:rPr>
        <w:t>naacL</w:t>
      </w:r>
      <w:proofErr w:type="spellEnd"/>
      <w:r w:rsidRPr="00A30A6D">
        <w:rPr>
          <w:rFonts w:eastAsiaTheme="minorHAnsi"/>
          <w:i/>
          <w:iCs/>
        </w:rPr>
        <w:t>-HLT</w:t>
      </w:r>
      <w:r w:rsidRPr="00A30A6D">
        <w:rPr>
          <w:rFonts w:eastAsiaTheme="minorHAnsi"/>
        </w:rPr>
        <w:t>, 1:2. Minneapolis, Minnesota.</w:t>
      </w:r>
    </w:p>
    <w:p w14:paraId="5CD78DB3" w14:textId="77777777" w:rsidR="00A30A6D" w:rsidRPr="00A30A6D" w:rsidRDefault="00A30A6D" w:rsidP="00A30A6D">
      <w:pPr>
        <w:pStyle w:val="Bibliography"/>
        <w:rPr>
          <w:rFonts w:eastAsiaTheme="minorHAnsi"/>
        </w:rPr>
      </w:pPr>
      <w:proofErr w:type="spellStart"/>
      <w:r w:rsidRPr="00A30A6D">
        <w:rPr>
          <w:rFonts w:eastAsiaTheme="minorHAnsi"/>
        </w:rPr>
        <w:t>Kopiczko</w:t>
      </w:r>
      <w:proofErr w:type="spellEnd"/>
      <w:r w:rsidRPr="00A30A6D">
        <w:rPr>
          <w:rFonts w:eastAsiaTheme="minorHAnsi"/>
        </w:rPr>
        <w:t xml:space="preserve">, Dawid J, </w:t>
      </w:r>
      <w:proofErr w:type="spellStart"/>
      <w:r w:rsidRPr="00A30A6D">
        <w:rPr>
          <w:rFonts w:eastAsiaTheme="minorHAnsi"/>
        </w:rPr>
        <w:t>Tijmen</w:t>
      </w:r>
      <w:proofErr w:type="spellEnd"/>
      <w:r w:rsidRPr="00A30A6D">
        <w:rPr>
          <w:rFonts w:eastAsiaTheme="minorHAnsi"/>
        </w:rPr>
        <w:t xml:space="preserve"> </w:t>
      </w:r>
      <w:proofErr w:type="spellStart"/>
      <w:r w:rsidRPr="00A30A6D">
        <w:rPr>
          <w:rFonts w:eastAsiaTheme="minorHAnsi"/>
        </w:rPr>
        <w:t>Blankevoort</w:t>
      </w:r>
      <w:proofErr w:type="spellEnd"/>
      <w:r w:rsidRPr="00A30A6D">
        <w:rPr>
          <w:rFonts w:eastAsiaTheme="minorHAnsi"/>
        </w:rPr>
        <w:t xml:space="preserve">, and Yuki M Asano. 2023. “Vera: Vector-Based Random Matrix Adaptation.” </w:t>
      </w:r>
      <w:proofErr w:type="spellStart"/>
      <w:r w:rsidRPr="00A30A6D">
        <w:rPr>
          <w:rFonts w:eastAsiaTheme="minorHAnsi"/>
          <w:i/>
          <w:iCs/>
        </w:rPr>
        <w:t>arXiv</w:t>
      </w:r>
      <w:proofErr w:type="spellEnd"/>
      <w:r w:rsidRPr="00A30A6D">
        <w:rPr>
          <w:rFonts w:eastAsiaTheme="minorHAnsi"/>
          <w:i/>
          <w:iCs/>
        </w:rPr>
        <w:t xml:space="preserve"> Preprint arXiv:2310.11454</w:t>
      </w:r>
      <w:r w:rsidRPr="00A30A6D">
        <w:rPr>
          <w:rFonts w:eastAsiaTheme="minorHAnsi"/>
        </w:rPr>
        <w:t>.</w:t>
      </w:r>
    </w:p>
    <w:p w14:paraId="5463F8AC" w14:textId="77777777" w:rsidR="00A30A6D" w:rsidRPr="00A30A6D" w:rsidRDefault="00A30A6D" w:rsidP="00A30A6D">
      <w:pPr>
        <w:pStyle w:val="Bibliography"/>
        <w:rPr>
          <w:rFonts w:eastAsiaTheme="minorHAnsi"/>
        </w:rPr>
      </w:pPr>
      <w:r w:rsidRPr="00A30A6D">
        <w:rPr>
          <w:rFonts w:eastAsiaTheme="minorHAnsi"/>
        </w:rPr>
        <w:t xml:space="preserve">Li, Yang, </w:t>
      </w:r>
      <w:proofErr w:type="spellStart"/>
      <w:r w:rsidRPr="00A30A6D">
        <w:rPr>
          <w:rFonts w:eastAsiaTheme="minorHAnsi"/>
        </w:rPr>
        <w:t>Shaobo</w:t>
      </w:r>
      <w:proofErr w:type="spellEnd"/>
      <w:r w:rsidRPr="00A30A6D">
        <w:rPr>
          <w:rFonts w:eastAsiaTheme="minorHAnsi"/>
        </w:rPr>
        <w:t xml:space="preserve"> Han, and </w:t>
      </w:r>
      <w:proofErr w:type="spellStart"/>
      <w:r w:rsidRPr="00A30A6D">
        <w:rPr>
          <w:rFonts w:eastAsiaTheme="minorHAnsi"/>
        </w:rPr>
        <w:t>Shihao</w:t>
      </w:r>
      <w:proofErr w:type="spellEnd"/>
      <w:r w:rsidRPr="00A30A6D">
        <w:rPr>
          <w:rFonts w:eastAsiaTheme="minorHAnsi"/>
        </w:rPr>
        <w:t xml:space="preserve"> Ji. 2024. “VB-</w:t>
      </w:r>
      <w:proofErr w:type="spellStart"/>
      <w:r w:rsidRPr="00A30A6D">
        <w:rPr>
          <w:rFonts w:eastAsiaTheme="minorHAnsi"/>
        </w:rPr>
        <w:t>LoRA</w:t>
      </w:r>
      <w:proofErr w:type="spellEnd"/>
      <w:r w:rsidRPr="00A30A6D">
        <w:rPr>
          <w:rFonts w:eastAsiaTheme="minorHAnsi"/>
        </w:rPr>
        <w:t xml:space="preserve">: Extreme Parameter Efficient Fine-Tuning with Vector Banks.” </w:t>
      </w:r>
      <w:proofErr w:type="spellStart"/>
      <w:r w:rsidRPr="00A30A6D">
        <w:rPr>
          <w:rFonts w:eastAsiaTheme="minorHAnsi"/>
          <w:i/>
          <w:iCs/>
        </w:rPr>
        <w:t>arXiv</w:t>
      </w:r>
      <w:proofErr w:type="spellEnd"/>
      <w:r w:rsidRPr="00A30A6D">
        <w:rPr>
          <w:rFonts w:eastAsiaTheme="minorHAnsi"/>
          <w:i/>
          <w:iCs/>
        </w:rPr>
        <w:t xml:space="preserve"> Preprint arXiv:2405.15179</w:t>
      </w:r>
      <w:r w:rsidRPr="00A30A6D">
        <w:rPr>
          <w:rFonts w:eastAsiaTheme="minorHAnsi"/>
        </w:rPr>
        <w:t>.</w:t>
      </w:r>
    </w:p>
    <w:p w14:paraId="1A47C6DD" w14:textId="77777777" w:rsidR="00A30A6D" w:rsidRPr="00A30A6D" w:rsidRDefault="00A30A6D" w:rsidP="00A30A6D">
      <w:pPr>
        <w:pStyle w:val="Bibliography"/>
        <w:rPr>
          <w:rFonts w:eastAsiaTheme="minorHAnsi"/>
        </w:rPr>
      </w:pPr>
      <w:proofErr w:type="spellStart"/>
      <w:r w:rsidRPr="00A30A6D">
        <w:rPr>
          <w:rFonts w:eastAsiaTheme="minorHAnsi"/>
        </w:rPr>
        <w:t>Lialin</w:t>
      </w:r>
      <w:proofErr w:type="spellEnd"/>
      <w:r w:rsidRPr="00A30A6D">
        <w:rPr>
          <w:rFonts w:eastAsiaTheme="minorHAnsi"/>
        </w:rPr>
        <w:t xml:space="preserve">, Vladislav, Sherin </w:t>
      </w:r>
      <w:proofErr w:type="spellStart"/>
      <w:r w:rsidRPr="00A30A6D">
        <w:rPr>
          <w:rFonts w:eastAsiaTheme="minorHAnsi"/>
        </w:rPr>
        <w:t>Muckatira</w:t>
      </w:r>
      <w:proofErr w:type="spellEnd"/>
      <w:r w:rsidRPr="00A30A6D">
        <w:rPr>
          <w:rFonts w:eastAsiaTheme="minorHAnsi"/>
        </w:rPr>
        <w:t xml:space="preserve">, Namrata </w:t>
      </w:r>
      <w:proofErr w:type="spellStart"/>
      <w:r w:rsidRPr="00A30A6D">
        <w:rPr>
          <w:rFonts w:eastAsiaTheme="minorHAnsi"/>
        </w:rPr>
        <w:t>Shivagunde</w:t>
      </w:r>
      <w:proofErr w:type="spellEnd"/>
      <w:r w:rsidRPr="00A30A6D">
        <w:rPr>
          <w:rFonts w:eastAsiaTheme="minorHAnsi"/>
        </w:rPr>
        <w:t xml:space="preserve">, and Anna </w:t>
      </w:r>
      <w:proofErr w:type="spellStart"/>
      <w:r w:rsidRPr="00A30A6D">
        <w:rPr>
          <w:rFonts w:eastAsiaTheme="minorHAnsi"/>
        </w:rPr>
        <w:t>Rumshisky</w:t>
      </w:r>
      <w:proofErr w:type="spellEnd"/>
      <w:r w:rsidRPr="00A30A6D">
        <w:rPr>
          <w:rFonts w:eastAsiaTheme="minorHAnsi"/>
        </w:rPr>
        <w:t>. 2023. “</w:t>
      </w:r>
      <w:proofErr w:type="spellStart"/>
      <w:r w:rsidRPr="00A30A6D">
        <w:rPr>
          <w:rFonts w:eastAsiaTheme="minorHAnsi"/>
        </w:rPr>
        <w:t>Relora</w:t>
      </w:r>
      <w:proofErr w:type="spellEnd"/>
      <w:r w:rsidRPr="00A30A6D">
        <w:rPr>
          <w:rFonts w:eastAsiaTheme="minorHAnsi"/>
        </w:rPr>
        <w:t xml:space="preserve">: High-Rank Training through Low-Rank Updates.” In </w:t>
      </w:r>
      <w:r w:rsidRPr="00A30A6D">
        <w:rPr>
          <w:rFonts w:eastAsiaTheme="minorHAnsi"/>
          <w:i/>
          <w:iCs/>
        </w:rPr>
        <w:t>The Twelfth International Conference on Learning Representations</w:t>
      </w:r>
      <w:r w:rsidRPr="00A30A6D">
        <w:rPr>
          <w:rFonts w:eastAsiaTheme="minorHAnsi"/>
        </w:rPr>
        <w:t>.</w:t>
      </w:r>
    </w:p>
    <w:p w14:paraId="4EA4C0BC" w14:textId="77777777" w:rsidR="00A30A6D" w:rsidRPr="00A30A6D" w:rsidRDefault="00A30A6D" w:rsidP="00A30A6D">
      <w:pPr>
        <w:pStyle w:val="Bibliography"/>
        <w:rPr>
          <w:rFonts w:eastAsiaTheme="minorHAnsi"/>
        </w:rPr>
      </w:pPr>
      <w:r w:rsidRPr="00A30A6D">
        <w:rPr>
          <w:rFonts w:eastAsiaTheme="minorHAnsi"/>
        </w:rPr>
        <w:t xml:space="preserve">Liu, </w:t>
      </w:r>
      <w:proofErr w:type="spellStart"/>
      <w:r w:rsidRPr="00A30A6D">
        <w:rPr>
          <w:rFonts w:eastAsiaTheme="minorHAnsi"/>
        </w:rPr>
        <w:t>Haokun</w:t>
      </w:r>
      <w:proofErr w:type="spellEnd"/>
      <w:r w:rsidRPr="00A30A6D">
        <w:rPr>
          <w:rFonts w:eastAsiaTheme="minorHAnsi"/>
        </w:rPr>
        <w:t xml:space="preserve">, Derek Tam, Mohammed </w:t>
      </w:r>
      <w:proofErr w:type="spellStart"/>
      <w:r w:rsidRPr="00A30A6D">
        <w:rPr>
          <w:rFonts w:eastAsiaTheme="minorHAnsi"/>
        </w:rPr>
        <w:t>Muqeeth</w:t>
      </w:r>
      <w:proofErr w:type="spellEnd"/>
      <w:r w:rsidRPr="00A30A6D">
        <w:rPr>
          <w:rFonts w:eastAsiaTheme="minorHAnsi"/>
        </w:rPr>
        <w:t xml:space="preserve">, Jay </w:t>
      </w:r>
      <w:proofErr w:type="spellStart"/>
      <w:r w:rsidRPr="00A30A6D">
        <w:rPr>
          <w:rFonts w:eastAsiaTheme="minorHAnsi"/>
        </w:rPr>
        <w:t>Mohta</w:t>
      </w:r>
      <w:proofErr w:type="spellEnd"/>
      <w:r w:rsidRPr="00A30A6D">
        <w:rPr>
          <w:rFonts w:eastAsiaTheme="minorHAnsi"/>
        </w:rPr>
        <w:t xml:space="preserve">, </w:t>
      </w:r>
      <w:proofErr w:type="spellStart"/>
      <w:r w:rsidRPr="00A30A6D">
        <w:rPr>
          <w:rFonts w:eastAsiaTheme="minorHAnsi"/>
        </w:rPr>
        <w:t>Tenghao</w:t>
      </w:r>
      <w:proofErr w:type="spellEnd"/>
      <w:r w:rsidRPr="00A30A6D">
        <w:rPr>
          <w:rFonts w:eastAsiaTheme="minorHAnsi"/>
        </w:rPr>
        <w:t xml:space="preserve"> Huang, Mohit Bansal, and Colin A Raffel. 2022. “Few-Shot Parameter-Efficient Fine-Tuning Is Better and Cheaper than in-Context Learning.” </w:t>
      </w:r>
      <w:r w:rsidRPr="00A30A6D">
        <w:rPr>
          <w:rFonts w:eastAsiaTheme="minorHAnsi"/>
          <w:i/>
          <w:iCs/>
        </w:rPr>
        <w:t>Advances in Neural Information Processing Systems</w:t>
      </w:r>
      <w:r w:rsidRPr="00A30A6D">
        <w:rPr>
          <w:rFonts w:eastAsiaTheme="minorHAnsi"/>
        </w:rPr>
        <w:t xml:space="preserve"> 35:1950–65.</w:t>
      </w:r>
    </w:p>
    <w:p w14:paraId="2182CBD5" w14:textId="77777777" w:rsidR="00A30A6D" w:rsidRPr="00A30A6D" w:rsidRDefault="00A30A6D" w:rsidP="00A30A6D">
      <w:pPr>
        <w:pStyle w:val="Bibliography"/>
        <w:rPr>
          <w:rFonts w:eastAsiaTheme="minorHAnsi"/>
        </w:rPr>
      </w:pPr>
      <w:r w:rsidRPr="00A30A6D">
        <w:rPr>
          <w:rFonts w:eastAsiaTheme="minorHAnsi"/>
        </w:rPr>
        <w:t xml:space="preserve">Liu, </w:t>
      </w:r>
      <w:proofErr w:type="spellStart"/>
      <w:r w:rsidRPr="00A30A6D">
        <w:rPr>
          <w:rFonts w:eastAsiaTheme="minorHAnsi"/>
        </w:rPr>
        <w:t>Yinhan</w:t>
      </w:r>
      <w:proofErr w:type="spellEnd"/>
      <w:r w:rsidRPr="00A30A6D">
        <w:rPr>
          <w:rFonts w:eastAsiaTheme="minorHAnsi"/>
        </w:rPr>
        <w:t xml:space="preserve">. 2019. “Roberta: A Robustly Optimized Bert Pretraining Approach.” </w:t>
      </w:r>
      <w:proofErr w:type="spellStart"/>
      <w:r w:rsidRPr="00A30A6D">
        <w:rPr>
          <w:rFonts w:eastAsiaTheme="minorHAnsi"/>
          <w:i/>
          <w:iCs/>
        </w:rPr>
        <w:t>arXiv</w:t>
      </w:r>
      <w:proofErr w:type="spellEnd"/>
      <w:r w:rsidRPr="00A30A6D">
        <w:rPr>
          <w:rFonts w:eastAsiaTheme="minorHAnsi"/>
          <w:i/>
          <w:iCs/>
        </w:rPr>
        <w:t xml:space="preserve"> Preprint arXiv:1907.11692</w:t>
      </w:r>
      <w:r w:rsidRPr="00A30A6D">
        <w:rPr>
          <w:rFonts w:eastAsiaTheme="minorHAnsi"/>
        </w:rPr>
        <w:t xml:space="preserve"> 364.</w:t>
      </w:r>
    </w:p>
    <w:p w14:paraId="31D2748F" w14:textId="77777777" w:rsidR="00A30A6D" w:rsidRPr="00A30A6D" w:rsidRDefault="00A30A6D" w:rsidP="00A30A6D">
      <w:pPr>
        <w:pStyle w:val="Bibliography"/>
        <w:rPr>
          <w:rFonts w:eastAsiaTheme="minorHAnsi"/>
        </w:rPr>
      </w:pPr>
      <w:r w:rsidRPr="00A30A6D">
        <w:rPr>
          <w:rFonts w:eastAsiaTheme="minorHAnsi"/>
        </w:rPr>
        <w:t xml:space="preserve">Luo, </w:t>
      </w:r>
      <w:proofErr w:type="spellStart"/>
      <w:r w:rsidRPr="00A30A6D">
        <w:rPr>
          <w:rFonts w:eastAsiaTheme="minorHAnsi"/>
        </w:rPr>
        <w:t>Haoran</w:t>
      </w:r>
      <w:proofErr w:type="spellEnd"/>
      <w:r w:rsidRPr="00A30A6D">
        <w:rPr>
          <w:rFonts w:eastAsiaTheme="minorHAnsi"/>
        </w:rPr>
        <w:t xml:space="preserve">, </w:t>
      </w:r>
      <w:proofErr w:type="spellStart"/>
      <w:r w:rsidRPr="00A30A6D">
        <w:rPr>
          <w:rFonts w:eastAsiaTheme="minorHAnsi"/>
        </w:rPr>
        <w:t>Zichen</w:t>
      </w:r>
      <w:proofErr w:type="spellEnd"/>
      <w:r w:rsidRPr="00A30A6D">
        <w:rPr>
          <w:rFonts w:eastAsiaTheme="minorHAnsi"/>
        </w:rPr>
        <w:t xml:space="preserve"> Tang, </w:t>
      </w:r>
      <w:proofErr w:type="spellStart"/>
      <w:r w:rsidRPr="00A30A6D">
        <w:rPr>
          <w:rFonts w:eastAsiaTheme="minorHAnsi"/>
        </w:rPr>
        <w:t>Shiyao</w:t>
      </w:r>
      <w:proofErr w:type="spellEnd"/>
      <w:r w:rsidRPr="00A30A6D">
        <w:rPr>
          <w:rFonts w:eastAsiaTheme="minorHAnsi"/>
        </w:rPr>
        <w:t xml:space="preserve"> Peng, </w:t>
      </w:r>
      <w:proofErr w:type="spellStart"/>
      <w:r w:rsidRPr="00A30A6D">
        <w:rPr>
          <w:rFonts w:eastAsiaTheme="minorHAnsi"/>
        </w:rPr>
        <w:t>Yikai</w:t>
      </w:r>
      <w:proofErr w:type="spellEnd"/>
      <w:r w:rsidRPr="00A30A6D">
        <w:rPr>
          <w:rFonts w:eastAsiaTheme="minorHAnsi"/>
        </w:rPr>
        <w:t xml:space="preserve"> Guo, </w:t>
      </w:r>
      <w:proofErr w:type="spellStart"/>
      <w:r w:rsidRPr="00A30A6D">
        <w:rPr>
          <w:rFonts w:eastAsiaTheme="minorHAnsi"/>
        </w:rPr>
        <w:t>Wentai</w:t>
      </w:r>
      <w:proofErr w:type="spellEnd"/>
      <w:r w:rsidRPr="00A30A6D">
        <w:rPr>
          <w:rFonts w:eastAsiaTheme="minorHAnsi"/>
        </w:rPr>
        <w:t xml:space="preserve"> Zhang, </w:t>
      </w:r>
      <w:proofErr w:type="spellStart"/>
      <w:r w:rsidRPr="00A30A6D">
        <w:rPr>
          <w:rFonts w:eastAsiaTheme="minorHAnsi"/>
        </w:rPr>
        <w:t>Chenghao</w:t>
      </w:r>
      <w:proofErr w:type="spellEnd"/>
      <w:r w:rsidRPr="00A30A6D">
        <w:rPr>
          <w:rFonts w:eastAsiaTheme="minorHAnsi"/>
        </w:rPr>
        <w:t xml:space="preserve"> Ma, </w:t>
      </w:r>
      <w:proofErr w:type="spellStart"/>
      <w:r w:rsidRPr="00A30A6D">
        <w:rPr>
          <w:rFonts w:eastAsiaTheme="minorHAnsi"/>
        </w:rPr>
        <w:t>Guanting</w:t>
      </w:r>
      <w:proofErr w:type="spellEnd"/>
      <w:r w:rsidRPr="00A30A6D">
        <w:rPr>
          <w:rFonts w:eastAsiaTheme="minorHAnsi"/>
        </w:rPr>
        <w:t xml:space="preserve"> Dong, et al. 2023. “</w:t>
      </w:r>
      <w:proofErr w:type="spellStart"/>
      <w:r w:rsidRPr="00A30A6D">
        <w:rPr>
          <w:rFonts w:eastAsiaTheme="minorHAnsi"/>
        </w:rPr>
        <w:t>Chatkbqa</w:t>
      </w:r>
      <w:proofErr w:type="spellEnd"/>
      <w:r w:rsidRPr="00A30A6D">
        <w:rPr>
          <w:rFonts w:eastAsiaTheme="minorHAnsi"/>
        </w:rPr>
        <w:t xml:space="preserve">: A Generate-Then-Retrieve Framework for Knowledge Base Question Answering with Fine-Tuned Large Language Models.” </w:t>
      </w:r>
      <w:proofErr w:type="spellStart"/>
      <w:r w:rsidRPr="00A30A6D">
        <w:rPr>
          <w:rFonts w:eastAsiaTheme="minorHAnsi"/>
          <w:i/>
          <w:iCs/>
        </w:rPr>
        <w:t>arXiv</w:t>
      </w:r>
      <w:proofErr w:type="spellEnd"/>
      <w:r w:rsidRPr="00A30A6D">
        <w:rPr>
          <w:rFonts w:eastAsiaTheme="minorHAnsi"/>
          <w:i/>
          <w:iCs/>
        </w:rPr>
        <w:t xml:space="preserve"> Preprint arXiv:2310.08975</w:t>
      </w:r>
      <w:r w:rsidRPr="00A30A6D">
        <w:rPr>
          <w:rFonts w:eastAsiaTheme="minorHAnsi"/>
        </w:rPr>
        <w:t>.</w:t>
      </w:r>
    </w:p>
    <w:p w14:paraId="71CE650B" w14:textId="77777777" w:rsidR="00A30A6D" w:rsidRPr="00A30A6D" w:rsidRDefault="00A30A6D" w:rsidP="00A30A6D">
      <w:pPr>
        <w:pStyle w:val="Bibliography"/>
        <w:rPr>
          <w:rFonts w:eastAsiaTheme="minorHAnsi"/>
        </w:rPr>
      </w:pPr>
      <w:proofErr w:type="spellStart"/>
      <w:r w:rsidRPr="00A30A6D">
        <w:rPr>
          <w:rFonts w:eastAsiaTheme="minorHAnsi"/>
        </w:rPr>
        <w:t>Matena</w:t>
      </w:r>
      <w:proofErr w:type="spellEnd"/>
      <w:r w:rsidRPr="00A30A6D">
        <w:rPr>
          <w:rFonts w:eastAsiaTheme="minorHAnsi"/>
        </w:rPr>
        <w:t xml:space="preserve">, Michael S, and Colin A Raffel. 2022. “Merging Models with Fisher-Weighted Averaging.” </w:t>
      </w:r>
      <w:r w:rsidRPr="00A30A6D">
        <w:rPr>
          <w:rFonts w:eastAsiaTheme="minorHAnsi"/>
          <w:i/>
          <w:iCs/>
        </w:rPr>
        <w:t>Advances in Neural Information Processing Systems</w:t>
      </w:r>
      <w:r w:rsidRPr="00A30A6D">
        <w:rPr>
          <w:rFonts w:eastAsiaTheme="minorHAnsi"/>
        </w:rPr>
        <w:t xml:space="preserve"> 35:17703–16.</w:t>
      </w:r>
    </w:p>
    <w:p w14:paraId="160741B2" w14:textId="77777777" w:rsidR="00A30A6D" w:rsidRPr="00A30A6D" w:rsidRDefault="00A30A6D" w:rsidP="00A30A6D">
      <w:pPr>
        <w:pStyle w:val="Bibliography"/>
        <w:rPr>
          <w:rFonts w:eastAsiaTheme="minorHAnsi"/>
        </w:rPr>
      </w:pPr>
      <w:proofErr w:type="spellStart"/>
      <w:r w:rsidRPr="00A30A6D">
        <w:rPr>
          <w:rFonts w:eastAsiaTheme="minorHAnsi"/>
        </w:rPr>
        <w:t>Nangia</w:t>
      </w:r>
      <w:proofErr w:type="spellEnd"/>
      <w:r w:rsidRPr="00A30A6D">
        <w:rPr>
          <w:rFonts w:eastAsiaTheme="minorHAnsi"/>
        </w:rPr>
        <w:t xml:space="preserve">, Nikita, and Samuel R Bowman. 2019. “Human vs. Muppet: A Conservative Estimate of Human Performance on the GLUE Benchmark.” </w:t>
      </w:r>
      <w:proofErr w:type="spellStart"/>
      <w:r w:rsidRPr="00A30A6D">
        <w:rPr>
          <w:rFonts w:eastAsiaTheme="minorHAnsi"/>
          <w:i/>
          <w:iCs/>
        </w:rPr>
        <w:t>arXiv</w:t>
      </w:r>
      <w:proofErr w:type="spellEnd"/>
      <w:r w:rsidRPr="00A30A6D">
        <w:rPr>
          <w:rFonts w:eastAsiaTheme="minorHAnsi"/>
          <w:i/>
          <w:iCs/>
        </w:rPr>
        <w:t xml:space="preserve"> Preprint arXiv:1905.10425</w:t>
      </w:r>
      <w:r w:rsidRPr="00A30A6D">
        <w:rPr>
          <w:rFonts w:eastAsiaTheme="minorHAnsi"/>
        </w:rPr>
        <w:t>.</w:t>
      </w:r>
    </w:p>
    <w:p w14:paraId="2F701651" w14:textId="77777777" w:rsidR="00A30A6D" w:rsidRPr="00A30A6D" w:rsidRDefault="00A30A6D" w:rsidP="00A30A6D">
      <w:pPr>
        <w:pStyle w:val="Bibliography"/>
        <w:rPr>
          <w:rFonts w:eastAsiaTheme="minorHAnsi"/>
        </w:rPr>
      </w:pPr>
      <w:r w:rsidRPr="00A30A6D">
        <w:rPr>
          <w:rFonts w:eastAsiaTheme="minorHAnsi"/>
        </w:rPr>
        <w:t xml:space="preserve">Naveed, Humza, Asad Ullah Khan, Shi Qiu, Muhammad Saqib, Saeed Anwar, Muhammad Usman, Naveed Akhtar, Nick Barnes, and Ajmal Mian. 2023. “A Comprehensive Overview of Large Language Models.” </w:t>
      </w:r>
      <w:proofErr w:type="spellStart"/>
      <w:r w:rsidRPr="00A30A6D">
        <w:rPr>
          <w:rFonts w:eastAsiaTheme="minorHAnsi"/>
          <w:i/>
          <w:iCs/>
        </w:rPr>
        <w:t>arXiv</w:t>
      </w:r>
      <w:proofErr w:type="spellEnd"/>
      <w:r w:rsidRPr="00A30A6D">
        <w:rPr>
          <w:rFonts w:eastAsiaTheme="minorHAnsi"/>
          <w:i/>
          <w:iCs/>
        </w:rPr>
        <w:t xml:space="preserve"> Preprint arXiv:2307.06435</w:t>
      </w:r>
      <w:r w:rsidRPr="00A30A6D">
        <w:rPr>
          <w:rFonts w:eastAsiaTheme="minorHAnsi"/>
        </w:rPr>
        <w:t>.</w:t>
      </w:r>
    </w:p>
    <w:p w14:paraId="7A14F44B" w14:textId="77777777" w:rsidR="00A30A6D" w:rsidRPr="00A30A6D" w:rsidRDefault="00A30A6D" w:rsidP="00A30A6D">
      <w:pPr>
        <w:pStyle w:val="Bibliography"/>
        <w:rPr>
          <w:rFonts w:eastAsiaTheme="minorHAnsi"/>
        </w:rPr>
      </w:pPr>
      <w:r w:rsidRPr="00A30A6D">
        <w:rPr>
          <w:rFonts w:eastAsiaTheme="minorHAnsi"/>
        </w:rPr>
        <w:t xml:space="preserve">Ouyang, Long, Jeffrey Wu, Xu Jiang, Diogo Almeida, Carroll Wainwright, Pamela Mishkin, Chong Zhang, et al. 2022. “Training Language Models to Follow Instructions with Human Feedback.” </w:t>
      </w:r>
      <w:r w:rsidRPr="00A30A6D">
        <w:rPr>
          <w:rFonts w:eastAsiaTheme="minorHAnsi"/>
          <w:i/>
          <w:iCs/>
        </w:rPr>
        <w:t>Advances in Neural Information Processing Systems</w:t>
      </w:r>
      <w:r w:rsidRPr="00A30A6D">
        <w:rPr>
          <w:rFonts w:eastAsiaTheme="minorHAnsi"/>
        </w:rPr>
        <w:t xml:space="preserve"> 35:27730–44.</w:t>
      </w:r>
    </w:p>
    <w:p w14:paraId="10ECDD68" w14:textId="77777777" w:rsidR="00A30A6D" w:rsidRPr="00A30A6D" w:rsidRDefault="00A30A6D" w:rsidP="00A30A6D">
      <w:pPr>
        <w:pStyle w:val="Bibliography"/>
        <w:rPr>
          <w:rFonts w:eastAsiaTheme="minorHAnsi"/>
        </w:rPr>
      </w:pPr>
      <w:proofErr w:type="spellStart"/>
      <w:r w:rsidRPr="00A30A6D">
        <w:rPr>
          <w:rFonts w:eastAsiaTheme="minorHAnsi"/>
        </w:rPr>
        <w:t>Prottasha</w:t>
      </w:r>
      <w:proofErr w:type="spellEnd"/>
      <w:r w:rsidRPr="00A30A6D">
        <w:rPr>
          <w:rFonts w:eastAsiaTheme="minorHAnsi"/>
        </w:rPr>
        <w:t xml:space="preserve">, Nusrat Jahan, Abdullah </w:t>
      </w:r>
      <w:proofErr w:type="gramStart"/>
      <w:r w:rsidRPr="00A30A6D">
        <w:rPr>
          <w:rFonts w:eastAsiaTheme="minorHAnsi"/>
        </w:rPr>
        <w:t>As</w:t>
      </w:r>
      <w:proofErr w:type="gramEnd"/>
      <w:r w:rsidRPr="00A30A6D">
        <w:rPr>
          <w:rFonts w:eastAsiaTheme="minorHAnsi"/>
        </w:rPr>
        <w:t xml:space="preserve"> Sami, Md </w:t>
      </w:r>
      <w:proofErr w:type="spellStart"/>
      <w:r w:rsidRPr="00A30A6D">
        <w:rPr>
          <w:rFonts w:eastAsiaTheme="minorHAnsi"/>
        </w:rPr>
        <w:t>Kowsher</w:t>
      </w:r>
      <w:proofErr w:type="spellEnd"/>
      <w:r w:rsidRPr="00A30A6D">
        <w:rPr>
          <w:rFonts w:eastAsiaTheme="minorHAnsi"/>
        </w:rPr>
        <w:t xml:space="preserve">, </w:t>
      </w:r>
      <w:proofErr w:type="spellStart"/>
      <w:r w:rsidRPr="00A30A6D">
        <w:rPr>
          <w:rFonts w:eastAsiaTheme="minorHAnsi"/>
        </w:rPr>
        <w:t>Saydul</w:t>
      </w:r>
      <w:proofErr w:type="spellEnd"/>
      <w:r w:rsidRPr="00A30A6D">
        <w:rPr>
          <w:rFonts w:eastAsiaTheme="minorHAnsi"/>
        </w:rPr>
        <w:t xml:space="preserve"> Akbar Murad, Anupam Kumar </w:t>
      </w:r>
      <w:proofErr w:type="spellStart"/>
      <w:r w:rsidRPr="00A30A6D">
        <w:rPr>
          <w:rFonts w:eastAsiaTheme="minorHAnsi"/>
        </w:rPr>
        <w:t>Bairagi</w:t>
      </w:r>
      <w:proofErr w:type="spellEnd"/>
      <w:r w:rsidRPr="00A30A6D">
        <w:rPr>
          <w:rFonts w:eastAsiaTheme="minorHAnsi"/>
        </w:rPr>
        <w:t xml:space="preserve">, Mehedi Masud, and Mohammed Baz. 2022. “Transfer Learning for Sentiment Analysis Using BERT Based Supervised Fine-Tuning.” </w:t>
      </w:r>
      <w:r w:rsidRPr="00A30A6D">
        <w:rPr>
          <w:rFonts w:eastAsiaTheme="minorHAnsi"/>
          <w:i/>
          <w:iCs/>
        </w:rPr>
        <w:t>Sensors</w:t>
      </w:r>
      <w:r w:rsidRPr="00A30A6D">
        <w:rPr>
          <w:rFonts w:eastAsiaTheme="minorHAnsi"/>
        </w:rPr>
        <w:t xml:space="preserve"> 22 (11): 4157.</w:t>
      </w:r>
    </w:p>
    <w:p w14:paraId="69F69181" w14:textId="77777777" w:rsidR="00A30A6D" w:rsidRPr="00A30A6D" w:rsidRDefault="00A30A6D" w:rsidP="00A30A6D">
      <w:pPr>
        <w:pStyle w:val="Bibliography"/>
        <w:rPr>
          <w:rFonts w:eastAsiaTheme="minorHAnsi"/>
        </w:rPr>
      </w:pPr>
      <w:proofErr w:type="spellStart"/>
      <w:r w:rsidRPr="00A30A6D">
        <w:rPr>
          <w:rFonts w:eastAsiaTheme="minorHAnsi"/>
        </w:rPr>
        <w:t>Touvron</w:t>
      </w:r>
      <w:proofErr w:type="spellEnd"/>
      <w:r w:rsidRPr="00A30A6D">
        <w:rPr>
          <w:rFonts w:eastAsiaTheme="minorHAnsi"/>
        </w:rPr>
        <w:t xml:space="preserve">, Hugo, Thibaut </w:t>
      </w:r>
      <w:proofErr w:type="spellStart"/>
      <w:r w:rsidRPr="00A30A6D">
        <w:rPr>
          <w:rFonts w:eastAsiaTheme="minorHAnsi"/>
        </w:rPr>
        <w:t>Lavril</w:t>
      </w:r>
      <w:proofErr w:type="spellEnd"/>
      <w:r w:rsidRPr="00A30A6D">
        <w:rPr>
          <w:rFonts w:eastAsiaTheme="minorHAnsi"/>
        </w:rPr>
        <w:t xml:space="preserve">, Gautier </w:t>
      </w:r>
      <w:proofErr w:type="spellStart"/>
      <w:r w:rsidRPr="00A30A6D">
        <w:rPr>
          <w:rFonts w:eastAsiaTheme="minorHAnsi"/>
        </w:rPr>
        <w:t>Izacard</w:t>
      </w:r>
      <w:proofErr w:type="spellEnd"/>
      <w:r w:rsidRPr="00A30A6D">
        <w:rPr>
          <w:rFonts w:eastAsiaTheme="minorHAnsi"/>
        </w:rPr>
        <w:t xml:space="preserve">, Xavier Martinet, Marie-Anne </w:t>
      </w:r>
      <w:proofErr w:type="spellStart"/>
      <w:r w:rsidRPr="00A30A6D">
        <w:rPr>
          <w:rFonts w:eastAsiaTheme="minorHAnsi"/>
        </w:rPr>
        <w:t>Lachaux</w:t>
      </w:r>
      <w:proofErr w:type="spellEnd"/>
      <w:r w:rsidRPr="00A30A6D">
        <w:rPr>
          <w:rFonts w:eastAsiaTheme="minorHAnsi"/>
        </w:rPr>
        <w:t xml:space="preserve">, Timothée Lacroix, Baptiste </w:t>
      </w:r>
      <w:proofErr w:type="spellStart"/>
      <w:r w:rsidRPr="00A30A6D">
        <w:rPr>
          <w:rFonts w:eastAsiaTheme="minorHAnsi"/>
        </w:rPr>
        <w:t>Rozière</w:t>
      </w:r>
      <w:proofErr w:type="spellEnd"/>
      <w:r w:rsidRPr="00A30A6D">
        <w:rPr>
          <w:rFonts w:eastAsiaTheme="minorHAnsi"/>
        </w:rPr>
        <w:t xml:space="preserve">, et al. 2023a. “Llama: Open and Efficient Foundation Language Models.” </w:t>
      </w:r>
      <w:proofErr w:type="spellStart"/>
      <w:r w:rsidRPr="00A30A6D">
        <w:rPr>
          <w:rFonts w:eastAsiaTheme="minorHAnsi"/>
          <w:i/>
          <w:iCs/>
        </w:rPr>
        <w:t>arXiv</w:t>
      </w:r>
      <w:proofErr w:type="spellEnd"/>
      <w:r w:rsidRPr="00A30A6D">
        <w:rPr>
          <w:rFonts w:eastAsiaTheme="minorHAnsi"/>
          <w:i/>
          <w:iCs/>
        </w:rPr>
        <w:t xml:space="preserve"> Preprint arXiv:2302.13971</w:t>
      </w:r>
      <w:r w:rsidRPr="00A30A6D">
        <w:rPr>
          <w:rFonts w:eastAsiaTheme="minorHAnsi"/>
        </w:rPr>
        <w:t>.</w:t>
      </w:r>
    </w:p>
    <w:p w14:paraId="333900F1" w14:textId="77777777" w:rsidR="00A30A6D" w:rsidRPr="00A30A6D" w:rsidRDefault="00A30A6D" w:rsidP="00A30A6D">
      <w:pPr>
        <w:pStyle w:val="Bibliography"/>
        <w:rPr>
          <w:rFonts w:eastAsiaTheme="minorHAnsi"/>
        </w:rPr>
      </w:pPr>
      <w:r w:rsidRPr="00A30A6D">
        <w:rPr>
          <w:rFonts w:eastAsiaTheme="minorHAnsi"/>
        </w:rPr>
        <w:t xml:space="preserve">———. 2023b. “Llama: Open and Efficient Foundation Language Models.” </w:t>
      </w:r>
      <w:proofErr w:type="spellStart"/>
      <w:r w:rsidRPr="00A30A6D">
        <w:rPr>
          <w:rFonts w:eastAsiaTheme="minorHAnsi"/>
          <w:i/>
          <w:iCs/>
        </w:rPr>
        <w:t>arXiv</w:t>
      </w:r>
      <w:proofErr w:type="spellEnd"/>
      <w:r w:rsidRPr="00A30A6D">
        <w:rPr>
          <w:rFonts w:eastAsiaTheme="minorHAnsi"/>
          <w:i/>
          <w:iCs/>
        </w:rPr>
        <w:t xml:space="preserve"> Preprint arXiv:2302.13971</w:t>
      </w:r>
      <w:r w:rsidRPr="00A30A6D">
        <w:rPr>
          <w:rFonts w:eastAsiaTheme="minorHAnsi"/>
        </w:rPr>
        <w:t>.</w:t>
      </w:r>
    </w:p>
    <w:p w14:paraId="2CE5F9CA" w14:textId="77777777" w:rsidR="00A30A6D" w:rsidRPr="00A30A6D" w:rsidRDefault="00A30A6D" w:rsidP="00A30A6D">
      <w:pPr>
        <w:pStyle w:val="Bibliography"/>
        <w:rPr>
          <w:rFonts w:eastAsiaTheme="minorHAnsi"/>
        </w:rPr>
      </w:pPr>
      <w:r w:rsidRPr="00A30A6D">
        <w:rPr>
          <w:rFonts w:eastAsiaTheme="minorHAnsi"/>
        </w:rPr>
        <w:t xml:space="preserve">Wang, Alex. 2018. “Glue: A Multi-Task Benchmark and Analysis Platform for Natural Language Understanding.” </w:t>
      </w:r>
      <w:proofErr w:type="spellStart"/>
      <w:r w:rsidRPr="00A30A6D">
        <w:rPr>
          <w:rFonts w:eastAsiaTheme="minorHAnsi"/>
          <w:i/>
          <w:iCs/>
        </w:rPr>
        <w:t>arXiv</w:t>
      </w:r>
      <w:proofErr w:type="spellEnd"/>
      <w:r w:rsidRPr="00A30A6D">
        <w:rPr>
          <w:rFonts w:eastAsiaTheme="minorHAnsi"/>
          <w:i/>
          <w:iCs/>
        </w:rPr>
        <w:t xml:space="preserve"> Preprint arXiv:1804.07461</w:t>
      </w:r>
      <w:r w:rsidRPr="00A30A6D">
        <w:rPr>
          <w:rFonts w:eastAsiaTheme="minorHAnsi"/>
        </w:rPr>
        <w:t>.</w:t>
      </w:r>
    </w:p>
    <w:p w14:paraId="0DAC84DD" w14:textId="77777777" w:rsidR="00A30A6D" w:rsidRPr="00A30A6D" w:rsidRDefault="00A30A6D" w:rsidP="00A30A6D">
      <w:pPr>
        <w:pStyle w:val="Bibliography"/>
        <w:rPr>
          <w:rFonts w:eastAsiaTheme="minorHAnsi"/>
        </w:rPr>
      </w:pPr>
      <w:r w:rsidRPr="00A30A6D">
        <w:rPr>
          <w:rFonts w:eastAsiaTheme="minorHAnsi"/>
        </w:rPr>
        <w:t>Wang, Xi, Laurence Aitchison, and Maja Rudolph. 2023. “</w:t>
      </w:r>
      <w:proofErr w:type="spellStart"/>
      <w:r w:rsidRPr="00A30A6D">
        <w:rPr>
          <w:rFonts w:eastAsiaTheme="minorHAnsi"/>
        </w:rPr>
        <w:t>LoRA</w:t>
      </w:r>
      <w:proofErr w:type="spellEnd"/>
      <w:r w:rsidRPr="00A30A6D">
        <w:rPr>
          <w:rFonts w:eastAsiaTheme="minorHAnsi"/>
        </w:rPr>
        <w:t xml:space="preserve"> Ensembles for Large Language Model Fine-Tuning.” </w:t>
      </w:r>
      <w:proofErr w:type="spellStart"/>
      <w:r w:rsidRPr="00A30A6D">
        <w:rPr>
          <w:rFonts w:eastAsiaTheme="minorHAnsi"/>
          <w:i/>
          <w:iCs/>
        </w:rPr>
        <w:t>arXiv</w:t>
      </w:r>
      <w:proofErr w:type="spellEnd"/>
      <w:r w:rsidRPr="00A30A6D">
        <w:rPr>
          <w:rFonts w:eastAsiaTheme="minorHAnsi"/>
          <w:i/>
          <w:iCs/>
        </w:rPr>
        <w:t xml:space="preserve"> Preprint arXiv:2310.00035</w:t>
      </w:r>
      <w:r w:rsidRPr="00A30A6D">
        <w:rPr>
          <w:rFonts w:eastAsiaTheme="minorHAnsi"/>
        </w:rPr>
        <w:t>.</w:t>
      </w:r>
    </w:p>
    <w:p w14:paraId="2E71DAE4" w14:textId="77777777" w:rsidR="00A30A6D" w:rsidRPr="00A30A6D" w:rsidRDefault="00A30A6D" w:rsidP="00A30A6D">
      <w:pPr>
        <w:pStyle w:val="Bibliography"/>
        <w:rPr>
          <w:rFonts w:eastAsiaTheme="minorHAnsi"/>
        </w:rPr>
      </w:pPr>
      <w:r w:rsidRPr="00A30A6D">
        <w:rPr>
          <w:rFonts w:eastAsiaTheme="minorHAnsi"/>
        </w:rPr>
        <w:t xml:space="preserve">Wei, </w:t>
      </w:r>
      <w:proofErr w:type="spellStart"/>
      <w:r w:rsidRPr="00A30A6D">
        <w:rPr>
          <w:rFonts w:eastAsiaTheme="minorHAnsi"/>
        </w:rPr>
        <w:t>Fusheng</w:t>
      </w:r>
      <w:proofErr w:type="spellEnd"/>
      <w:r w:rsidRPr="00A30A6D">
        <w:rPr>
          <w:rFonts w:eastAsiaTheme="minorHAnsi"/>
        </w:rPr>
        <w:t>, Robert Keeling, Nathaniel Huber-</w:t>
      </w:r>
      <w:proofErr w:type="spellStart"/>
      <w:r w:rsidRPr="00A30A6D">
        <w:rPr>
          <w:rFonts w:eastAsiaTheme="minorHAnsi"/>
        </w:rPr>
        <w:t>Fliflet</w:t>
      </w:r>
      <w:proofErr w:type="spellEnd"/>
      <w:r w:rsidRPr="00A30A6D">
        <w:rPr>
          <w:rFonts w:eastAsiaTheme="minorHAnsi"/>
        </w:rPr>
        <w:t xml:space="preserve">, </w:t>
      </w:r>
      <w:proofErr w:type="spellStart"/>
      <w:r w:rsidRPr="00A30A6D">
        <w:rPr>
          <w:rFonts w:eastAsiaTheme="minorHAnsi"/>
        </w:rPr>
        <w:t>Jianping</w:t>
      </w:r>
      <w:proofErr w:type="spellEnd"/>
      <w:r w:rsidRPr="00A30A6D">
        <w:rPr>
          <w:rFonts w:eastAsiaTheme="minorHAnsi"/>
        </w:rPr>
        <w:t xml:space="preserve"> Zhang, Adam Dabrowski, </w:t>
      </w:r>
      <w:proofErr w:type="spellStart"/>
      <w:r w:rsidRPr="00A30A6D">
        <w:rPr>
          <w:rFonts w:eastAsiaTheme="minorHAnsi"/>
        </w:rPr>
        <w:t>Jingchao</w:t>
      </w:r>
      <w:proofErr w:type="spellEnd"/>
      <w:r w:rsidRPr="00A30A6D">
        <w:rPr>
          <w:rFonts w:eastAsiaTheme="minorHAnsi"/>
        </w:rPr>
        <w:t xml:space="preserve"> Yang, Qiang Mao, and Han Qin. 2023. “Empirical Study of LLM Fine-Tuning for Text Classification in Legal Document Review.” In </w:t>
      </w:r>
      <w:r w:rsidRPr="00A30A6D">
        <w:rPr>
          <w:rFonts w:eastAsiaTheme="minorHAnsi"/>
          <w:i/>
          <w:iCs/>
        </w:rPr>
        <w:t>2023 IEEE International Conference on Big Data (</w:t>
      </w:r>
      <w:proofErr w:type="spellStart"/>
      <w:r w:rsidRPr="00A30A6D">
        <w:rPr>
          <w:rFonts w:eastAsiaTheme="minorHAnsi"/>
          <w:i/>
          <w:iCs/>
        </w:rPr>
        <w:t>BigData</w:t>
      </w:r>
      <w:proofErr w:type="spellEnd"/>
      <w:r w:rsidRPr="00A30A6D">
        <w:rPr>
          <w:rFonts w:eastAsiaTheme="minorHAnsi"/>
          <w:i/>
          <w:iCs/>
        </w:rPr>
        <w:t>)</w:t>
      </w:r>
      <w:r w:rsidRPr="00A30A6D">
        <w:rPr>
          <w:rFonts w:eastAsiaTheme="minorHAnsi"/>
        </w:rPr>
        <w:t>, 2786–92. IEEE.</w:t>
      </w:r>
    </w:p>
    <w:p w14:paraId="60E7370A" w14:textId="77777777" w:rsidR="00A30A6D" w:rsidRPr="00A30A6D" w:rsidRDefault="00A30A6D" w:rsidP="00A30A6D">
      <w:pPr>
        <w:pStyle w:val="Bibliography"/>
        <w:rPr>
          <w:rFonts w:eastAsiaTheme="minorHAnsi"/>
        </w:rPr>
      </w:pPr>
      <w:r w:rsidRPr="00A30A6D">
        <w:rPr>
          <w:rFonts w:eastAsiaTheme="minorHAnsi"/>
        </w:rPr>
        <w:t xml:space="preserve">Xu, Lingling, </w:t>
      </w:r>
      <w:proofErr w:type="spellStart"/>
      <w:r w:rsidRPr="00A30A6D">
        <w:rPr>
          <w:rFonts w:eastAsiaTheme="minorHAnsi"/>
        </w:rPr>
        <w:t>Haoran</w:t>
      </w:r>
      <w:proofErr w:type="spellEnd"/>
      <w:r w:rsidRPr="00A30A6D">
        <w:rPr>
          <w:rFonts w:eastAsiaTheme="minorHAnsi"/>
        </w:rPr>
        <w:t xml:space="preserve"> Xie, Si-Zhao Joe Qin, </w:t>
      </w:r>
      <w:proofErr w:type="spellStart"/>
      <w:r w:rsidRPr="00A30A6D">
        <w:rPr>
          <w:rFonts w:eastAsiaTheme="minorHAnsi"/>
        </w:rPr>
        <w:t>Xiaohui</w:t>
      </w:r>
      <w:proofErr w:type="spellEnd"/>
      <w:r w:rsidRPr="00A30A6D">
        <w:rPr>
          <w:rFonts w:eastAsiaTheme="minorHAnsi"/>
        </w:rPr>
        <w:t xml:space="preserve"> Tao, and Fu Lee Wang. 2023. “Parameter-Efficient Fine-Tuning Methods for Pretrained Language Models: A Critical Review and Assessment.” </w:t>
      </w:r>
      <w:proofErr w:type="spellStart"/>
      <w:r w:rsidRPr="00A30A6D">
        <w:rPr>
          <w:rFonts w:eastAsiaTheme="minorHAnsi"/>
          <w:i/>
          <w:iCs/>
        </w:rPr>
        <w:t>arXiv</w:t>
      </w:r>
      <w:proofErr w:type="spellEnd"/>
      <w:r w:rsidRPr="00A30A6D">
        <w:rPr>
          <w:rFonts w:eastAsiaTheme="minorHAnsi"/>
          <w:i/>
          <w:iCs/>
        </w:rPr>
        <w:t xml:space="preserve"> Preprint arXiv:2312.12148</w:t>
      </w:r>
      <w:r w:rsidRPr="00A30A6D">
        <w:rPr>
          <w:rFonts w:eastAsiaTheme="minorHAnsi"/>
        </w:rPr>
        <w:t>.</w:t>
      </w:r>
    </w:p>
    <w:p w14:paraId="21376F26" w14:textId="77777777" w:rsidR="00A30A6D" w:rsidRPr="00A30A6D" w:rsidRDefault="00A30A6D" w:rsidP="00A30A6D">
      <w:pPr>
        <w:pStyle w:val="Bibliography"/>
        <w:rPr>
          <w:rFonts w:eastAsiaTheme="minorHAnsi"/>
        </w:rPr>
      </w:pPr>
      <w:r w:rsidRPr="00A30A6D">
        <w:rPr>
          <w:rFonts w:eastAsiaTheme="minorHAnsi"/>
        </w:rPr>
        <w:t xml:space="preserve">Zhang, </w:t>
      </w:r>
      <w:proofErr w:type="spellStart"/>
      <w:r w:rsidRPr="00A30A6D">
        <w:rPr>
          <w:rFonts w:eastAsiaTheme="minorHAnsi"/>
        </w:rPr>
        <w:t>Shengyu</w:t>
      </w:r>
      <w:proofErr w:type="spellEnd"/>
      <w:r w:rsidRPr="00A30A6D">
        <w:rPr>
          <w:rFonts w:eastAsiaTheme="minorHAnsi"/>
        </w:rPr>
        <w:t xml:space="preserve">, </w:t>
      </w:r>
      <w:proofErr w:type="spellStart"/>
      <w:r w:rsidRPr="00A30A6D">
        <w:rPr>
          <w:rFonts w:eastAsiaTheme="minorHAnsi"/>
        </w:rPr>
        <w:t>Linfeng</w:t>
      </w:r>
      <w:proofErr w:type="spellEnd"/>
      <w:r w:rsidRPr="00A30A6D">
        <w:rPr>
          <w:rFonts w:eastAsiaTheme="minorHAnsi"/>
        </w:rPr>
        <w:t xml:space="preserve"> Dong, </w:t>
      </w:r>
      <w:proofErr w:type="spellStart"/>
      <w:r w:rsidRPr="00A30A6D">
        <w:rPr>
          <w:rFonts w:eastAsiaTheme="minorHAnsi"/>
        </w:rPr>
        <w:t>Xiaoya</w:t>
      </w:r>
      <w:proofErr w:type="spellEnd"/>
      <w:r w:rsidRPr="00A30A6D">
        <w:rPr>
          <w:rFonts w:eastAsiaTheme="minorHAnsi"/>
        </w:rPr>
        <w:t xml:space="preserve"> Li, Sen Zhang, </w:t>
      </w:r>
      <w:proofErr w:type="spellStart"/>
      <w:r w:rsidRPr="00A30A6D">
        <w:rPr>
          <w:rFonts w:eastAsiaTheme="minorHAnsi"/>
        </w:rPr>
        <w:t>Xiaofei</w:t>
      </w:r>
      <w:proofErr w:type="spellEnd"/>
      <w:r w:rsidRPr="00A30A6D">
        <w:rPr>
          <w:rFonts w:eastAsiaTheme="minorHAnsi"/>
        </w:rPr>
        <w:t xml:space="preserve"> Sun, </w:t>
      </w:r>
      <w:proofErr w:type="spellStart"/>
      <w:r w:rsidRPr="00A30A6D">
        <w:rPr>
          <w:rFonts w:eastAsiaTheme="minorHAnsi"/>
        </w:rPr>
        <w:t>Shuhe</w:t>
      </w:r>
      <w:proofErr w:type="spellEnd"/>
      <w:r w:rsidRPr="00A30A6D">
        <w:rPr>
          <w:rFonts w:eastAsiaTheme="minorHAnsi"/>
        </w:rPr>
        <w:t xml:space="preserve"> Wang, Jiwei Li, et al. 2023. “Instruction Tuning for Large Language Models: A Survey.” </w:t>
      </w:r>
      <w:proofErr w:type="spellStart"/>
      <w:r w:rsidRPr="00A30A6D">
        <w:rPr>
          <w:rFonts w:eastAsiaTheme="minorHAnsi"/>
          <w:i/>
          <w:iCs/>
        </w:rPr>
        <w:t>arXiv</w:t>
      </w:r>
      <w:proofErr w:type="spellEnd"/>
      <w:r w:rsidRPr="00A30A6D">
        <w:rPr>
          <w:rFonts w:eastAsiaTheme="minorHAnsi"/>
          <w:i/>
          <w:iCs/>
        </w:rPr>
        <w:t xml:space="preserve"> Preprint arXiv:2308.10792</w:t>
      </w:r>
      <w:r w:rsidRPr="00A30A6D">
        <w:rPr>
          <w:rFonts w:eastAsiaTheme="minorHAnsi"/>
        </w:rPr>
        <w:t>.</w:t>
      </w:r>
    </w:p>
    <w:p w14:paraId="2647029E" w14:textId="66AFC996" w:rsidR="00682D14" w:rsidRDefault="006101B8" w:rsidP="00A30A6D">
      <w:pPr>
        <w:pStyle w:val="Bibliography"/>
      </w:pPr>
      <w:r>
        <w:fldChar w:fldCharType="end"/>
      </w:r>
    </w:p>
    <w:p w14:paraId="2F0510F4" w14:textId="77777777" w:rsidR="00996E2A" w:rsidRDefault="00996E2A"/>
    <w:sectPr w:rsidR="00996E2A" w:rsidSect="00682D14">
      <w:footerReference w:type="even" r:id="rId20"/>
      <w:footerReference w:type="default" r:id="rId21"/>
      <w:footerReference w:type="first" r:id="rId22"/>
      <w:pgSz w:w="12240" w:h="15840"/>
      <w:pgMar w:top="1440" w:right="2160" w:bottom="1440" w:left="2160" w:header="0" w:footer="720" w:gutter="0"/>
      <w:cols w:space="720"/>
      <w:formProt w:val="0"/>
      <w:titlePg/>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523061" w14:textId="77777777" w:rsidR="00FE2D5F" w:rsidRDefault="00FE2D5F">
      <w:r>
        <w:separator/>
      </w:r>
    </w:p>
  </w:endnote>
  <w:endnote w:type="continuationSeparator" w:id="0">
    <w:p w14:paraId="26E13AAC" w14:textId="77777777" w:rsidR="00FE2D5F" w:rsidRDefault="00FE2D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ourier">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BF6A9B" w14:textId="77777777" w:rsidR="001F05E1" w:rsidRDefault="001F05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B28402" w14:textId="77777777" w:rsidR="001F05E1" w:rsidRDefault="001F05E1">
    <w:pPr>
      <w:pStyle w:val="Footer"/>
    </w:pPr>
  </w:p>
  <w:p w14:paraId="607F0DFA" w14:textId="77777777" w:rsidR="001F05E1" w:rsidRDefault="001F05E1">
    <w:pPr>
      <w:pStyle w:val="Standard"/>
    </w:pPr>
  </w:p>
  <w:p w14:paraId="05481414" w14:textId="77777777" w:rsidR="001F05E1" w:rsidRDefault="001F05E1">
    <w:pPr>
      <w:pStyle w:val="Standar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D8665F" w14:textId="77777777" w:rsidR="001F05E1" w:rsidRDefault="001F05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6219A8" w14:textId="77777777" w:rsidR="00FE2D5F" w:rsidRDefault="00FE2D5F">
      <w:r>
        <w:separator/>
      </w:r>
    </w:p>
  </w:footnote>
  <w:footnote w:type="continuationSeparator" w:id="0">
    <w:p w14:paraId="17712AC8" w14:textId="77777777" w:rsidR="00FE2D5F" w:rsidRDefault="00FE2D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831830"/>
    <w:multiLevelType w:val="multilevel"/>
    <w:tmpl w:val="4CCCAC56"/>
    <w:lvl w:ilvl="0">
      <w:start w:val="1"/>
      <w:numFmt w:val="decimal"/>
      <w:lvlText w:val="%1"/>
      <w:lvlJc w:val="left"/>
      <w:pPr>
        <w:tabs>
          <w:tab w:val="num" w:pos="0"/>
        </w:tabs>
        <w:ind w:left="432" w:hanging="432"/>
      </w:pPr>
    </w:lvl>
    <w:lvl w:ilvl="1">
      <w:numFmt w:val="decimal"/>
      <w:isLgl/>
      <w:lvlText w:val="%1.%2"/>
      <w:lvlJc w:val="left"/>
      <w:pPr>
        <w:tabs>
          <w:tab w:val="num" w:pos="0"/>
        </w:tabs>
        <w:ind w:left="432" w:hanging="432"/>
      </w:pPr>
    </w:lvl>
    <w:lvl w:ilvl="2">
      <w:start w:val="1"/>
      <w:numFmt w:val="decimal"/>
      <w:isLgl/>
      <w:lvlText w:val="%1.%2.%3"/>
      <w:lvlJc w:val="left"/>
      <w:pPr>
        <w:tabs>
          <w:tab w:val="num" w:pos="0"/>
        </w:tabs>
        <w:ind w:left="576" w:hanging="576"/>
      </w:pPr>
    </w:lvl>
    <w:lvl w:ilvl="3">
      <w:start w:val="1"/>
      <w:numFmt w:val="decimal"/>
      <w:isLgl/>
      <w:lvlText w:val="%1.%2.%3.%4"/>
      <w:lvlJc w:val="left"/>
      <w:pPr>
        <w:tabs>
          <w:tab w:val="num" w:pos="0"/>
        </w:tabs>
        <w:ind w:left="432" w:hanging="432"/>
      </w:pPr>
    </w:lvl>
    <w:lvl w:ilvl="4">
      <w:start w:val="1"/>
      <w:numFmt w:val="decimal"/>
      <w:isLgl/>
      <w:lvlText w:val="%1.%2.%3.%4.%5"/>
      <w:lvlJc w:val="left"/>
      <w:pPr>
        <w:tabs>
          <w:tab w:val="num" w:pos="0"/>
        </w:tabs>
        <w:ind w:left="432" w:hanging="432"/>
      </w:pPr>
    </w:lvl>
    <w:lvl w:ilvl="5">
      <w:start w:val="1"/>
      <w:numFmt w:val="decimal"/>
      <w:isLgl/>
      <w:lvlText w:val="%1.%2.%3.%4.%5.%6"/>
      <w:lvlJc w:val="left"/>
      <w:pPr>
        <w:tabs>
          <w:tab w:val="num" w:pos="0"/>
        </w:tabs>
        <w:ind w:left="432" w:hanging="432"/>
      </w:pPr>
    </w:lvl>
    <w:lvl w:ilvl="6">
      <w:start w:val="1"/>
      <w:numFmt w:val="decimal"/>
      <w:isLgl/>
      <w:lvlText w:val="%1.%2.%3.%4.%5.%6.%7"/>
      <w:lvlJc w:val="left"/>
      <w:pPr>
        <w:tabs>
          <w:tab w:val="num" w:pos="0"/>
        </w:tabs>
        <w:ind w:left="432" w:hanging="432"/>
      </w:pPr>
    </w:lvl>
    <w:lvl w:ilvl="7">
      <w:start w:val="1"/>
      <w:numFmt w:val="decimal"/>
      <w:isLgl/>
      <w:lvlText w:val="%1.%2.%3.%4.%5.%6.%7.%8"/>
      <w:lvlJc w:val="left"/>
      <w:pPr>
        <w:tabs>
          <w:tab w:val="num" w:pos="0"/>
        </w:tabs>
        <w:ind w:left="432" w:hanging="432"/>
      </w:pPr>
    </w:lvl>
    <w:lvl w:ilvl="8">
      <w:start w:val="1"/>
      <w:numFmt w:val="decimal"/>
      <w:isLgl/>
      <w:lvlText w:val="%1.%2.%3.%4.%5.%6.%7.%8.%9"/>
      <w:lvlJc w:val="left"/>
      <w:pPr>
        <w:tabs>
          <w:tab w:val="num" w:pos="0"/>
        </w:tabs>
        <w:ind w:left="432" w:hanging="432"/>
      </w:pPr>
    </w:lvl>
  </w:abstractNum>
  <w:abstractNum w:abstractNumId="1" w15:restartNumberingAfterBreak="0">
    <w:nsid w:val="2DFC5E02"/>
    <w:multiLevelType w:val="multilevel"/>
    <w:tmpl w:val="96B06E3E"/>
    <w:lvl w:ilvl="0">
      <w:start w:val="1"/>
      <w:numFmt w:val="decimal"/>
      <w:lvlText w:val="%1"/>
      <w:lvlJc w:val="left"/>
      <w:pPr>
        <w:tabs>
          <w:tab w:val="num" w:pos="0"/>
        </w:tabs>
        <w:ind w:left="432" w:hanging="432"/>
      </w:pPr>
    </w:lvl>
    <w:lvl w:ilvl="1">
      <w:numFmt w:val="decimal"/>
      <w:lvlText w:val="%1.%2"/>
      <w:lvlJc w:val="left"/>
      <w:pPr>
        <w:tabs>
          <w:tab w:val="num" w:pos="0"/>
        </w:tabs>
        <w:ind w:left="432" w:hanging="432"/>
      </w:pPr>
    </w:lvl>
    <w:lvl w:ilvl="2">
      <w:start w:val="1"/>
      <w:numFmt w:val="decimal"/>
      <w:lvlText w:val="%1.%2.%3"/>
      <w:lvlJc w:val="left"/>
      <w:pPr>
        <w:tabs>
          <w:tab w:val="num" w:pos="0"/>
        </w:tabs>
        <w:ind w:left="576" w:hanging="576"/>
      </w:pPr>
    </w:lvl>
    <w:lvl w:ilvl="3">
      <w:start w:val="1"/>
      <w:numFmt w:val="decimal"/>
      <w:lvlText w:val="%1.%2.%3.%4"/>
      <w:lvlJc w:val="left"/>
      <w:pPr>
        <w:tabs>
          <w:tab w:val="num" w:pos="0"/>
        </w:tabs>
        <w:ind w:left="432" w:hanging="432"/>
      </w:pPr>
    </w:lvl>
    <w:lvl w:ilvl="4">
      <w:start w:val="1"/>
      <w:numFmt w:val="decimal"/>
      <w:lvlText w:val="%1.%2.%3.%4.%5"/>
      <w:lvlJc w:val="left"/>
      <w:pPr>
        <w:tabs>
          <w:tab w:val="num" w:pos="0"/>
        </w:tabs>
        <w:ind w:left="432" w:hanging="432"/>
      </w:pPr>
    </w:lvl>
    <w:lvl w:ilvl="5">
      <w:start w:val="1"/>
      <w:numFmt w:val="decimal"/>
      <w:lvlText w:val="%1.%2.%3.%4.%5.%6"/>
      <w:lvlJc w:val="left"/>
      <w:pPr>
        <w:tabs>
          <w:tab w:val="num" w:pos="0"/>
        </w:tabs>
        <w:ind w:left="432" w:hanging="432"/>
      </w:pPr>
    </w:lvl>
    <w:lvl w:ilvl="6">
      <w:start w:val="1"/>
      <w:numFmt w:val="decimal"/>
      <w:lvlText w:val="%1.%2.%3.%4.%5.%6.%7"/>
      <w:lvlJc w:val="left"/>
      <w:pPr>
        <w:tabs>
          <w:tab w:val="num" w:pos="0"/>
        </w:tabs>
        <w:ind w:left="432" w:hanging="432"/>
      </w:pPr>
    </w:lvl>
    <w:lvl w:ilvl="7">
      <w:start w:val="1"/>
      <w:numFmt w:val="decimal"/>
      <w:lvlText w:val="%1.%2.%3.%4.%5.%6.%7.%8"/>
      <w:lvlJc w:val="left"/>
      <w:pPr>
        <w:tabs>
          <w:tab w:val="num" w:pos="0"/>
        </w:tabs>
        <w:ind w:left="432" w:hanging="432"/>
      </w:pPr>
    </w:lvl>
    <w:lvl w:ilvl="8">
      <w:start w:val="1"/>
      <w:numFmt w:val="decimal"/>
      <w:lvlText w:val="%1.%2.%3.%4.%5.%6.%7.%8.%9"/>
      <w:lvlJc w:val="left"/>
      <w:pPr>
        <w:tabs>
          <w:tab w:val="num" w:pos="0"/>
        </w:tabs>
        <w:ind w:left="432" w:hanging="432"/>
      </w:pPr>
    </w:lvl>
  </w:abstractNum>
  <w:num w:numId="1" w16cid:durableId="53084227">
    <w:abstractNumId w:val="1"/>
  </w:num>
  <w:num w:numId="2" w16cid:durableId="19909845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D14"/>
    <w:rsid w:val="00011270"/>
    <w:rsid w:val="00020E4B"/>
    <w:rsid w:val="000321B2"/>
    <w:rsid w:val="00033AC2"/>
    <w:rsid w:val="00056648"/>
    <w:rsid w:val="00062A18"/>
    <w:rsid w:val="00064503"/>
    <w:rsid w:val="00082D3E"/>
    <w:rsid w:val="0009211F"/>
    <w:rsid w:val="00094C2B"/>
    <w:rsid w:val="00095E96"/>
    <w:rsid w:val="00097A2B"/>
    <w:rsid w:val="000B0E60"/>
    <w:rsid w:val="000B7A82"/>
    <w:rsid w:val="000C5C24"/>
    <w:rsid w:val="000C669C"/>
    <w:rsid w:val="000C70B3"/>
    <w:rsid w:val="000D4BAB"/>
    <w:rsid w:val="000E2E51"/>
    <w:rsid w:val="000E380D"/>
    <w:rsid w:val="000F49A0"/>
    <w:rsid w:val="00101E74"/>
    <w:rsid w:val="00106525"/>
    <w:rsid w:val="0011398A"/>
    <w:rsid w:val="0015599D"/>
    <w:rsid w:val="0018284E"/>
    <w:rsid w:val="001D233F"/>
    <w:rsid w:val="001D5F50"/>
    <w:rsid w:val="001E0185"/>
    <w:rsid w:val="001F05E1"/>
    <w:rsid w:val="00200DA9"/>
    <w:rsid w:val="00216FF7"/>
    <w:rsid w:val="00224968"/>
    <w:rsid w:val="00253162"/>
    <w:rsid w:val="002548F5"/>
    <w:rsid w:val="002A5626"/>
    <w:rsid w:val="002A5DFB"/>
    <w:rsid w:val="002B2A10"/>
    <w:rsid w:val="002B2B34"/>
    <w:rsid w:val="002E58CD"/>
    <w:rsid w:val="002E5E67"/>
    <w:rsid w:val="002F0D9C"/>
    <w:rsid w:val="002F4A3C"/>
    <w:rsid w:val="002F550F"/>
    <w:rsid w:val="0031257B"/>
    <w:rsid w:val="00316AD8"/>
    <w:rsid w:val="00331739"/>
    <w:rsid w:val="00351D43"/>
    <w:rsid w:val="00352D5E"/>
    <w:rsid w:val="0036640A"/>
    <w:rsid w:val="00371D23"/>
    <w:rsid w:val="00386A91"/>
    <w:rsid w:val="003909A7"/>
    <w:rsid w:val="003B3CF9"/>
    <w:rsid w:val="003C6301"/>
    <w:rsid w:val="003D2421"/>
    <w:rsid w:val="003D6640"/>
    <w:rsid w:val="003E3931"/>
    <w:rsid w:val="003F6176"/>
    <w:rsid w:val="004001D8"/>
    <w:rsid w:val="00406FB1"/>
    <w:rsid w:val="00423A8A"/>
    <w:rsid w:val="0048179B"/>
    <w:rsid w:val="00482EAA"/>
    <w:rsid w:val="00490036"/>
    <w:rsid w:val="004975B3"/>
    <w:rsid w:val="004A2924"/>
    <w:rsid w:val="004C7614"/>
    <w:rsid w:val="004D08E3"/>
    <w:rsid w:val="004D2B15"/>
    <w:rsid w:val="0050093B"/>
    <w:rsid w:val="00503B7E"/>
    <w:rsid w:val="00544B01"/>
    <w:rsid w:val="005526A9"/>
    <w:rsid w:val="00555107"/>
    <w:rsid w:val="0055742A"/>
    <w:rsid w:val="005969ED"/>
    <w:rsid w:val="00597F97"/>
    <w:rsid w:val="005A06BD"/>
    <w:rsid w:val="005A597C"/>
    <w:rsid w:val="005A65F6"/>
    <w:rsid w:val="005C0101"/>
    <w:rsid w:val="005C70B9"/>
    <w:rsid w:val="005F38B2"/>
    <w:rsid w:val="006101B8"/>
    <w:rsid w:val="006108B9"/>
    <w:rsid w:val="00615962"/>
    <w:rsid w:val="0062196D"/>
    <w:rsid w:val="00626CCF"/>
    <w:rsid w:val="00627AD8"/>
    <w:rsid w:val="00637A95"/>
    <w:rsid w:val="00660FF2"/>
    <w:rsid w:val="00666D81"/>
    <w:rsid w:val="00682D14"/>
    <w:rsid w:val="00683A4C"/>
    <w:rsid w:val="00686623"/>
    <w:rsid w:val="006B17B3"/>
    <w:rsid w:val="006C1B7A"/>
    <w:rsid w:val="006F5505"/>
    <w:rsid w:val="00701F8B"/>
    <w:rsid w:val="00702F7D"/>
    <w:rsid w:val="00710AE3"/>
    <w:rsid w:val="007271A6"/>
    <w:rsid w:val="00747B79"/>
    <w:rsid w:val="00747E55"/>
    <w:rsid w:val="00782280"/>
    <w:rsid w:val="007B10D2"/>
    <w:rsid w:val="007B78D6"/>
    <w:rsid w:val="007D691C"/>
    <w:rsid w:val="007E09A4"/>
    <w:rsid w:val="00813EED"/>
    <w:rsid w:val="00822CD7"/>
    <w:rsid w:val="0083065D"/>
    <w:rsid w:val="00831D2D"/>
    <w:rsid w:val="00834948"/>
    <w:rsid w:val="00837951"/>
    <w:rsid w:val="0084496A"/>
    <w:rsid w:val="00853549"/>
    <w:rsid w:val="00862266"/>
    <w:rsid w:val="00873C26"/>
    <w:rsid w:val="00874148"/>
    <w:rsid w:val="00885158"/>
    <w:rsid w:val="00897491"/>
    <w:rsid w:val="008A34A0"/>
    <w:rsid w:val="008B4E76"/>
    <w:rsid w:val="008D1209"/>
    <w:rsid w:val="008F249A"/>
    <w:rsid w:val="009047A7"/>
    <w:rsid w:val="0092153E"/>
    <w:rsid w:val="00933303"/>
    <w:rsid w:val="0093657A"/>
    <w:rsid w:val="00943240"/>
    <w:rsid w:val="0094398C"/>
    <w:rsid w:val="00955560"/>
    <w:rsid w:val="00970D7F"/>
    <w:rsid w:val="0097332D"/>
    <w:rsid w:val="009919C6"/>
    <w:rsid w:val="00994382"/>
    <w:rsid w:val="009968B7"/>
    <w:rsid w:val="00996E2A"/>
    <w:rsid w:val="009C23AD"/>
    <w:rsid w:val="009C675C"/>
    <w:rsid w:val="009E2881"/>
    <w:rsid w:val="009E355A"/>
    <w:rsid w:val="009E6F01"/>
    <w:rsid w:val="00A30A6D"/>
    <w:rsid w:val="00A421A7"/>
    <w:rsid w:val="00A46E41"/>
    <w:rsid w:val="00A93E92"/>
    <w:rsid w:val="00AE1132"/>
    <w:rsid w:val="00AE1149"/>
    <w:rsid w:val="00AE64D0"/>
    <w:rsid w:val="00B06EEB"/>
    <w:rsid w:val="00B1382F"/>
    <w:rsid w:val="00B358AA"/>
    <w:rsid w:val="00B4798A"/>
    <w:rsid w:val="00B55B9A"/>
    <w:rsid w:val="00B65C95"/>
    <w:rsid w:val="00B7479E"/>
    <w:rsid w:val="00BB0FB7"/>
    <w:rsid w:val="00BB736D"/>
    <w:rsid w:val="00BE72D0"/>
    <w:rsid w:val="00BF4526"/>
    <w:rsid w:val="00BF5453"/>
    <w:rsid w:val="00C01DB4"/>
    <w:rsid w:val="00C21265"/>
    <w:rsid w:val="00C421FC"/>
    <w:rsid w:val="00C4362E"/>
    <w:rsid w:val="00C673EF"/>
    <w:rsid w:val="00C76FF6"/>
    <w:rsid w:val="00CA122C"/>
    <w:rsid w:val="00CA1DCC"/>
    <w:rsid w:val="00CA6A82"/>
    <w:rsid w:val="00CB376C"/>
    <w:rsid w:val="00CB5BF2"/>
    <w:rsid w:val="00CC49DF"/>
    <w:rsid w:val="00D03666"/>
    <w:rsid w:val="00D05ED9"/>
    <w:rsid w:val="00D22E38"/>
    <w:rsid w:val="00D3140C"/>
    <w:rsid w:val="00D326DE"/>
    <w:rsid w:val="00D35DC5"/>
    <w:rsid w:val="00D37EE5"/>
    <w:rsid w:val="00D83EC8"/>
    <w:rsid w:val="00D85AE5"/>
    <w:rsid w:val="00DB0813"/>
    <w:rsid w:val="00DC5D01"/>
    <w:rsid w:val="00DD4C98"/>
    <w:rsid w:val="00DF253A"/>
    <w:rsid w:val="00E00757"/>
    <w:rsid w:val="00E307F2"/>
    <w:rsid w:val="00E34CF2"/>
    <w:rsid w:val="00E51EAB"/>
    <w:rsid w:val="00E56E94"/>
    <w:rsid w:val="00E76E43"/>
    <w:rsid w:val="00E80B22"/>
    <w:rsid w:val="00E83B70"/>
    <w:rsid w:val="00E847CF"/>
    <w:rsid w:val="00EA31F7"/>
    <w:rsid w:val="00EB42C6"/>
    <w:rsid w:val="00EC0785"/>
    <w:rsid w:val="00ED68DF"/>
    <w:rsid w:val="00F83C1E"/>
    <w:rsid w:val="00FB1574"/>
    <w:rsid w:val="00FC0CB9"/>
    <w:rsid w:val="00FC4B63"/>
    <w:rsid w:val="00FE2D5F"/>
    <w:rsid w:val="00FF29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9FD32"/>
  <w15:chartTrackingRefBased/>
  <w15:docId w15:val="{42DBF666-7F0F-8C4B-BB92-63A1CE04C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5B9A"/>
    <w:pPr>
      <w:widowControl w:val="0"/>
      <w:suppressAutoHyphens/>
      <w:textAlignment w:val="baseline"/>
    </w:pPr>
    <w:rPr>
      <w:rFonts w:ascii="Times New Roman" w:eastAsia="Times New Roman" w:hAnsi="Times New Roman" w:cs="Times New Roman"/>
      <w:kern w:val="0"/>
      <w:sz w:val="20"/>
      <w:szCs w:val="20"/>
      <w14:ligatures w14:val="none"/>
    </w:rPr>
  </w:style>
  <w:style w:type="paragraph" w:styleId="Heading1">
    <w:name w:val="heading 1"/>
    <w:basedOn w:val="Normal"/>
    <w:next w:val="Normal"/>
    <w:link w:val="Heading1Char"/>
    <w:uiPriority w:val="9"/>
    <w:qFormat/>
    <w:rsid w:val="00682D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82D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82D1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82D1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82D1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82D1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2D1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2D1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2D1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2D1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82D1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82D1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82D1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82D1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82D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2D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2D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2D14"/>
    <w:rPr>
      <w:rFonts w:eastAsiaTheme="majorEastAsia" w:cstheme="majorBidi"/>
      <w:color w:val="272727" w:themeColor="text1" w:themeTint="D8"/>
    </w:rPr>
  </w:style>
  <w:style w:type="paragraph" w:styleId="Title">
    <w:name w:val="Title"/>
    <w:basedOn w:val="Normal"/>
    <w:next w:val="Normal"/>
    <w:link w:val="TitleChar"/>
    <w:uiPriority w:val="10"/>
    <w:qFormat/>
    <w:rsid w:val="00682D1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2D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2D1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2D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2D1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82D14"/>
    <w:rPr>
      <w:i/>
      <w:iCs/>
      <w:color w:val="404040" w:themeColor="text1" w:themeTint="BF"/>
    </w:rPr>
  </w:style>
  <w:style w:type="paragraph" w:styleId="ListParagraph">
    <w:name w:val="List Paragraph"/>
    <w:basedOn w:val="Normal"/>
    <w:uiPriority w:val="34"/>
    <w:qFormat/>
    <w:rsid w:val="00682D14"/>
    <w:pPr>
      <w:ind w:left="720"/>
      <w:contextualSpacing/>
    </w:pPr>
  </w:style>
  <w:style w:type="character" w:styleId="IntenseEmphasis">
    <w:name w:val="Intense Emphasis"/>
    <w:basedOn w:val="DefaultParagraphFont"/>
    <w:uiPriority w:val="21"/>
    <w:qFormat/>
    <w:rsid w:val="00682D14"/>
    <w:rPr>
      <w:i/>
      <w:iCs/>
      <w:color w:val="0F4761" w:themeColor="accent1" w:themeShade="BF"/>
    </w:rPr>
  </w:style>
  <w:style w:type="paragraph" w:styleId="IntenseQuote">
    <w:name w:val="Intense Quote"/>
    <w:basedOn w:val="Normal"/>
    <w:next w:val="Normal"/>
    <w:link w:val="IntenseQuoteChar"/>
    <w:uiPriority w:val="30"/>
    <w:qFormat/>
    <w:rsid w:val="00682D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82D14"/>
    <w:rPr>
      <w:i/>
      <w:iCs/>
      <w:color w:val="0F4761" w:themeColor="accent1" w:themeShade="BF"/>
    </w:rPr>
  </w:style>
  <w:style w:type="character" w:styleId="IntenseReference">
    <w:name w:val="Intense Reference"/>
    <w:basedOn w:val="DefaultParagraphFont"/>
    <w:uiPriority w:val="32"/>
    <w:qFormat/>
    <w:rsid w:val="00682D14"/>
    <w:rPr>
      <w:b/>
      <w:bCs/>
      <w:smallCaps/>
      <w:color w:val="0F4761" w:themeColor="accent1" w:themeShade="BF"/>
      <w:spacing w:val="5"/>
    </w:rPr>
  </w:style>
  <w:style w:type="character" w:customStyle="1" w:styleId="StrongEmphasis">
    <w:name w:val="Strong Emphasis"/>
    <w:qFormat/>
    <w:rsid w:val="00682D14"/>
    <w:rPr>
      <w:b/>
      <w:bCs/>
    </w:rPr>
  </w:style>
  <w:style w:type="character" w:styleId="Hyperlink">
    <w:name w:val="Hyperlink"/>
    <w:basedOn w:val="DefaultParagraphFont"/>
    <w:uiPriority w:val="99"/>
    <w:unhideWhenUsed/>
    <w:rsid w:val="00682D14"/>
    <w:rPr>
      <w:color w:val="467886" w:themeColor="hyperlink"/>
      <w:u w:val="single"/>
    </w:rPr>
  </w:style>
  <w:style w:type="paragraph" w:customStyle="1" w:styleId="Standard">
    <w:name w:val="Standard"/>
    <w:qFormat/>
    <w:rsid w:val="00682D14"/>
    <w:pPr>
      <w:suppressAutoHyphens/>
      <w:textAlignment w:val="baseline"/>
    </w:pPr>
    <w:rPr>
      <w:rFonts w:ascii="Times New Roman" w:eastAsia="Times New Roman" w:hAnsi="Times New Roman" w:cs="Times New Roman"/>
      <w:kern w:val="0"/>
      <w:sz w:val="20"/>
      <w:szCs w:val="20"/>
      <w14:ligatures w14:val="none"/>
    </w:rPr>
  </w:style>
  <w:style w:type="paragraph" w:styleId="Footer">
    <w:name w:val="footer"/>
    <w:basedOn w:val="Standard"/>
    <w:link w:val="FooterChar"/>
    <w:rsid w:val="00682D14"/>
    <w:pPr>
      <w:suppressLineNumbers/>
      <w:tabs>
        <w:tab w:val="center" w:pos="4252"/>
        <w:tab w:val="right" w:pos="8504"/>
      </w:tabs>
    </w:pPr>
  </w:style>
  <w:style w:type="character" w:customStyle="1" w:styleId="FooterChar">
    <w:name w:val="Footer Char"/>
    <w:basedOn w:val="DefaultParagraphFont"/>
    <w:link w:val="Footer"/>
    <w:rsid w:val="00682D14"/>
    <w:rPr>
      <w:rFonts w:ascii="Times New Roman" w:eastAsia="Times New Roman" w:hAnsi="Times New Roman" w:cs="Times New Roman"/>
      <w:kern w:val="0"/>
      <w:sz w:val="20"/>
      <w:szCs w:val="20"/>
      <w14:ligatures w14:val="none"/>
    </w:rPr>
  </w:style>
  <w:style w:type="paragraph" w:customStyle="1" w:styleId="TableContents">
    <w:name w:val="Table Contents"/>
    <w:basedOn w:val="Standard"/>
    <w:qFormat/>
    <w:rsid w:val="00682D14"/>
    <w:pPr>
      <w:widowControl w:val="0"/>
      <w:suppressLineNumbers/>
    </w:pPr>
  </w:style>
  <w:style w:type="paragraph" w:customStyle="1" w:styleId="ListHeading">
    <w:name w:val="List Heading"/>
    <w:basedOn w:val="Standard"/>
    <w:next w:val="Normal"/>
    <w:qFormat/>
    <w:rsid w:val="00682D14"/>
  </w:style>
  <w:style w:type="paragraph" w:customStyle="1" w:styleId="Bibliography1">
    <w:name w:val="Bibliography 1"/>
    <w:basedOn w:val="Normal"/>
    <w:qFormat/>
    <w:rsid w:val="00682D14"/>
    <w:pPr>
      <w:widowControl/>
      <w:suppressLineNumbers/>
      <w:spacing w:after="240" w:line="240" w:lineRule="atLeast"/>
      <w:ind w:left="720" w:hanging="720"/>
    </w:pPr>
    <w:rPr>
      <w:rFonts w:cs="Arial Unicode MS"/>
    </w:rPr>
  </w:style>
  <w:style w:type="paragraph" w:styleId="Bibliography">
    <w:name w:val="Bibliography"/>
    <w:basedOn w:val="Normal"/>
    <w:next w:val="Normal"/>
    <w:uiPriority w:val="37"/>
    <w:unhideWhenUsed/>
    <w:rsid w:val="006101B8"/>
    <w:pPr>
      <w:tabs>
        <w:tab w:val="left" w:pos="380"/>
        <w:tab w:val="left" w:pos="500"/>
      </w:tabs>
      <w:ind w:left="720" w:hanging="720"/>
    </w:pPr>
  </w:style>
  <w:style w:type="character" w:styleId="PlaceholderText">
    <w:name w:val="Placeholder Text"/>
    <w:basedOn w:val="DefaultParagraphFont"/>
    <w:uiPriority w:val="99"/>
    <w:semiHidden/>
    <w:rsid w:val="0062196D"/>
    <w:rPr>
      <w:color w:val="666666"/>
    </w:rPr>
  </w:style>
  <w:style w:type="paragraph" w:styleId="NormalWeb">
    <w:name w:val="Normal (Web)"/>
    <w:basedOn w:val="Normal"/>
    <w:uiPriority w:val="99"/>
    <w:semiHidden/>
    <w:unhideWhenUsed/>
    <w:rsid w:val="001D5F50"/>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1500590">
      <w:bodyDiv w:val="1"/>
      <w:marLeft w:val="0"/>
      <w:marRight w:val="0"/>
      <w:marTop w:val="0"/>
      <w:marBottom w:val="0"/>
      <w:divBdr>
        <w:top w:val="none" w:sz="0" w:space="0" w:color="auto"/>
        <w:left w:val="none" w:sz="0" w:space="0" w:color="auto"/>
        <w:bottom w:val="none" w:sz="0" w:space="0" w:color="auto"/>
        <w:right w:val="none" w:sz="0" w:space="0" w:color="auto"/>
      </w:divBdr>
    </w:div>
    <w:div w:id="560096890">
      <w:bodyDiv w:val="1"/>
      <w:marLeft w:val="0"/>
      <w:marRight w:val="0"/>
      <w:marTop w:val="0"/>
      <w:marBottom w:val="0"/>
      <w:divBdr>
        <w:top w:val="none" w:sz="0" w:space="0" w:color="auto"/>
        <w:left w:val="none" w:sz="0" w:space="0" w:color="auto"/>
        <w:bottom w:val="none" w:sz="0" w:space="0" w:color="auto"/>
        <w:right w:val="none" w:sz="0" w:space="0" w:color="auto"/>
      </w:divBdr>
    </w:div>
    <w:div w:id="771123624">
      <w:bodyDiv w:val="1"/>
      <w:marLeft w:val="0"/>
      <w:marRight w:val="0"/>
      <w:marTop w:val="0"/>
      <w:marBottom w:val="0"/>
      <w:divBdr>
        <w:top w:val="none" w:sz="0" w:space="0" w:color="auto"/>
        <w:left w:val="none" w:sz="0" w:space="0" w:color="auto"/>
        <w:bottom w:val="none" w:sz="0" w:space="0" w:color="auto"/>
        <w:right w:val="none" w:sz="0" w:space="0" w:color="auto"/>
      </w:divBdr>
    </w:div>
    <w:div w:id="793522694">
      <w:bodyDiv w:val="1"/>
      <w:marLeft w:val="0"/>
      <w:marRight w:val="0"/>
      <w:marTop w:val="0"/>
      <w:marBottom w:val="0"/>
      <w:divBdr>
        <w:top w:val="none" w:sz="0" w:space="0" w:color="auto"/>
        <w:left w:val="none" w:sz="0" w:space="0" w:color="auto"/>
        <w:bottom w:val="none" w:sz="0" w:space="0" w:color="auto"/>
        <w:right w:val="none" w:sz="0" w:space="0" w:color="auto"/>
      </w:divBdr>
    </w:div>
    <w:div w:id="1062752608">
      <w:bodyDiv w:val="1"/>
      <w:marLeft w:val="0"/>
      <w:marRight w:val="0"/>
      <w:marTop w:val="0"/>
      <w:marBottom w:val="0"/>
      <w:divBdr>
        <w:top w:val="none" w:sz="0" w:space="0" w:color="auto"/>
        <w:left w:val="none" w:sz="0" w:space="0" w:color="auto"/>
        <w:bottom w:val="none" w:sz="0" w:space="0" w:color="auto"/>
        <w:right w:val="none" w:sz="0" w:space="0" w:color="auto"/>
      </w:divBdr>
    </w:div>
    <w:div w:id="1392188341">
      <w:bodyDiv w:val="1"/>
      <w:marLeft w:val="0"/>
      <w:marRight w:val="0"/>
      <w:marTop w:val="0"/>
      <w:marBottom w:val="0"/>
      <w:divBdr>
        <w:top w:val="none" w:sz="0" w:space="0" w:color="auto"/>
        <w:left w:val="none" w:sz="0" w:space="0" w:color="auto"/>
        <w:bottom w:val="none" w:sz="0" w:space="0" w:color="auto"/>
        <w:right w:val="none" w:sz="0" w:space="0" w:color="auto"/>
      </w:divBdr>
      <w:divsChild>
        <w:div w:id="688802299">
          <w:marLeft w:val="0"/>
          <w:marRight w:val="0"/>
          <w:marTop w:val="0"/>
          <w:marBottom w:val="0"/>
          <w:divBdr>
            <w:top w:val="none" w:sz="0" w:space="0" w:color="auto"/>
            <w:left w:val="none" w:sz="0" w:space="0" w:color="auto"/>
            <w:bottom w:val="none" w:sz="0" w:space="0" w:color="auto"/>
            <w:right w:val="none" w:sz="0" w:space="0" w:color="auto"/>
          </w:divBdr>
          <w:divsChild>
            <w:div w:id="2061899608">
              <w:marLeft w:val="0"/>
              <w:marRight w:val="0"/>
              <w:marTop w:val="0"/>
              <w:marBottom w:val="0"/>
              <w:divBdr>
                <w:top w:val="none" w:sz="0" w:space="0" w:color="auto"/>
                <w:left w:val="none" w:sz="0" w:space="0" w:color="auto"/>
                <w:bottom w:val="none" w:sz="0" w:space="0" w:color="auto"/>
                <w:right w:val="none" w:sz="0" w:space="0" w:color="auto"/>
              </w:divBdr>
              <w:divsChild>
                <w:div w:id="1657369625">
                  <w:marLeft w:val="0"/>
                  <w:marRight w:val="0"/>
                  <w:marTop w:val="0"/>
                  <w:marBottom w:val="0"/>
                  <w:divBdr>
                    <w:top w:val="none" w:sz="0" w:space="0" w:color="auto"/>
                    <w:left w:val="none" w:sz="0" w:space="0" w:color="auto"/>
                    <w:bottom w:val="none" w:sz="0" w:space="0" w:color="auto"/>
                    <w:right w:val="none" w:sz="0" w:space="0" w:color="auto"/>
                  </w:divBdr>
                  <w:divsChild>
                    <w:div w:id="172178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293820">
      <w:bodyDiv w:val="1"/>
      <w:marLeft w:val="0"/>
      <w:marRight w:val="0"/>
      <w:marTop w:val="0"/>
      <w:marBottom w:val="0"/>
      <w:divBdr>
        <w:top w:val="none" w:sz="0" w:space="0" w:color="auto"/>
        <w:left w:val="none" w:sz="0" w:space="0" w:color="auto"/>
        <w:bottom w:val="none" w:sz="0" w:space="0" w:color="auto"/>
        <w:right w:val="none" w:sz="0" w:space="0" w:color="auto"/>
      </w:divBdr>
    </w:div>
    <w:div w:id="1578859747">
      <w:bodyDiv w:val="1"/>
      <w:marLeft w:val="0"/>
      <w:marRight w:val="0"/>
      <w:marTop w:val="0"/>
      <w:marBottom w:val="0"/>
      <w:divBdr>
        <w:top w:val="none" w:sz="0" w:space="0" w:color="auto"/>
        <w:left w:val="none" w:sz="0" w:space="0" w:color="auto"/>
        <w:bottom w:val="none" w:sz="0" w:space="0" w:color="auto"/>
        <w:right w:val="none" w:sz="0" w:space="0" w:color="auto"/>
      </w:divBdr>
    </w:div>
    <w:div w:id="1613586890">
      <w:bodyDiv w:val="1"/>
      <w:marLeft w:val="0"/>
      <w:marRight w:val="0"/>
      <w:marTop w:val="0"/>
      <w:marBottom w:val="0"/>
      <w:divBdr>
        <w:top w:val="none" w:sz="0" w:space="0" w:color="auto"/>
        <w:left w:val="none" w:sz="0" w:space="0" w:color="auto"/>
        <w:bottom w:val="none" w:sz="0" w:space="0" w:color="auto"/>
        <w:right w:val="none" w:sz="0" w:space="0" w:color="auto"/>
      </w:divBdr>
    </w:div>
    <w:div w:id="1693535012">
      <w:bodyDiv w:val="1"/>
      <w:marLeft w:val="0"/>
      <w:marRight w:val="0"/>
      <w:marTop w:val="0"/>
      <w:marBottom w:val="0"/>
      <w:divBdr>
        <w:top w:val="none" w:sz="0" w:space="0" w:color="auto"/>
        <w:left w:val="none" w:sz="0" w:space="0" w:color="auto"/>
        <w:bottom w:val="none" w:sz="0" w:space="0" w:color="auto"/>
        <w:right w:val="none" w:sz="0" w:space="0" w:color="auto"/>
      </w:divBdr>
    </w:div>
    <w:div w:id="1847210977">
      <w:bodyDiv w:val="1"/>
      <w:marLeft w:val="0"/>
      <w:marRight w:val="0"/>
      <w:marTop w:val="0"/>
      <w:marBottom w:val="0"/>
      <w:divBdr>
        <w:top w:val="none" w:sz="0" w:space="0" w:color="auto"/>
        <w:left w:val="none" w:sz="0" w:space="0" w:color="auto"/>
        <w:bottom w:val="none" w:sz="0" w:space="0" w:color="auto"/>
        <w:right w:val="none" w:sz="0" w:space="0" w:color="auto"/>
      </w:divBdr>
    </w:div>
    <w:div w:id="1948652628">
      <w:bodyDiv w:val="1"/>
      <w:marLeft w:val="0"/>
      <w:marRight w:val="0"/>
      <w:marTop w:val="0"/>
      <w:marBottom w:val="0"/>
      <w:divBdr>
        <w:top w:val="none" w:sz="0" w:space="0" w:color="auto"/>
        <w:left w:val="none" w:sz="0" w:space="0" w:color="auto"/>
        <w:bottom w:val="none" w:sz="0" w:space="0" w:color="auto"/>
        <w:right w:val="none" w:sz="0" w:space="0" w:color="auto"/>
      </w:divBdr>
    </w:div>
    <w:div w:id="2091198166">
      <w:bodyDiv w:val="1"/>
      <w:marLeft w:val="0"/>
      <w:marRight w:val="0"/>
      <w:marTop w:val="0"/>
      <w:marBottom w:val="0"/>
      <w:divBdr>
        <w:top w:val="none" w:sz="0" w:space="0" w:color="auto"/>
        <w:left w:val="none" w:sz="0" w:space="0" w:color="auto"/>
        <w:bottom w:val="none" w:sz="0" w:space="0" w:color="auto"/>
        <w:right w:val="none" w:sz="0" w:space="0" w:color="auto"/>
      </w:divBdr>
    </w:div>
    <w:div w:id="2107340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hyperlink" Target="mailto:tanvir.islam@okta.co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sv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16</Pages>
  <Words>10634</Words>
  <Characters>60618</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Islam, Tanvir</dc:creator>
  <cp:keywords/>
  <dc:description/>
  <cp:lastModifiedBy>Islam, Tanvir</cp:lastModifiedBy>
  <cp:revision>19</cp:revision>
  <cp:lastPrinted>2024-12-08T08:24:00Z</cp:lastPrinted>
  <dcterms:created xsi:type="dcterms:W3CDTF">2024-12-08T08:24:00Z</dcterms:created>
  <dcterms:modified xsi:type="dcterms:W3CDTF">2024-12-08T09:19:00Z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zotero-version="7.0.9"&gt;&lt;session id="cRrHue3q"/&gt;&lt;style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