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FDF1" w14:textId="5D3218B9" w:rsidR="00F775E7" w:rsidRDefault="006F34A7" w:rsidP="006F34A7">
      <w:pPr>
        <w:pStyle w:val="Title"/>
      </w:pPr>
      <w:r>
        <w:t>Theoretical Background</w:t>
      </w:r>
    </w:p>
    <w:p w14:paraId="65EB4DBE" w14:textId="30DD101E" w:rsidR="006F34A7" w:rsidRPr="00723BF5" w:rsidRDefault="006F34A7" w:rsidP="00723BF5">
      <w:pPr>
        <w:pStyle w:val="Heading1"/>
      </w:pPr>
      <w:bookmarkStart w:id="0" w:name="_Toc115171267"/>
      <w:r w:rsidRPr="00723BF5">
        <w:t>Possible Measurement approaches</w:t>
      </w:r>
      <w:bookmarkEnd w:id="0"/>
    </w:p>
    <w:p w14:paraId="082E59F0" w14:textId="753D0C06" w:rsidR="008B275B" w:rsidRDefault="008B275B" w:rsidP="008B275B">
      <w:r>
        <w:t>The light “decays” as it propagates through the water, with attenuation coefficient depending on (among other factors) wavelength, and water properties such as molecular structure, saltiness, phytoplankton concentration.</w:t>
      </w:r>
    </w:p>
    <w:p w14:paraId="444365B7" w14:textId="5CA02EC0" w:rsidR="006F34A7" w:rsidRDefault="006F34A7" w:rsidP="006F34A7">
      <w:pPr>
        <w:pStyle w:val="Heading2"/>
      </w:pPr>
      <w:bookmarkStart w:id="1" w:name="_Toc115171268"/>
      <w:r w:rsidRPr="006F34A7">
        <w:t>Beam Attenuation</w:t>
      </w:r>
      <w:r>
        <w:t>:</w:t>
      </w:r>
      <w:bookmarkEnd w:id="1"/>
    </w:p>
    <w:p w14:paraId="1C4D6D2D" w14:textId="10B20B63" w:rsidR="00723BF5" w:rsidRDefault="008B275B" w:rsidP="00723BF5">
      <w:r>
        <w:t>M</w:t>
      </w:r>
      <w:r w:rsidR="005F67F2">
        <w:t xml:space="preserve">easuring the attenuation of light </w:t>
      </w:r>
      <w:r w:rsidR="00A42E0A">
        <w:t>in a specific wavelength over a known distance it is possible to extract the attenuation coefficient and predict the visibility in that water body.</w:t>
      </w:r>
    </w:p>
    <w:p w14:paraId="1AF5ECFA" w14:textId="59C5EB88" w:rsidR="00A42E0A" w:rsidRDefault="00A42E0A" w:rsidP="00723BF5">
      <w:pPr>
        <w:rPr>
          <w:i/>
          <w:iCs/>
        </w:rPr>
      </w:pPr>
      <w:r>
        <w:t xml:space="preserve">To use this method we suggest </w:t>
      </w:r>
      <w:r w:rsidR="008B275B">
        <w:t xml:space="preserve">the setup used in the paper </w:t>
      </w:r>
      <w:hyperlink r:id="rId5" w:history="1">
        <w:r w:rsidR="008B275B" w:rsidRPr="008B275B">
          <w:rPr>
            <w:rStyle w:val="Hyperlink"/>
          </w:rPr>
          <w:t>In Situ Target-Les</w:t>
        </w:r>
        <w:r w:rsidR="008B275B" w:rsidRPr="008B275B">
          <w:rPr>
            <w:rStyle w:val="Hyperlink"/>
          </w:rPr>
          <w:t>s</w:t>
        </w:r>
        <w:r w:rsidR="008B275B" w:rsidRPr="008B275B">
          <w:rPr>
            <w:rStyle w:val="Hyperlink"/>
          </w:rPr>
          <w:t xml:space="preserve"> Calibration of Turbid Media</w:t>
        </w:r>
      </w:hyperlink>
      <w:r w:rsidR="008B275B">
        <w:t xml:space="preserve"> in paragraph </w:t>
      </w:r>
      <w:r w:rsidR="008B275B" w:rsidRPr="008B275B">
        <w:rPr>
          <w:i/>
          <w:iCs/>
        </w:rPr>
        <w:t>4.2. Target-Less (TL) Calibration: Attenuation</w:t>
      </w:r>
      <w:r w:rsidR="00A13DBB">
        <w:rPr>
          <w:i/>
          <w:iCs/>
        </w:rPr>
        <w:t>:</w:t>
      </w:r>
    </w:p>
    <w:p w14:paraId="693BA86D" w14:textId="2EC6C76D" w:rsidR="00A13DBB" w:rsidRDefault="006D117D" w:rsidP="00A13DBB">
      <w:pPr>
        <w:jc w:val="center"/>
      </w:pPr>
      <w:r>
        <w:rPr>
          <w:noProof/>
        </w:rPr>
        <w:drawing>
          <wp:inline distT="0" distB="0" distL="0" distR="0" wp14:anchorId="56F23214" wp14:editId="681B6D16">
            <wp:extent cx="4977517" cy="4313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24" cy="431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89B0" w14:textId="77777777" w:rsidR="00E44675" w:rsidRDefault="006D117D" w:rsidP="006D117D">
      <w:pPr>
        <w:rPr>
          <w:rFonts w:eastAsiaTheme="minorEastAsia"/>
        </w:rPr>
      </w:pPr>
      <w:r>
        <w:t xml:space="preserve">We denote the </w:t>
      </w:r>
      <w:r>
        <w:t xml:space="preserve">image </w:t>
      </w:r>
      <w:r>
        <w:t xml:space="preserve">in upper setup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</m:oMath>
      <w:r>
        <w:rPr>
          <w:rFonts w:eastAsiaTheme="minorEastAsia"/>
        </w:rPr>
        <w:t xml:space="preserve"> and second image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</m:oMath>
      <w:r>
        <w:rPr>
          <w:rFonts w:eastAsiaTheme="minorEastAsia"/>
        </w:rPr>
        <w:t xml:space="preserve">. Then the coordinates difference dictates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cam</m:t>
            </m:r>
          </m:sub>
          <m:sup>
            <m:r>
              <w:rPr>
                <w:rFonts w:ascii="Cambria Math" w:eastAsiaTheme="minorEastAsia" w:hAnsi="Cambria Math"/>
              </w:rPr>
              <m:t>II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cam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E44675">
        <w:rPr>
          <w:rFonts w:eastAsiaTheme="minorEastAsia"/>
        </w:rPr>
        <w:t xml:space="preserve"> , therefore according to the RTE: </w:t>
      </w:r>
    </w:p>
    <w:p w14:paraId="13306A23" w14:textId="77777777" w:rsidR="00E44675" w:rsidRPr="00E44675" w:rsidRDefault="00E44675" w:rsidP="006D117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II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-c⋅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</m:oMath>
      </m:oMathPara>
    </w:p>
    <w:p w14:paraId="7DD845B6" w14:textId="1E96FFF6" w:rsidR="00513212" w:rsidRPr="00513212" w:rsidRDefault="00513212" w:rsidP="006D117D">
      <w:pPr>
        <w:rPr>
          <w:rFonts w:eastAsiaTheme="minorEastAsia"/>
        </w:rPr>
      </w:pPr>
      <w:r>
        <w:rPr>
          <w:rFonts w:eastAsiaTheme="minorEastAsia"/>
        </w:rPr>
        <w:t xml:space="preserve">Then for each color channel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14:paraId="3AD91029" w14:textId="4B365143" w:rsidR="00A13DBB" w:rsidRPr="00723BF5" w:rsidRDefault="00E44675" w:rsidP="006D117D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</m:func>
        </m:oMath>
      </m:oMathPara>
    </w:p>
    <w:p w14:paraId="71E6F737" w14:textId="77777777" w:rsidR="00E44675" w:rsidRDefault="00E44675">
      <w:pPr>
        <w:rPr>
          <w:u w:val="single"/>
        </w:rPr>
      </w:pPr>
      <w:bookmarkStart w:id="2" w:name="_Toc115171269"/>
      <w:r>
        <w:br w:type="page"/>
      </w:r>
    </w:p>
    <w:p w14:paraId="540B9BD8" w14:textId="149CD684" w:rsidR="006F34A7" w:rsidRDefault="006F34A7" w:rsidP="006D117D">
      <w:pPr>
        <w:pStyle w:val="Heading2"/>
      </w:pPr>
      <w:r>
        <w:lastRenderedPageBreak/>
        <w:t>Secchi Disk:</w:t>
      </w:r>
      <w:bookmarkEnd w:id="2"/>
    </w:p>
    <w:p w14:paraId="223C920D" w14:textId="1E397E70" w:rsidR="005654D4" w:rsidRDefault="00AA3FEE" w:rsidP="005654D4">
      <w:pPr>
        <w:rPr>
          <w:rFonts w:eastAsiaTheme="minorEastAsia"/>
        </w:rPr>
      </w:pPr>
      <w:r>
        <w:t>In this method, a disk is lowered vertically from water level to the point it cannot be observed anymore</w:t>
      </w:r>
      <w:r w:rsidR="00447DC2">
        <w:t>.</w:t>
      </w:r>
      <w:r>
        <w:t xml:space="preserve"> </w:t>
      </w:r>
      <w:r w:rsidR="006C7E8E">
        <w:t>The Secchi Disk reading</w:t>
      </w:r>
      <w:r w:rsidR="00447DC2">
        <w:t xml:space="preserve"> provides a quantitative estimation </w:t>
      </w:r>
      <w:r w:rsidR="00673653">
        <w:t xml:space="preserve">for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+K</m:t>
        </m:r>
      </m:oMath>
      <w:r w:rsidR="00673653">
        <w:rPr>
          <w:rFonts w:eastAsiaTheme="minorEastAsia"/>
        </w:rPr>
        <w:t xml:space="preserve">, </w:t>
      </w:r>
      <w:r w:rsidR="00447DC2">
        <w:t xml:space="preserve">water optical properties: </w:t>
      </w:r>
      <m:oMath>
        <m:r>
          <w:rPr>
            <w:rFonts w:ascii="Cambria Math" w:hAnsi="Cambria Math"/>
          </w:rPr>
          <m:t>c</m:t>
        </m:r>
      </m:oMath>
      <w:r w:rsidR="00447DC2">
        <w:rPr>
          <w:rFonts w:eastAsiaTheme="minorEastAsia"/>
        </w:rPr>
        <w:t xml:space="preserve"> – the beam attenuation coefficient, and </w:t>
      </w:r>
      <m:oMath>
        <m:r>
          <w:rPr>
            <w:rFonts w:ascii="Cambria Math" w:eastAsiaTheme="minorEastAsia" w:hAnsi="Cambria Math"/>
          </w:rPr>
          <m:t>K</m:t>
        </m:r>
      </m:oMath>
      <w:r w:rsidR="00447DC2">
        <w:rPr>
          <w:rFonts w:eastAsiaTheme="minorEastAsia"/>
        </w:rPr>
        <w:t xml:space="preserve"> – the diffuse attenuation coefficient, </w:t>
      </w:r>
      <w:r w:rsidR="006C7E8E">
        <w:rPr>
          <w:rFonts w:eastAsiaTheme="minorEastAsia"/>
        </w:rPr>
        <w:t xml:space="preserve">both </w:t>
      </w:r>
      <w:r w:rsidR="00447DC2">
        <w:t xml:space="preserve">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490490">
        <w:rPr>
          <w:rFonts w:eastAsiaTheme="minorEastAsia"/>
        </w:rPr>
        <w:t>, however the ability to separate the two factors is limited</w:t>
      </w:r>
      <w:r w:rsidR="000503ED">
        <w:rPr>
          <w:rFonts w:eastAsiaTheme="minorEastAsia"/>
        </w:rPr>
        <w:t xml:space="preserve">. </w:t>
      </w:r>
    </w:p>
    <w:p w14:paraId="4B47E421" w14:textId="06087CF9" w:rsidR="000503ED" w:rsidRDefault="000503ED" w:rsidP="00F4022B">
      <w:pPr>
        <w:rPr>
          <w:rFonts w:eastAsiaTheme="minorEastAsia"/>
        </w:rPr>
      </w:pPr>
      <w:r>
        <w:rPr>
          <w:rFonts w:eastAsiaTheme="minorEastAsia"/>
        </w:rPr>
        <w:t>To simulate this method, we need to generate water surface and deep</w:t>
      </w:r>
      <w:r w:rsidR="00DC3372">
        <w:rPr>
          <w:rFonts w:eastAsiaTheme="minorEastAsia"/>
        </w:rPr>
        <w:t>-</w:t>
      </w:r>
      <w:r>
        <w:rPr>
          <w:rFonts w:eastAsiaTheme="minorEastAsia"/>
        </w:rPr>
        <w:t>water body volume, then render a Secchi Disk with the proper dimensions and texture in various depths.</w:t>
      </w:r>
    </w:p>
    <w:p w14:paraId="0EAF0080" w14:textId="6579DF76" w:rsidR="00301359" w:rsidRDefault="00301359" w:rsidP="00301359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88CD97D" wp14:editId="17A664E8">
            <wp:extent cx="4627549" cy="40498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665" cy="40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1E0C" w14:textId="519084EF" w:rsidR="00301359" w:rsidRDefault="00B53827" w:rsidP="00301359">
      <w:pPr>
        <w:rPr>
          <w:rFonts w:eastAsiaTheme="minorEastAsia"/>
        </w:rPr>
      </w:pPr>
      <w:r>
        <w:rPr>
          <w:rFonts w:eastAsiaTheme="minorEastAsia"/>
        </w:rPr>
        <w:t>As</w:t>
      </w:r>
      <w:r w:rsidR="004C4F3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</m:t>
        </m:r>
      </m:oMath>
      <w:r w:rsidR="004C4F3D">
        <w:rPr>
          <w:rFonts w:eastAsiaTheme="minorEastAsia"/>
        </w:rPr>
        <w:t xml:space="preserve"> is the disappearing depth of the disk:</w:t>
      </w:r>
    </w:p>
    <w:p w14:paraId="3048AA5A" w14:textId="07D06F1A" w:rsidR="004C4F3D" w:rsidRPr="004C4F3D" w:rsidRDefault="004C4F3D" w:rsidP="0030135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c+K</m:t>
              </m:r>
            </m:den>
          </m:f>
        </m:oMath>
      </m:oMathPara>
    </w:p>
    <w:p w14:paraId="52767FEA" w14:textId="21E648FA" w:rsidR="00A13DBB" w:rsidRPr="00513212" w:rsidRDefault="004C4F3D" w:rsidP="0051321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 w:rsidR="00EC65D0">
        <w:rPr>
          <w:rFonts w:eastAsiaTheme="minorEastAsia"/>
        </w:rPr>
        <w:t>represent the apparent contrast of the disk in water level and in the max visible depth</w:t>
      </w:r>
      <w:r w:rsidR="00513212">
        <w:rPr>
          <w:rFonts w:eastAsiaTheme="minorEastAsia"/>
        </w:rPr>
        <w:t>.</w:t>
      </w:r>
      <w:bookmarkStart w:id="3" w:name="_Toc115171270"/>
      <w:r w:rsidR="00A13DBB">
        <w:br w:type="page"/>
      </w:r>
    </w:p>
    <w:p w14:paraId="3E3174BB" w14:textId="210EDE65" w:rsidR="00D86325" w:rsidRDefault="00D86325" w:rsidP="00A13DBB">
      <w:pPr>
        <w:pStyle w:val="Heading2"/>
      </w:pPr>
      <w:r>
        <w:lastRenderedPageBreak/>
        <w:t>Black Disk Attenuation:</w:t>
      </w:r>
      <w:bookmarkEnd w:id="3"/>
    </w:p>
    <w:p w14:paraId="0A57F17E" w14:textId="74F50432" w:rsidR="00D86325" w:rsidRDefault="00D86325" w:rsidP="00D86325">
      <w:r>
        <w:t xml:space="preserve">Can be used </w:t>
      </w:r>
      <w:r w:rsidR="00354C3F">
        <w:t>like</w:t>
      </w:r>
      <w:r>
        <w:t xml:space="preserve"> Secchi Disk, but the black </w:t>
      </w:r>
      <w:r w:rsidR="00354C3F">
        <w:t>hue</w:t>
      </w:r>
      <w:r>
        <w:t xml:space="preserve"> eliminates </w:t>
      </w:r>
      <w:r w:rsidR="00C95789">
        <w:t>dependency on view angle,</w:t>
      </w:r>
      <w:r w:rsidR="00E67F38">
        <w:t xml:space="preserve"> and keeps </w:t>
      </w:r>
      <w:r w:rsidR="00C95789">
        <w:t>relative brightness contrast of the disk to background constant</w:t>
      </w:r>
      <w:r w:rsidR="00E67F38">
        <w:t>.</w:t>
      </w:r>
    </w:p>
    <w:p w14:paraId="76AEFA75" w14:textId="038142E2" w:rsidR="00E67F38" w:rsidRDefault="00E67F38" w:rsidP="00D86325">
      <w:r>
        <w:t>Another approach is to perform horizontal measurements using the black disk</w:t>
      </w:r>
      <w:r w:rsidR="00F4022B">
        <w:t xml:space="preserve"> and a specialized apparatus that enables the observer (sensor) to be above water level while viewing the disk </w:t>
      </w:r>
      <w:r w:rsidR="00A5786B">
        <w:t xml:space="preserve">horizontally in the water </w:t>
      </w:r>
      <w:r w:rsidR="00F4022B">
        <w:t>through a submerged mirror</w:t>
      </w:r>
    </w:p>
    <w:p w14:paraId="1CF82EC3" w14:textId="577E70A1" w:rsidR="00F4022B" w:rsidRDefault="00FB1EB4" w:rsidP="00F4022B">
      <w:pPr>
        <w:jc w:val="center"/>
      </w:pPr>
      <w:r>
        <w:rPr>
          <w:noProof/>
        </w:rPr>
        <w:drawing>
          <wp:inline distT="0" distB="0" distL="0" distR="0" wp14:anchorId="77949CDA" wp14:editId="559B3E27">
            <wp:extent cx="4357204" cy="5034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81" cy="50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B293" w14:textId="77777777" w:rsidR="00FB1EB4" w:rsidRDefault="00FB1EB4" w:rsidP="00F4022B">
      <w:pPr>
        <w:jc w:val="center"/>
      </w:pPr>
    </w:p>
    <w:p w14:paraId="3F05022E" w14:textId="02B289E6" w:rsidR="00D86325" w:rsidRDefault="00A5786B" w:rsidP="005654D4">
      <w:pPr>
        <w:rPr>
          <w:rFonts w:eastAsiaTheme="minorEastAsia"/>
        </w:rPr>
      </w:pPr>
      <w:r>
        <w:rPr>
          <w:rFonts w:eastAsiaTheme="minorEastAsia"/>
        </w:rPr>
        <w:t xml:space="preserve">In the horizontal viewing approach only the beam attenuation coefficient can be </w:t>
      </w:r>
      <w:r w:rsidR="00DB7DA9">
        <w:rPr>
          <w:rFonts w:eastAsiaTheme="minorEastAsia"/>
        </w:rPr>
        <w:t>by:</w:t>
      </w:r>
    </w:p>
    <w:p w14:paraId="1660E83E" w14:textId="22BF84CE" w:rsidR="00DB7DA9" w:rsidRPr="00DB7DA9" w:rsidRDefault="00DB7DA9" w:rsidP="005654D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13A4908E" w14:textId="7521A737" w:rsidR="00DB7DA9" w:rsidRDefault="00DB7DA9" w:rsidP="00DB7DA9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is the maximal visual range.</w:t>
      </w:r>
    </w:p>
    <w:p w14:paraId="04F6BD0B" w14:textId="1CDE3504" w:rsidR="00A5786B" w:rsidRDefault="00A5786B" w:rsidP="005654D4">
      <w:pPr>
        <w:rPr>
          <w:rFonts w:eastAsiaTheme="minorEastAsia"/>
        </w:rPr>
      </w:pPr>
      <w:r>
        <w:rPr>
          <w:rFonts w:eastAsiaTheme="minorEastAsia"/>
        </w:rPr>
        <w:t>To simulate this method, we can recreate the Secchi Disk simulation, only this time with a black disk. Otherwise</w:t>
      </w:r>
      <w:r w:rsidR="00DC3372">
        <w:rPr>
          <w:rFonts w:eastAsiaTheme="minorEastAsia"/>
        </w:rPr>
        <w:t>,</w:t>
      </w:r>
      <w:r>
        <w:rPr>
          <w:rFonts w:eastAsiaTheme="minorEastAsia"/>
        </w:rPr>
        <w:t xml:space="preserve"> to simulate the horizontal measurement method we need to simulate the water environment, the viewing apparatus, and the disk in various distances.</w:t>
      </w:r>
    </w:p>
    <w:p w14:paraId="5868D1E6" w14:textId="77777777" w:rsidR="00D86325" w:rsidRDefault="00D86325" w:rsidP="005654D4">
      <w:pPr>
        <w:rPr>
          <w:rFonts w:eastAsiaTheme="minorEastAsia"/>
        </w:rPr>
      </w:pPr>
    </w:p>
    <w:p w14:paraId="1ECFC6D8" w14:textId="601D7CD2" w:rsidR="00490490" w:rsidRDefault="00490490" w:rsidP="00490490">
      <w:pPr>
        <w:pStyle w:val="Heading2"/>
      </w:pPr>
      <w:bookmarkStart w:id="4" w:name="_Toc115171271"/>
      <w:r>
        <w:lastRenderedPageBreak/>
        <w:t>Methods Comparison: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490" w14:paraId="6A35BCAF" w14:textId="77777777" w:rsidTr="003B11C8">
        <w:tc>
          <w:tcPr>
            <w:tcW w:w="2310" w:type="dxa"/>
            <w:shd w:val="clear" w:color="auto" w:fill="D9D9D9" w:themeFill="background1" w:themeFillShade="D9"/>
          </w:tcPr>
          <w:p w14:paraId="3B474B9B" w14:textId="068FA07C" w:rsidR="00490490" w:rsidRDefault="00490490" w:rsidP="003B11C8">
            <w:pPr>
              <w:jc w:val="center"/>
            </w:pPr>
            <w:r>
              <w:t>Method name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392C3BFF" w14:textId="21298ABA" w:rsidR="00490490" w:rsidRDefault="003B11C8" w:rsidP="003B11C8">
            <w:pPr>
              <w:jc w:val="center"/>
            </w:pPr>
            <w:r>
              <w:t>Sensor position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71067270" w14:textId="6D2321C9" w:rsidR="00490490" w:rsidRDefault="003B11C8" w:rsidP="003B11C8">
            <w:pPr>
              <w:jc w:val="center"/>
            </w:pPr>
            <w:r>
              <w:t>Estimated parameter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1F61137F" w14:textId="61AE304D" w:rsidR="00490490" w:rsidRDefault="003B11C8" w:rsidP="003B11C8">
            <w:pPr>
              <w:jc w:val="center"/>
            </w:pPr>
            <w:r>
              <w:t>Required water depth</w:t>
            </w:r>
          </w:p>
        </w:tc>
      </w:tr>
      <w:tr w:rsidR="00490490" w14:paraId="6327BFCB" w14:textId="77777777" w:rsidTr="00490490">
        <w:tc>
          <w:tcPr>
            <w:tcW w:w="2310" w:type="dxa"/>
          </w:tcPr>
          <w:p w14:paraId="2A9485B4" w14:textId="3E417545" w:rsidR="00490490" w:rsidRDefault="00490490" w:rsidP="00490490">
            <w:r>
              <w:t>Secchi Disk</w:t>
            </w:r>
          </w:p>
        </w:tc>
        <w:tc>
          <w:tcPr>
            <w:tcW w:w="2310" w:type="dxa"/>
          </w:tcPr>
          <w:p w14:paraId="1EDA1519" w14:textId="27C6AFBA" w:rsidR="00490490" w:rsidRDefault="003B11C8" w:rsidP="00490490">
            <w:r>
              <w:t>Above water level</w:t>
            </w:r>
          </w:p>
        </w:tc>
        <w:tc>
          <w:tcPr>
            <w:tcW w:w="2311" w:type="dxa"/>
          </w:tcPr>
          <w:p w14:paraId="2F68173B" w14:textId="32C12D95" w:rsidR="00490490" w:rsidRDefault="00354C3F" w:rsidP="00490490">
            <m:oMathPara>
              <m:oMath>
                <m:r>
                  <w:rPr>
                    <w:rFonts w:ascii="Cambria Math" w:hAnsi="Cambria Math"/>
                  </w:rPr>
                  <m:t>c+K</m:t>
                </m:r>
              </m:oMath>
            </m:oMathPara>
          </w:p>
        </w:tc>
        <w:tc>
          <w:tcPr>
            <w:tcW w:w="2311" w:type="dxa"/>
          </w:tcPr>
          <w:p w14:paraId="47500049" w14:textId="35769827" w:rsidR="00490490" w:rsidRDefault="000503ED" w:rsidP="00490490">
            <w:r>
              <w:t>Deep enough for the disk to disappear (in some cases may take ~60m)</w:t>
            </w:r>
            <w:r w:rsidR="00D86325">
              <w:t>.</w:t>
            </w:r>
          </w:p>
        </w:tc>
      </w:tr>
      <w:tr w:rsidR="00490490" w14:paraId="6803025E" w14:textId="77777777" w:rsidTr="00490490">
        <w:tc>
          <w:tcPr>
            <w:tcW w:w="2310" w:type="dxa"/>
          </w:tcPr>
          <w:p w14:paraId="06F5AF55" w14:textId="22700CF2" w:rsidR="00490490" w:rsidRDefault="00490490" w:rsidP="00490490">
            <w:r>
              <w:t>Beam Attenuation</w:t>
            </w:r>
          </w:p>
        </w:tc>
        <w:tc>
          <w:tcPr>
            <w:tcW w:w="2310" w:type="dxa"/>
          </w:tcPr>
          <w:p w14:paraId="1A540887" w14:textId="7EC55C3E" w:rsidR="00490490" w:rsidRDefault="003B11C8" w:rsidP="00490490">
            <w:r>
              <w:t>Below water level</w:t>
            </w:r>
          </w:p>
        </w:tc>
        <w:tc>
          <w:tcPr>
            <w:tcW w:w="2311" w:type="dxa"/>
          </w:tcPr>
          <w:p w14:paraId="24D7E2CF" w14:textId="3B392202" w:rsidR="00490490" w:rsidRPr="007E6126" w:rsidRDefault="00354C3F" w:rsidP="007E6126">
            <w:pPr>
              <w:jc w:val="center"/>
              <w:rPr>
                <w:rFonts w:ascii="Cambria Math" w:hAnsi="Cambria Math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311" w:type="dxa"/>
          </w:tcPr>
          <w:p w14:paraId="0924E8C8" w14:textId="7D2E8B1C" w:rsidR="00490490" w:rsidRDefault="00D86325" w:rsidP="00490490">
            <w:r>
              <w:t>Does not require large depth but does require very large distance to edges or the water (no target should be in sight range).</w:t>
            </w:r>
          </w:p>
        </w:tc>
      </w:tr>
      <w:tr w:rsidR="00490490" w14:paraId="206298C8" w14:textId="77777777" w:rsidTr="00490490">
        <w:tc>
          <w:tcPr>
            <w:tcW w:w="2310" w:type="dxa"/>
          </w:tcPr>
          <w:p w14:paraId="567EB573" w14:textId="1513FC35" w:rsidR="00490490" w:rsidRDefault="00490490" w:rsidP="00490490">
            <w:r>
              <w:t>Black Disk Attenuation</w:t>
            </w:r>
          </w:p>
        </w:tc>
        <w:tc>
          <w:tcPr>
            <w:tcW w:w="2310" w:type="dxa"/>
          </w:tcPr>
          <w:p w14:paraId="5603ECCB" w14:textId="79EAA7CD" w:rsidR="00490490" w:rsidRDefault="003B11C8" w:rsidP="00490490">
            <w:r>
              <w:t>Above water level</w:t>
            </w:r>
          </w:p>
        </w:tc>
        <w:tc>
          <w:tcPr>
            <w:tcW w:w="2311" w:type="dxa"/>
          </w:tcPr>
          <w:p w14:paraId="012C9392" w14:textId="6B2C8C4F" w:rsidR="00DB7DA9" w:rsidRPr="00DB7DA9" w:rsidRDefault="00DB7DA9" w:rsidP="00DB7DA9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c+K</m:t>
              </m:r>
            </m:oMath>
            <w:r>
              <w:rPr>
                <w:rFonts w:eastAsiaTheme="minorEastAsia"/>
              </w:rPr>
              <w:t xml:space="preserve">  in vertical measurement</w:t>
            </w:r>
          </w:p>
          <w:p w14:paraId="1EF62930" w14:textId="7BD7C9C3" w:rsidR="00DB7DA9" w:rsidRDefault="00DB7DA9" w:rsidP="00DB7DA9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in horizontal measurement</w:t>
            </w:r>
          </w:p>
          <w:p w14:paraId="6FA016CA" w14:textId="256CFBB4" w:rsidR="00490490" w:rsidRDefault="00354C3F" w:rsidP="00DB7DA9">
            <w:pPr>
              <w:jc w:val="center"/>
            </w:pPr>
            <m:oMath>
              <m:r>
                <w:rPr>
                  <w:rFonts w:ascii="Cambria Math" w:hAnsi="Cambria Math"/>
                </w:rPr>
                <m:t>c,K</m:t>
              </m:r>
            </m:oMath>
            <w:r w:rsidR="00DB7DA9">
              <w:rPr>
                <w:rFonts w:eastAsiaTheme="minorEastAsia"/>
              </w:rPr>
              <w:t xml:space="preserve"> if both methods applied</w:t>
            </w:r>
          </w:p>
        </w:tc>
        <w:tc>
          <w:tcPr>
            <w:tcW w:w="2311" w:type="dxa"/>
          </w:tcPr>
          <w:p w14:paraId="1885347A" w14:textId="500A43D2" w:rsidR="00D86325" w:rsidRDefault="00D86325" w:rsidP="00490490">
            <w:r>
              <w:t>Like Secchi Disk for vertical measurements,</w:t>
            </w:r>
          </w:p>
          <w:p w14:paraId="6B972490" w14:textId="37A0F563" w:rsidR="00490490" w:rsidRDefault="007E6126" w:rsidP="00490490">
            <w:r>
              <w:t>Horizontal measurements are suitable for relatively shallow water</w:t>
            </w:r>
            <w:r w:rsidR="00D86325">
              <w:t>.</w:t>
            </w:r>
            <w:r>
              <w:t xml:space="preserve">  </w:t>
            </w:r>
          </w:p>
        </w:tc>
      </w:tr>
    </w:tbl>
    <w:p w14:paraId="664A5D74" w14:textId="77777777" w:rsidR="00490490" w:rsidRPr="00490490" w:rsidRDefault="00490490" w:rsidP="00490490"/>
    <w:p w14:paraId="0966980D" w14:textId="61621829" w:rsidR="006F34A7" w:rsidRDefault="006F34A7" w:rsidP="00723BF5">
      <w:pPr>
        <w:pStyle w:val="Heading1"/>
      </w:pPr>
      <w:bookmarkStart w:id="5" w:name="_Toc115171272"/>
      <w:r>
        <w:t>Physical properties:</w:t>
      </w:r>
      <w:bookmarkEnd w:id="5"/>
    </w:p>
    <w:p w14:paraId="0B45BB4F" w14:textId="69D45B6F" w:rsidR="00723BF5" w:rsidRDefault="00723BF5" w:rsidP="00723BF5">
      <w:pPr>
        <w:pStyle w:val="Heading2"/>
      </w:pPr>
      <w:bookmarkStart w:id="6" w:name="_Toc115171273"/>
      <w:r>
        <w:t>Radiative transfer function:</w:t>
      </w:r>
      <w:bookmarkEnd w:id="6"/>
    </w:p>
    <w:p w14:paraId="12C49821" w14:textId="47E92DEB" w:rsidR="00DC3372" w:rsidRDefault="00D91E3D" w:rsidP="00DC3372">
      <w:r>
        <w:t xml:space="preserve">The physical phenomenon of energy transfer in form of EM radiation, the </w:t>
      </w:r>
      <w:r w:rsidR="008D512C">
        <w:t xml:space="preserve">radiance </w:t>
      </w:r>
      <w:r>
        <w:t xml:space="preserve">of the energy is affected by absorption, emission, and scattering processes. </w:t>
      </w:r>
      <w:r w:rsidR="009E5577">
        <w:t>The radiance</w:t>
      </w:r>
      <w:r w:rsidR="008D512C">
        <w:t xml:space="preserve"> </w:t>
      </w:r>
      <m:oMath>
        <m:r>
          <w:rPr>
            <w:rFonts w:ascii="Cambria Math" w:hAnsi="Cambria Math"/>
          </w:rPr>
          <m:t>L(r;ξ)</m:t>
        </m:r>
      </m:oMath>
      <w:r w:rsidR="009E5577">
        <w:t xml:space="preserve"> </w:t>
      </w:r>
      <w:r w:rsidR="008D512C">
        <w:t xml:space="preserve">in position </w:t>
      </w:r>
      <m:oMath>
        <m:r>
          <w:rPr>
            <w:rFonts w:ascii="Cambria Math" w:hAnsi="Cambria Math"/>
          </w:rPr>
          <m:t>r</m:t>
        </m:r>
      </m:oMath>
      <w:r w:rsidR="008D512C">
        <w:rPr>
          <w:rFonts w:eastAsiaTheme="minorEastAsia"/>
        </w:rPr>
        <w:t xml:space="preserve"> </w:t>
      </w:r>
      <w:r w:rsidR="009E5577">
        <w:t xml:space="preserve">propagation </w:t>
      </w:r>
      <w:r w:rsidR="008D512C">
        <w:t xml:space="preserve">in direction </w:t>
      </w:r>
      <m:oMath>
        <m:r>
          <w:rPr>
            <w:rFonts w:ascii="Cambria Math" w:hAnsi="Cambria Math"/>
          </w:rPr>
          <m:t>ξ</m:t>
        </m:r>
      </m:oMath>
      <w:r w:rsidR="008D512C">
        <w:rPr>
          <w:rFonts w:eastAsiaTheme="minorEastAsia"/>
        </w:rPr>
        <w:t xml:space="preserve"> </w:t>
      </w:r>
      <w:r w:rsidR="009E5577">
        <w:t xml:space="preserve">in an absorbing, scattering, and emitting 3D medium </w:t>
      </w:r>
      <w:r>
        <w:t>is mathematically described in radiative transfer</w:t>
      </w:r>
      <w:r w:rsidR="008D512C">
        <w:t xml:space="preserve"> equation (RTE)</w:t>
      </w:r>
      <w:r>
        <w:t>:</w:t>
      </w:r>
    </w:p>
    <w:p w14:paraId="0394132F" w14:textId="4DF9F579" w:rsidR="00D91E3D" w:rsidRPr="009E5577" w:rsidRDefault="00000000" w:rsidP="00DC3372">
      <w:pPr>
        <w:rPr>
          <w:rFonts w:eastAsiaTheme="minorEastAsia"/>
          <w:i/>
          <w:iCs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ξ⋅∇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r;ξ</m:t>
                  </m:r>
                </m:e>
              </m:d>
            </m:e>
            <m:lim>
              <m:r>
                <w:rPr>
                  <w:rFonts w:ascii="Cambria Math" w:hAnsi="Cambria Math"/>
                </w:rPr>
                <m:t>(a)</m:t>
              </m:r>
            </m:lim>
          </m:limLow>
          <m:r>
            <w:rPr>
              <w:rFonts w:ascii="Cambria Math" w:hAnsi="Cambria Math"/>
            </w:rPr>
            <m:t>=-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r;ξ</m:t>
                  </m:r>
                </m:e>
              </m:d>
            </m:e>
            <m:li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→ξ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  <m:li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r;ξ</m:t>
                  </m:r>
                </m:e>
              </m:d>
            </m:e>
            <m:lim>
              <m:r>
                <w:rPr>
                  <w:rFonts w:ascii="Cambria Math" w:hAnsi="Cambria Math"/>
                </w:rPr>
                <m:t>(d)</m:t>
              </m:r>
            </m:lim>
          </m:limLow>
        </m:oMath>
      </m:oMathPara>
    </w:p>
    <w:p w14:paraId="1BDAA02A" w14:textId="2D3F294D" w:rsidR="002D1A2B" w:rsidRPr="002D1A2B" w:rsidRDefault="009E5577" w:rsidP="002D1A2B">
      <w:pPr>
        <w:rPr>
          <w:rFonts w:eastAsiaTheme="minorEastAsia"/>
          <w:iCs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r</m:t>
        </m:r>
      </m:oMath>
      <w:r w:rsidR="008D512C">
        <w:rPr>
          <w:rFonts w:eastAsiaTheme="minorEastAsia"/>
        </w:rPr>
        <w:t xml:space="preserve"> is the position vector in cartesian coordinates, </w:t>
      </w:r>
      <m:oMath>
        <m:r>
          <w:rPr>
            <w:rFonts w:ascii="Cambria Math" w:eastAsiaTheme="minorEastAsia" w:hAnsi="Cambria Math"/>
          </w:rPr>
          <m:t>ξ</m:t>
        </m:r>
      </m:oMath>
      <w:r w:rsidR="008D512C">
        <w:rPr>
          <w:rFonts w:eastAsiaTheme="minorEastAsia"/>
        </w:rPr>
        <w:t xml:space="preserve"> is the direction unit vector,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8D512C">
        <w:rPr>
          <w:rFonts w:eastAsiaTheme="minorEastAsia"/>
        </w:rPr>
        <w:t xml:space="preserve"> is the attenuation coefficient, </w:t>
      </w:r>
      <m:oMath>
        <m:r>
          <w:rPr>
            <w:rFonts w:ascii="Cambria Math" w:eastAsiaTheme="minorEastAsia" w:hAnsi="Cambria Math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r;ξ</m:t>
            </m:r>
          </m:e>
        </m:d>
      </m:oMath>
      <w:r w:rsidR="00630E98">
        <w:rPr>
          <w:rFonts w:eastAsiaTheme="minorEastAsia"/>
        </w:rPr>
        <w:t xml:space="preserve"> is the volume scattering function (VSF) – describing the probability of radiance in position </w:t>
      </w:r>
      <m:oMath>
        <m:r>
          <w:rPr>
            <w:rFonts w:ascii="Cambria Math" w:eastAsiaTheme="minorEastAsia" w:hAnsi="Cambria Math"/>
          </w:rPr>
          <m:t>r</m:t>
        </m:r>
      </m:oMath>
      <w:r w:rsidR="00630E98">
        <w:rPr>
          <w:rFonts w:eastAsiaTheme="minorEastAsia"/>
        </w:rPr>
        <w:t xml:space="preserve"> with any direction </w:t>
      </w:r>
      <m:oMath>
        <m:r>
          <w:rPr>
            <w:rFonts w:ascii="Cambria Math" w:eastAsiaTheme="minorEastAsia" w:hAnsi="Cambria Math"/>
          </w:rPr>
          <m:t>ξ'</m:t>
        </m:r>
      </m:oMath>
      <w:r w:rsidR="00630E98">
        <w:rPr>
          <w:rFonts w:eastAsiaTheme="minorEastAsia"/>
        </w:rPr>
        <w:t xml:space="preserve"> to be scattered in direction </w:t>
      </w:r>
      <m:oMath>
        <m:r>
          <w:rPr>
            <w:rFonts w:ascii="Cambria Math" w:eastAsiaTheme="minorEastAsia" w:hAnsi="Cambria Math"/>
          </w:rPr>
          <m:t>ξ</m:t>
        </m:r>
      </m:oMath>
      <w:r w:rsidR="00630E9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r;ξ</m:t>
            </m:r>
          </m:e>
        </m:d>
      </m:oMath>
      <w:r w:rsidR="00630E98">
        <w:rPr>
          <w:rFonts w:eastAsiaTheme="minorEastAsia"/>
          <w:iCs/>
        </w:rPr>
        <w:t xml:space="preserve"> represents emissions from internal radiance source</w:t>
      </w:r>
      <w:r w:rsidR="009E6D27">
        <w:rPr>
          <w:rFonts w:eastAsiaTheme="minorEastAsia"/>
          <w:iCs/>
        </w:rPr>
        <w:t>.</w:t>
      </w:r>
    </w:p>
    <w:p w14:paraId="47995A4F" w14:textId="6B2031BB" w:rsidR="006F34A7" w:rsidRDefault="008A36DA" w:rsidP="00723BF5">
      <w:pPr>
        <w:pStyle w:val="Heading2"/>
      </w:pPr>
      <w:bookmarkStart w:id="7" w:name="_Toc115171274"/>
      <w:r w:rsidRPr="008A36DA">
        <w:t>Rayleigh</w:t>
      </w:r>
      <w:r w:rsidR="006F34A7">
        <w:t xml:space="preserve"> scattering</w:t>
      </w:r>
      <w:r w:rsidR="00723BF5">
        <w:t>:</w:t>
      </w:r>
      <w:bookmarkEnd w:id="7"/>
    </w:p>
    <w:p w14:paraId="4D20CD11" w14:textId="1D6B99FF" w:rsidR="002D1A2B" w:rsidRDefault="00532FBA" w:rsidP="002D1A2B">
      <w:pPr>
        <w:rPr>
          <w:rFonts w:eastAsiaTheme="minorEastAsia"/>
        </w:rPr>
      </w:pPr>
      <w:r>
        <w:t>Dispersion of EM radiation through particles with radius less than ~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the wavelength of the incident radiation, named after Lord Rayleigh, who described this phenomenon in his paper from 1871</w:t>
      </w:r>
      <w:r w:rsidR="003222C2">
        <w:rPr>
          <w:rFonts w:eastAsiaTheme="minorEastAsia"/>
        </w:rPr>
        <w:t>, this effect explains why the sky having blue color.</w:t>
      </w:r>
    </w:p>
    <w:p w14:paraId="43FF7FA3" w14:textId="4AD6726C" w:rsidR="00C806D7" w:rsidRDefault="00C806D7" w:rsidP="002D1A2B">
      <w:pPr>
        <w:rPr>
          <w:rFonts w:eastAsiaTheme="minorEastAsia"/>
        </w:rPr>
      </w:pPr>
      <w:r>
        <w:rPr>
          <w:rFonts w:eastAsiaTheme="minorEastAsia"/>
        </w:rPr>
        <w:t>The formula for Raileigh Scattering is given by:</w:t>
      </w:r>
    </w:p>
    <w:p w14:paraId="1FF06FC7" w14:textId="212CAAC2" w:rsidR="00C806D7" w:rsidRPr="00C806D7" w:rsidRDefault="00C806D7" w:rsidP="002D1A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2823E0B8" w14:textId="6FD83308" w:rsidR="00DF758F" w:rsidRPr="00892617" w:rsidRDefault="00C806D7" w:rsidP="0089261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92617">
        <w:rPr>
          <w:rFonts w:eastAsiaTheme="minorEastAsia"/>
        </w:rPr>
        <w:t xml:space="preserve">is the initial intensity,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no. of scatterers,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polarizability, R is the distance from scatterer</w:t>
      </w:r>
      <w:r w:rsidR="0089261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</m:t>
        </m:r>
      </m:oMath>
      <w:r w:rsidR="00892617">
        <w:rPr>
          <w:rFonts w:eastAsiaTheme="minorEastAsia"/>
        </w:rPr>
        <w:t xml:space="preserve"> is the wavelength and </w:t>
      </w:r>
      <m:oMath>
        <m:r>
          <w:rPr>
            <w:rFonts w:ascii="Cambria Math" w:eastAsiaTheme="minorEastAsia" w:hAnsi="Cambria Math"/>
          </w:rPr>
          <m:t>θ</m:t>
        </m:r>
      </m:oMath>
      <w:r w:rsidR="00892617">
        <w:rPr>
          <w:rFonts w:eastAsiaTheme="minorEastAsia"/>
        </w:rPr>
        <w:t xml:space="preserve"> is the scattering angle.</w:t>
      </w:r>
    </w:p>
    <w:p w14:paraId="06451F8F" w14:textId="43511433" w:rsidR="008A36DA" w:rsidRDefault="008A36DA" w:rsidP="00723BF5">
      <w:pPr>
        <w:pStyle w:val="Heading2"/>
      </w:pPr>
      <w:bookmarkStart w:id="8" w:name="_Toc115171275"/>
      <w:r>
        <w:t>Mie scattering</w:t>
      </w:r>
      <w:r w:rsidR="00723BF5">
        <w:t>:</w:t>
      </w:r>
      <w:bookmarkEnd w:id="8"/>
    </w:p>
    <w:p w14:paraId="1880C84A" w14:textId="6FF1F108" w:rsidR="00C95789" w:rsidRDefault="00892617" w:rsidP="00C95789">
      <w:pPr>
        <w:rPr>
          <w:rFonts w:eastAsiaTheme="minorEastAsia"/>
        </w:rPr>
      </w:pPr>
      <w:r>
        <w:lastRenderedPageBreak/>
        <w:t xml:space="preserve">The predominate scattering regime for particles with radius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that satisfies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2πR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≈1</m:t>
        </m:r>
      </m:oMath>
      <w:r w:rsidR="00DA2420">
        <w:rPr>
          <w:rFonts w:eastAsiaTheme="minorEastAsia"/>
        </w:rPr>
        <w:t>. Mie scattering is almost independent on wavelength, but it depends on the radius of the particle, as well as in the d</w:t>
      </w:r>
      <w:r w:rsidR="00DA2420" w:rsidRPr="00DA2420">
        <w:rPr>
          <w:rFonts w:eastAsiaTheme="minorEastAsia"/>
        </w:rPr>
        <w:t>ielectric and magnetic permeabilities</w:t>
      </w:r>
      <w:r w:rsidR="00DA2420">
        <w:rPr>
          <w:rFonts w:eastAsiaTheme="minorEastAsia"/>
        </w:rPr>
        <w:t xml:space="preserve"> of the scattering material. Unlike Rayleigh Scattering, Mie Scatter pattern is </w:t>
      </w:r>
      <w:r w:rsidR="00796DD5">
        <w:rPr>
          <w:rFonts w:eastAsiaTheme="minorEastAsia"/>
        </w:rPr>
        <w:t>asymmetric with larger lobe in the original direction of propagation.</w:t>
      </w:r>
    </w:p>
    <w:p w14:paraId="2FB8C521" w14:textId="21E02C13" w:rsidR="00796DD5" w:rsidRDefault="00796DD5" w:rsidP="00796DD5">
      <w:pPr>
        <w:jc w:val="center"/>
      </w:pPr>
      <w:r w:rsidRPr="00796DD5">
        <w:rPr>
          <w:noProof/>
        </w:rPr>
        <w:drawing>
          <wp:inline distT="0" distB="0" distL="0" distR="0" wp14:anchorId="300791BF" wp14:editId="0561B959">
            <wp:extent cx="5731510" cy="154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3C0B" w14:textId="76DBCE63" w:rsidR="00C95789" w:rsidRDefault="00C95789" w:rsidP="00C95789">
      <w:pPr>
        <w:pStyle w:val="Heading1"/>
      </w:pPr>
      <w:bookmarkStart w:id="9" w:name="_Toc115171276"/>
      <w:r>
        <w:t>References</w:t>
      </w:r>
      <w:bookmarkEnd w:id="9"/>
    </w:p>
    <w:p w14:paraId="2DE17CAF" w14:textId="4FD74191" w:rsidR="00C95789" w:rsidRDefault="00000000" w:rsidP="00C95789">
      <w:pPr>
        <w:pStyle w:val="ListParagraph"/>
        <w:numPr>
          <w:ilvl w:val="0"/>
          <w:numId w:val="1"/>
        </w:numPr>
      </w:pPr>
      <w:hyperlink r:id="rId10" w:history="1">
        <w:r w:rsidR="00C95789" w:rsidRPr="00F177CA">
          <w:rPr>
            <w:rStyle w:val="Hyperlink"/>
          </w:rPr>
          <w:t>https://aslopubs.onlineli</w:t>
        </w:r>
        <w:r w:rsidR="00C95789" w:rsidRPr="00F177CA">
          <w:rPr>
            <w:rStyle w:val="Hyperlink"/>
          </w:rPr>
          <w:t>b</w:t>
        </w:r>
        <w:r w:rsidR="00C95789" w:rsidRPr="00F177CA">
          <w:rPr>
            <w:rStyle w:val="Hyperlink"/>
          </w:rPr>
          <w:t>rary.wiley.com/doi/pdf/10.4319/lo.1988.33.4.0616</w:t>
        </w:r>
      </w:hyperlink>
    </w:p>
    <w:p w14:paraId="1432A8F9" w14:textId="0FFB290D" w:rsidR="00C95789" w:rsidRDefault="00000000" w:rsidP="00C95789">
      <w:pPr>
        <w:pStyle w:val="ListParagraph"/>
        <w:numPr>
          <w:ilvl w:val="0"/>
          <w:numId w:val="1"/>
        </w:numPr>
      </w:pPr>
      <w:hyperlink r:id="rId11" w:history="1">
        <w:r w:rsidR="00354C3F" w:rsidRPr="00F177CA">
          <w:rPr>
            <w:rStyle w:val="Hyperlink"/>
          </w:rPr>
          <w:t>https://www.viseaon.haifa.ac.il/_files/ugd/acdb85_708d3fc222fa492d8e7d2c26f2b5fd5e.pdf</w:t>
        </w:r>
      </w:hyperlink>
    </w:p>
    <w:p w14:paraId="120FF495" w14:textId="0FC91C85" w:rsidR="00354C3F" w:rsidRDefault="00000000" w:rsidP="00C95789">
      <w:pPr>
        <w:pStyle w:val="ListParagraph"/>
        <w:numPr>
          <w:ilvl w:val="0"/>
          <w:numId w:val="1"/>
        </w:numPr>
      </w:pPr>
      <w:hyperlink r:id="rId12" w:history="1">
        <w:r w:rsidR="00354C3F" w:rsidRPr="00F177CA">
          <w:rPr>
            <w:rStyle w:val="Hyperlink"/>
          </w:rPr>
          <w:t>https://aslopubs.onlinelibrary.wiley.com/doi/epdf/10.4319</w:t>
        </w:r>
        <w:r w:rsidR="00354C3F" w:rsidRPr="00F177CA">
          <w:rPr>
            <w:rStyle w:val="Hyperlink"/>
          </w:rPr>
          <w:t>/</w:t>
        </w:r>
        <w:r w:rsidR="00354C3F" w:rsidRPr="00F177CA">
          <w:rPr>
            <w:rStyle w:val="Hyperlink"/>
          </w:rPr>
          <w:t>lo.1986.31.5.0909</w:t>
        </w:r>
      </w:hyperlink>
    </w:p>
    <w:p w14:paraId="57DA33EE" w14:textId="75DA046B" w:rsidR="00354C3F" w:rsidRDefault="00000000" w:rsidP="00C95789">
      <w:pPr>
        <w:pStyle w:val="ListParagraph"/>
        <w:numPr>
          <w:ilvl w:val="0"/>
          <w:numId w:val="1"/>
        </w:numPr>
      </w:pPr>
      <w:hyperlink r:id="rId13" w:history="1">
        <w:r w:rsidR="00354C3F" w:rsidRPr="00F177CA">
          <w:rPr>
            <w:rStyle w:val="Hyperlink"/>
          </w:rPr>
          <w:t>https://opg.optica.org/oe</w:t>
        </w:r>
        <w:r w:rsidR="00354C3F" w:rsidRPr="00F177CA">
          <w:rPr>
            <w:rStyle w:val="Hyperlink"/>
          </w:rPr>
          <w:t>/</w:t>
        </w:r>
        <w:r w:rsidR="00354C3F" w:rsidRPr="00F177CA">
          <w:rPr>
            <w:rStyle w:val="Hyperlink"/>
          </w:rPr>
          <w:t>fulltext.cfm?uri=oe-11-23-2997&amp;id=77921</w:t>
        </w:r>
      </w:hyperlink>
    </w:p>
    <w:p w14:paraId="51D52DD4" w14:textId="3F65AD71" w:rsidR="00354C3F" w:rsidRDefault="00000000" w:rsidP="00354C3F">
      <w:pPr>
        <w:pStyle w:val="ListParagraph"/>
        <w:numPr>
          <w:ilvl w:val="0"/>
          <w:numId w:val="1"/>
        </w:numPr>
      </w:pPr>
      <w:hyperlink r:id="rId14" w:history="1">
        <w:r w:rsidR="00354C3F" w:rsidRPr="00F177CA">
          <w:rPr>
            <w:rStyle w:val="Hyperlink"/>
          </w:rPr>
          <w:t>https://opg.optica.org/oe/abstract.cfm?uri=oe-2</w:t>
        </w:r>
        <w:r w:rsidR="00354C3F" w:rsidRPr="00F177CA">
          <w:rPr>
            <w:rStyle w:val="Hyperlink"/>
          </w:rPr>
          <w:t>7</w:t>
        </w:r>
        <w:r w:rsidR="00354C3F" w:rsidRPr="00F177CA">
          <w:rPr>
            <w:rStyle w:val="Hyperlink"/>
          </w:rPr>
          <w:t>-12-a766</w:t>
        </w:r>
      </w:hyperlink>
    </w:p>
    <w:p w14:paraId="3BC76D1B" w14:textId="5CBE28C7" w:rsidR="00354C3F" w:rsidRDefault="00000000" w:rsidP="00354C3F">
      <w:pPr>
        <w:pStyle w:val="ListParagraph"/>
        <w:numPr>
          <w:ilvl w:val="0"/>
          <w:numId w:val="1"/>
        </w:numPr>
      </w:pPr>
      <w:hyperlink r:id="rId15" w:history="1">
        <w:r w:rsidR="00D10723" w:rsidRPr="008669D6">
          <w:rPr>
            <w:rStyle w:val="Hyperlink"/>
          </w:rPr>
          <w:t>https://www.sciencedirect.com/topics/physics-and-astronomy/radiative-transfer-equation</w:t>
        </w:r>
      </w:hyperlink>
    </w:p>
    <w:p w14:paraId="498542B5" w14:textId="4235CDA0" w:rsidR="00D10723" w:rsidRDefault="00000000" w:rsidP="00354C3F">
      <w:pPr>
        <w:pStyle w:val="ListParagraph"/>
        <w:numPr>
          <w:ilvl w:val="0"/>
          <w:numId w:val="1"/>
        </w:numPr>
      </w:pPr>
      <w:hyperlink r:id="rId16" w:history="1">
        <w:r w:rsidR="00DF758F" w:rsidRPr="00F177CA">
          <w:rPr>
            <w:rStyle w:val="Hyperlink"/>
          </w:rPr>
          <w:t>https://www.britannica.com/science/Rayleigh-scattering</w:t>
        </w:r>
      </w:hyperlink>
    </w:p>
    <w:p w14:paraId="4686D9CF" w14:textId="293D9929" w:rsidR="00DF758F" w:rsidRDefault="00000000" w:rsidP="00354C3F">
      <w:pPr>
        <w:pStyle w:val="ListParagraph"/>
        <w:numPr>
          <w:ilvl w:val="0"/>
          <w:numId w:val="1"/>
        </w:numPr>
      </w:pPr>
      <w:hyperlink r:id="rId17" w:history="1">
        <w:r w:rsidR="00794B1A" w:rsidRPr="00F177CA">
          <w:rPr>
            <w:rStyle w:val="Hyperlink"/>
          </w:rPr>
          <w:t>https://www.sciencedirect.com/topics/chemistry/rayleigh-scattering</w:t>
        </w:r>
      </w:hyperlink>
    </w:p>
    <w:p w14:paraId="486043D2" w14:textId="496D97EB" w:rsidR="00794B1A" w:rsidRDefault="00000000" w:rsidP="00354C3F">
      <w:pPr>
        <w:pStyle w:val="ListParagraph"/>
        <w:numPr>
          <w:ilvl w:val="0"/>
          <w:numId w:val="1"/>
        </w:numPr>
      </w:pPr>
      <w:hyperlink r:id="rId18" w:anchor="c2" w:history="1">
        <w:r w:rsidR="00C806D7" w:rsidRPr="00F177CA">
          <w:rPr>
            <w:rStyle w:val="Hyperlink"/>
          </w:rPr>
          <w:t>http://hyperphysics.phy-astr.gsu.edu/hbase/atmos/blusky.html#c2</w:t>
        </w:r>
      </w:hyperlink>
    </w:p>
    <w:sectPr w:rsidR="0079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75789"/>
    <w:multiLevelType w:val="hybridMultilevel"/>
    <w:tmpl w:val="2E803656"/>
    <w:lvl w:ilvl="0" w:tplc="DC425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7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CA"/>
    <w:rsid w:val="000503ED"/>
    <w:rsid w:val="002D1A2B"/>
    <w:rsid w:val="00301359"/>
    <w:rsid w:val="0031766B"/>
    <w:rsid w:val="003222C2"/>
    <w:rsid w:val="00354C3F"/>
    <w:rsid w:val="003B11C8"/>
    <w:rsid w:val="00447DC2"/>
    <w:rsid w:val="00490490"/>
    <w:rsid w:val="004C4F3D"/>
    <w:rsid w:val="00513212"/>
    <w:rsid w:val="00532FBA"/>
    <w:rsid w:val="005654D4"/>
    <w:rsid w:val="0059681C"/>
    <w:rsid w:val="005F67F2"/>
    <w:rsid w:val="00630E98"/>
    <w:rsid w:val="00673653"/>
    <w:rsid w:val="006C7E8E"/>
    <w:rsid w:val="006D117D"/>
    <w:rsid w:val="006F34A7"/>
    <w:rsid w:val="00723BF5"/>
    <w:rsid w:val="00794B1A"/>
    <w:rsid w:val="00796DD5"/>
    <w:rsid w:val="007D58D2"/>
    <w:rsid w:val="007E6126"/>
    <w:rsid w:val="00892617"/>
    <w:rsid w:val="008A36DA"/>
    <w:rsid w:val="008B275B"/>
    <w:rsid w:val="008D512C"/>
    <w:rsid w:val="009A0FBB"/>
    <w:rsid w:val="009E5577"/>
    <w:rsid w:val="009E6D27"/>
    <w:rsid w:val="00A13DBB"/>
    <w:rsid w:val="00A14924"/>
    <w:rsid w:val="00A42E0A"/>
    <w:rsid w:val="00A5786B"/>
    <w:rsid w:val="00A873BD"/>
    <w:rsid w:val="00AA3FEE"/>
    <w:rsid w:val="00B53827"/>
    <w:rsid w:val="00C806D7"/>
    <w:rsid w:val="00C95789"/>
    <w:rsid w:val="00C972DE"/>
    <w:rsid w:val="00D10723"/>
    <w:rsid w:val="00D86325"/>
    <w:rsid w:val="00D91E3D"/>
    <w:rsid w:val="00DA2420"/>
    <w:rsid w:val="00DB7DA9"/>
    <w:rsid w:val="00DC3372"/>
    <w:rsid w:val="00DF758F"/>
    <w:rsid w:val="00E44675"/>
    <w:rsid w:val="00E46DCA"/>
    <w:rsid w:val="00E67F38"/>
    <w:rsid w:val="00EC65D0"/>
    <w:rsid w:val="00F4022B"/>
    <w:rsid w:val="00F5316F"/>
    <w:rsid w:val="00F775E7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0945"/>
  <w15:docId w15:val="{7663D82D-0D27-447F-86E0-7E99086D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A7"/>
    <w:rPr>
      <w:rFonts w:asciiTheme="minorBidi" w:hAnsi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BF5"/>
    <w:pPr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A7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4A7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F34A7"/>
    <w:rPr>
      <w:rFonts w:asciiTheme="minorBidi" w:eastAsiaTheme="majorEastAsia" w:hAnsiTheme="minorBidi"/>
      <w:spacing w:val="-10"/>
      <w:kern w:val="28"/>
      <w:sz w:val="32"/>
      <w:szCs w:val="32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3BF5"/>
    <w:rPr>
      <w:rFonts w:asciiTheme="minorBidi" w:hAnsiTheme="minorBidi"/>
      <w:b/>
      <w:bCs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34A7"/>
    <w:rPr>
      <w:rFonts w:asciiTheme="minorBidi" w:hAnsiTheme="minorBidi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6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B2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75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3FEE"/>
    <w:rPr>
      <w:color w:val="808080"/>
    </w:rPr>
  </w:style>
  <w:style w:type="table" w:styleId="TableGrid">
    <w:name w:val="Table Grid"/>
    <w:basedOn w:val="TableNormal"/>
    <w:uiPriority w:val="39"/>
    <w:rsid w:val="0049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7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7F38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67F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7F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pg.optica.org/oe/fulltext.cfm?uri=oe-11-23-2997&amp;id=77921" TargetMode="External"/><Relationship Id="rId18" Type="http://schemas.openxmlformats.org/officeDocument/2006/relationships/hyperlink" Target="http://hyperphysics.phy-astr.gsu.edu/hbase/atmos/blusk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slopubs.onlinelibrary.wiley.com/doi/epdf/10.4319/lo.1986.31.5.0909" TargetMode="External"/><Relationship Id="rId17" Type="http://schemas.openxmlformats.org/officeDocument/2006/relationships/hyperlink" Target="https://www.sciencedirect.com/topics/chemistry/rayleigh-scatte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tannica.com/science/Rayleigh-scatte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viseaon.haifa.ac.il/_files/ugd/acdb85_708d3fc222fa492d8e7d2c26f2b5fd5e.pdf" TargetMode="External"/><Relationship Id="rId5" Type="http://schemas.openxmlformats.org/officeDocument/2006/relationships/hyperlink" Target="https://www.viseaon.haifa.ac.il/_files/ugd/acdb85_708d3fc222fa492d8e7d2c26f2b5fd5e.pdf" TargetMode="External"/><Relationship Id="rId15" Type="http://schemas.openxmlformats.org/officeDocument/2006/relationships/hyperlink" Target="https://www.sciencedirect.com/topics/physics-and-astronomy/radiative-transfer-equation" TargetMode="External"/><Relationship Id="rId10" Type="http://schemas.openxmlformats.org/officeDocument/2006/relationships/hyperlink" Target="https://aslopubs.onlinelibrary.wiley.com/doi/pdf/10.4319/lo.1988.33.4.061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opg.optica.org/oe/abstract.cfm?uri=oe-27-12-a766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8518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Mal</dc:creator>
  <cp:keywords/>
  <dc:description/>
  <cp:lastModifiedBy>Itay Mal</cp:lastModifiedBy>
  <cp:revision>7</cp:revision>
  <dcterms:created xsi:type="dcterms:W3CDTF">2022-09-21T14:23:00Z</dcterms:created>
  <dcterms:modified xsi:type="dcterms:W3CDTF">2022-10-03T19:06:00Z</dcterms:modified>
</cp:coreProperties>
</file>