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2752A" w14:textId="77777777" w:rsidR="00254BEA" w:rsidRPr="00027A1F" w:rsidRDefault="00254BEA" w:rsidP="00254BEA">
      <w:pPr>
        <w:pStyle w:val="Heading1"/>
      </w:pPr>
      <w:bookmarkStart w:id="0" w:name="_Toc234839335"/>
      <w:r w:rsidRPr="00027A1F">
        <w:t>Chapter 5: Agent-Based Model</w:t>
      </w:r>
      <w:bookmarkEnd w:id="0"/>
      <w:r w:rsidRPr="00027A1F">
        <w:t xml:space="preserve"> </w:t>
      </w:r>
    </w:p>
    <w:p w14:paraId="3F65C664" w14:textId="77777777" w:rsidR="00254BEA" w:rsidRPr="00027A1F" w:rsidRDefault="00254BEA" w:rsidP="00254BEA">
      <w:pPr>
        <w:pStyle w:val="Heading2"/>
      </w:pPr>
      <w:bookmarkStart w:id="1" w:name="_Toc234839336"/>
      <w:r w:rsidRPr="00027A1F">
        <w:t>5.1 Model Conceptualization and Rationale</w:t>
      </w:r>
      <w:bookmarkEnd w:id="1"/>
    </w:p>
    <w:p w14:paraId="3E78C704" w14:textId="77777777" w:rsidR="00254BEA" w:rsidRPr="00027A1F" w:rsidRDefault="00254BEA" w:rsidP="00254BEA">
      <w:pPr>
        <w:spacing w:line="360" w:lineRule="auto"/>
      </w:pPr>
      <w:r w:rsidRPr="00027A1F">
        <w:t xml:space="preserve">Building on the previous chapters, especially chapter 3, it becomes evident that the spatial and environmental distribution of the sites favours the autochthonous interpretation. </w:t>
      </w:r>
      <w:r w:rsidRPr="00EA64EA">
        <w:t>Moreover, as summarised at the end of Chapter 3</w:t>
      </w:r>
      <w:r w:rsidRPr="00027A1F">
        <w:t>, and shown to some extent in chapter 4, I suggest seeing the archaeological record as a palimpsest of repeated visits by mobile pastoral groups throughout the timespan the system has been active and that the pattern reflects both environmental and cultural considerations. This reconstruction will henceforth be termed the ‘palimpsest model’.</w:t>
      </w:r>
    </w:p>
    <w:p w14:paraId="3A77B261" w14:textId="77777777" w:rsidR="00254BEA" w:rsidRPr="00027A1F" w:rsidRDefault="00254BEA" w:rsidP="00254BEA">
      <w:pPr>
        <w:spacing w:line="360" w:lineRule="auto"/>
      </w:pPr>
      <w:r w:rsidRPr="00027A1F">
        <w:t xml:space="preserve">This model is hard to test in traditional archaeological investigation. The seasonal mobility that drives palimpsest formation operates below the resolution of traditional methods which resolve the record into blocks of decades at best, and more often centuries. While plausible, this reconstruction cannot be tested directly in the field, given this limitation. </w:t>
      </w:r>
      <w:r w:rsidRPr="00EA64EA">
        <w:t xml:space="preserve">To avoid leaving this as an untested proposition, </w:t>
      </w:r>
      <w:r>
        <w:t>a</w:t>
      </w:r>
      <w:r w:rsidRPr="00EA64EA">
        <w:t xml:space="preserve"> simulat</w:t>
      </w:r>
      <w:r>
        <w:t>ion of</w:t>
      </w:r>
      <w:r w:rsidRPr="00EA64EA">
        <w:t xml:space="preserve"> the palimpsest model </w:t>
      </w:r>
      <w:r>
        <w:t xml:space="preserve">is carried in this chapter </w:t>
      </w:r>
      <w:r w:rsidRPr="00EA64EA">
        <w:t>to test its plausibility.</w:t>
      </w:r>
      <w:r w:rsidRPr="00027A1F">
        <w:t xml:space="preserve"> Here it is important to emphasise that as archaeologists, we constantly build models, as we routinely infer cultural and historical reconstructions (i.e., models) from bodies of evidence such as ceramic distributions and frequencies (Lake, 2015 and references therein). A simulation is a more formal, experimental version of this: "</w:t>
      </w:r>
      <w:r w:rsidRPr="00027A1F">
        <w:rPr>
          <w:i/>
          <w:iCs/>
        </w:rPr>
        <w:t>a scientific technique in which a real-world system is represented in a simplified way and can be experimented on</w:t>
      </w:r>
      <w:r w:rsidRPr="00027A1F">
        <w:t xml:space="preserve">" (Romanowska </w:t>
      </w:r>
      <w:r>
        <w:t xml:space="preserve">&amp; </w:t>
      </w:r>
      <w:r w:rsidRPr="00027A1F">
        <w:t>Scherjon</w:t>
      </w:r>
      <w:r>
        <w:t xml:space="preserve">, </w:t>
      </w:r>
      <w:r w:rsidRPr="00027A1F">
        <w:t>2023); in archaeology, such simulations are used for tactical method-testing, theory-building, and hypothesis-testing (Lake, 2014).</w:t>
      </w:r>
    </w:p>
    <w:p w14:paraId="1D03097C" w14:textId="77777777" w:rsidR="00254BEA" w:rsidRPr="00027A1F" w:rsidRDefault="00254BEA" w:rsidP="00254BEA">
      <w:pPr>
        <w:spacing w:line="360" w:lineRule="auto"/>
      </w:pPr>
      <w:r w:rsidRPr="00027A1F">
        <w:t xml:space="preserve">Agent-Based Modelling (ABM) is a simulation method well suited to modelling bottom-up dynamics that give rise to large-scale patterns, a phenomenon known as emergence (Lake, 2015; Romanowska et al., 2021). This bottom-up modelling is achieved through the actions of many autonomous units, or agents, which in this case are individual households. ABM treats each agent (household) as a decision-making entity that follows a set of simple, local rules (for example, where to camp or when to move). Simulation lets these household agents act and respond to their environment, which is itself dynamic, </w:t>
      </w:r>
      <w:r w:rsidRPr="00027A1F">
        <w:lastRenderedPageBreak/>
        <w:t xml:space="preserve">over many time steps. The regional pattern of interest, the accumulated archaeological palimpsest, should emerge from the agents' behaviour (if the model is successful). </w:t>
      </w:r>
    </w:p>
    <w:p w14:paraId="188F9026" w14:textId="77777777" w:rsidR="00254BEA" w:rsidRPr="00027A1F" w:rsidRDefault="00254BEA" w:rsidP="00254BEA">
      <w:pPr>
        <w:spacing w:line="360" w:lineRule="auto"/>
      </w:pPr>
      <w:r w:rsidRPr="00027A1F">
        <w:t xml:space="preserve">Alternative approaches such as statistical models (e.g., regression or MaxEnt) are fundamentally static, focused on end states rather than processes. By treating the archaeological record as fixed outcome of fixed predictors, temporal processes or feedback loops between human activity and environmental processes are hard to identify (Romanowska, 2015; Verhagen </w:t>
      </w:r>
      <w:r>
        <w:t xml:space="preserve">&amp; </w:t>
      </w:r>
      <w:r w:rsidRPr="00027A1F">
        <w:t>Whitley</w:t>
      </w:r>
      <w:r>
        <w:t xml:space="preserve">, </w:t>
      </w:r>
      <w:r w:rsidRPr="00027A1F">
        <w:t xml:space="preserve">2020). Moreover, explicit computational models, and especially ABM, force researchers to specify assumptions precisely and test their logical consequences (Romanowska et al., 2019; Lake, 2020), thus providing a useful tool for hypothesis </w:t>
      </w:r>
      <w:commentRangeStart w:id="2"/>
      <w:r w:rsidRPr="00027A1F">
        <w:t>testing</w:t>
      </w:r>
      <w:commentRangeEnd w:id="2"/>
      <w:r w:rsidRPr="00027A1F">
        <w:rPr>
          <w:rStyle w:val="CommentReference"/>
          <w:sz w:val="24"/>
          <w:szCs w:val="22"/>
        </w:rPr>
        <w:commentReference w:id="2"/>
      </w:r>
      <w:r w:rsidRPr="00027A1F">
        <w:t>.</w:t>
      </w:r>
    </w:p>
    <w:p w14:paraId="5699BAD3" w14:textId="77777777" w:rsidR="00254BEA" w:rsidRPr="00027A1F" w:rsidRDefault="00254BEA" w:rsidP="00254BEA">
      <w:pPr>
        <w:spacing w:line="360" w:lineRule="auto"/>
      </w:pPr>
      <w:r w:rsidRPr="00027A1F">
        <w:t xml:space="preserve">The model aspires to answer the question: </w:t>
      </w:r>
      <w:r w:rsidRPr="00027A1F">
        <w:rPr>
          <w:i/>
          <w:iCs/>
        </w:rPr>
        <w:t>“Can autochthonous nomadic processes, operating through temporal mobility and environmental feedbacks, sufficiently generate patterns similar to the observed Iron Age IIA archaeological record?”</w:t>
      </w:r>
      <w:r w:rsidRPr="00027A1F">
        <w:t xml:space="preserve">  Accordingly, the simulation built here is of the hypothesis-testing type, though with a slight nuance. It sets out to test whether the dynamic processes and behaviours the palimpsest model envisions can generate a record resembling the one observed, thereby establishing it as a plausible scenario. It rests on a small set of assumptions and behavioural rules, detailed below.</w:t>
      </w:r>
    </w:p>
    <w:p w14:paraId="62A11342" w14:textId="77777777" w:rsidR="00254BEA" w:rsidRPr="00027A1F" w:rsidRDefault="00254BEA" w:rsidP="00254BEA">
      <w:pPr>
        <w:spacing w:line="360" w:lineRule="auto"/>
      </w:pPr>
      <w:r w:rsidRPr="00027A1F">
        <w:t>The model rests on the following assumptions and simplifications:</w:t>
      </w:r>
    </w:p>
    <w:p w14:paraId="586CA650" w14:textId="77777777" w:rsidR="00254BEA" w:rsidRPr="00027A1F" w:rsidRDefault="00254BEA" w:rsidP="00254BEA">
      <w:pPr>
        <w:pStyle w:val="ListParagraph"/>
        <w:numPr>
          <w:ilvl w:val="0"/>
          <w:numId w:val="25"/>
        </w:numPr>
        <w:spacing w:line="360" w:lineRule="auto"/>
      </w:pPr>
      <w:r w:rsidRPr="00027A1F">
        <w:t>Nomadic groups, with varying degrees of mobility, characterised the Negev Highlands population and were responsible for the observed patterns.</w:t>
      </w:r>
    </w:p>
    <w:p w14:paraId="5B353503" w14:textId="77777777" w:rsidR="00254BEA" w:rsidRPr="00027A1F" w:rsidRDefault="00254BEA" w:rsidP="00254BEA">
      <w:pPr>
        <w:pStyle w:val="ListParagraph"/>
        <w:numPr>
          <w:ilvl w:val="0"/>
          <w:numId w:val="25"/>
        </w:numPr>
        <w:spacing w:line="360" w:lineRule="auto"/>
      </w:pPr>
      <w:r w:rsidRPr="00027A1F">
        <w:t>At least part of the population moved seasonally between the Arabah and the Negev Highlands, and within the region.</w:t>
      </w:r>
    </w:p>
    <w:p w14:paraId="233F87C9" w14:textId="77777777" w:rsidR="00254BEA" w:rsidRPr="00027A1F" w:rsidRDefault="00254BEA" w:rsidP="00254BEA">
      <w:pPr>
        <w:pStyle w:val="ListParagraph"/>
        <w:numPr>
          <w:ilvl w:val="0"/>
          <w:numId w:val="25"/>
        </w:numPr>
        <w:spacing w:line="360" w:lineRule="auto"/>
      </w:pPr>
      <w:r w:rsidRPr="00027A1F">
        <w:t>Subsistence economy, characterised as multiresource nomadism, relied on pastoralism, manufacture and trade of copper and other desert goods, and opportunistic agriculture.</w:t>
      </w:r>
    </w:p>
    <w:p w14:paraId="5748FFBD" w14:textId="77777777" w:rsidR="00254BEA" w:rsidRPr="00027A1F" w:rsidRDefault="00254BEA" w:rsidP="00254BEA">
      <w:pPr>
        <w:pStyle w:val="ListParagraph"/>
        <w:numPr>
          <w:ilvl w:val="0"/>
          <w:numId w:val="25"/>
        </w:numPr>
        <w:spacing w:line="360" w:lineRule="auto"/>
      </w:pPr>
      <w:r w:rsidRPr="00027A1F">
        <w:t>Stone-built structures represent seasonal rather than permanent occupation.</w:t>
      </w:r>
    </w:p>
    <w:p w14:paraId="2687C7B5" w14:textId="77777777" w:rsidR="00254BEA" w:rsidRPr="00027A1F" w:rsidRDefault="00254BEA" w:rsidP="00254BEA">
      <w:pPr>
        <w:pStyle w:val="ListParagraph"/>
        <w:numPr>
          <w:ilvl w:val="0"/>
          <w:numId w:val="25"/>
        </w:numPr>
        <w:spacing w:line="360" w:lineRule="auto"/>
      </w:pPr>
      <w:r w:rsidRPr="00027A1F">
        <w:t xml:space="preserve">Tell el-Qudeirat (Kadesh Barnea) functioned as the central site within the Negev Highlands system and was the main destination for people and goods coming </w:t>
      </w:r>
      <w:r w:rsidRPr="00027A1F">
        <w:lastRenderedPageBreak/>
        <w:t>from the Arabah (based on both the results of chapter 3 and previous studies; see Ben-Dor Evian, 2017 and references therein)</w:t>
      </w:r>
    </w:p>
    <w:p w14:paraId="4205409F" w14:textId="77777777" w:rsidR="00254BEA" w:rsidRPr="00027A1F" w:rsidRDefault="00254BEA" w:rsidP="00254BEA">
      <w:pPr>
        <w:pStyle w:val="ListParagraph"/>
        <w:numPr>
          <w:ilvl w:val="0"/>
          <w:numId w:val="25"/>
        </w:numPr>
        <w:spacing w:line="360" w:lineRule="auto"/>
      </w:pPr>
      <w:r w:rsidRPr="00027A1F">
        <w:t>The population is held constant throughout the simulation.</w:t>
      </w:r>
    </w:p>
    <w:p w14:paraId="5E8CF3BE" w14:textId="77777777" w:rsidR="00254BEA" w:rsidRPr="00027A1F" w:rsidRDefault="00254BEA" w:rsidP="00254BEA">
      <w:pPr>
        <w:pStyle w:val="ListParagraph"/>
        <w:numPr>
          <w:ilvl w:val="0"/>
          <w:numId w:val="25"/>
        </w:numPr>
        <w:spacing w:line="360" w:lineRule="auto"/>
      </w:pPr>
      <w:r w:rsidRPr="00027A1F">
        <w:t xml:space="preserve">The climate was similar to the present climate, as reflected in paleoclimatic studies (e.g., Goldsmith et al., 2023; Langgut </w:t>
      </w:r>
      <w:r>
        <w:t xml:space="preserve">&amp; </w:t>
      </w:r>
      <w:r w:rsidRPr="00027A1F">
        <w:t>Finkelstein</w:t>
      </w:r>
      <w:r>
        <w:t xml:space="preserve">, </w:t>
      </w:r>
      <w:r w:rsidRPr="00027A1F">
        <w:t>2023).</w:t>
      </w:r>
    </w:p>
    <w:p w14:paraId="606FB403" w14:textId="77777777" w:rsidR="00254BEA" w:rsidRPr="00027A1F" w:rsidRDefault="00254BEA" w:rsidP="00254BEA">
      <w:pPr>
        <w:pStyle w:val="ListParagraph"/>
        <w:numPr>
          <w:ilvl w:val="0"/>
          <w:numId w:val="25"/>
        </w:numPr>
        <w:spacing w:line="360" w:lineRule="auto"/>
      </w:pPr>
      <w:r w:rsidRPr="00027A1F">
        <w:t>This socio-economic system described above persisted for at least 75 years (the minimum span of Iron Age IIA on the low chronology) and, on the radiocarbon evidence, probably considerably longer (see 1.4 above).</w:t>
      </w:r>
    </w:p>
    <w:p w14:paraId="3859B7D3" w14:textId="77777777" w:rsidR="00254BEA" w:rsidRPr="00027A1F" w:rsidRDefault="00254BEA" w:rsidP="00254BEA">
      <w:pPr>
        <w:spacing w:line="360" w:lineRule="auto"/>
      </w:pPr>
      <w:r w:rsidRPr="00027A1F">
        <w:t xml:space="preserve">Based on those assumptions the model aims to simulate the accumulation of nomadic activity into a palimpsest resembling the archaeological record. To achieve such a pattern, the decision-making units in the model (agents) are nomadic households composed of </w:t>
      </w:r>
      <w:r>
        <w:rPr>
          <w:lang w:val="en-US"/>
        </w:rPr>
        <w:t>several</w:t>
      </w:r>
      <w:r w:rsidRPr="00027A1F">
        <w:t xml:space="preserve"> nuclear families. Each such household manages its location through a set of cultural and environmental considerations (detailed below, see </w:t>
      </w:r>
      <w:r>
        <w:t>S</w:t>
      </w:r>
      <w:r w:rsidRPr="00027A1F">
        <w:t>ection 5.</w:t>
      </w:r>
      <w:r>
        <w:t>3.1</w:t>
      </w:r>
      <w:r w:rsidRPr="00027A1F">
        <w:t xml:space="preserve">), derived from the assumptions above. This in turn leads the agents to reposition yearly thereby creating a cumulative pattern. </w:t>
      </w:r>
    </w:p>
    <w:p w14:paraId="64EDE03C" w14:textId="77777777" w:rsidR="00254BEA" w:rsidRPr="00027A1F" w:rsidRDefault="00254BEA" w:rsidP="00254BEA">
      <w:pPr>
        <w:spacing w:line="360" w:lineRule="auto"/>
      </w:pPr>
      <w:r w:rsidRPr="00027A1F">
        <w:t xml:space="preserve"> Accordingly, the following main behavioural rules are operationalised:</w:t>
      </w:r>
    </w:p>
    <w:p w14:paraId="14C03BAF" w14:textId="77777777" w:rsidR="00254BEA" w:rsidRPr="00027A1F" w:rsidRDefault="00254BEA" w:rsidP="00254BEA">
      <w:pPr>
        <w:pStyle w:val="ListParagraph"/>
        <w:numPr>
          <w:ilvl w:val="0"/>
          <w:numId w:val="26"/>
        </w:numPr>
        <w:spacing w:line="360" w:lineRule="auto"/>
      </w:pPr>
      <w:r w:rsidRPr="00027A1F">
        <w:t>Agents select a location within the landscape once a year (representing either a return from the Arabah or relocation within the region).</w:t>
      </w:r>
    </w:p>
    <w:p w14:paraId="2DBE72E8" w14:textId="77777777" w:rsidR="00254BEA" w:rsidRPr="00027A1F" w:rsidRDefault="00254BEA" w:rsidP="00254BEA">
      <w:pPr>
        <w:pStyle w:val="ListParagraph"/>
        <w:numPr>
          <w:ilvl w:val="0"/>
          <w:numId w:val="26"/>
        </w:numPr>
        <w:spacing w:line="360" w:lineRule="auto"/>
      </w:pPr>
      <w:r w:rsidRPr="00027A1F">
        <w:t xml:space="preserve">They establish a loose territory </w:t>
      </w:r>
      <w:r w:rsidRPr="009C11D4">
        <w:t xml:space="preserve"> (on the order of 80 km², widening on poorer ground; §5.3.1) </w:t>
      </w:r>
      <w:r w:rsidRPr="00027A1F">
        <w:t xml:space="preserve">around the selected location and disperse the nuclear families within it. </w:t>
      </w:r>
    </w:p>
    <w:p w14:paraId="7E4AE8F2" w14:textId="77777777" w:rsidR="00254BEA" w:rsidRPr="00027A1F" w:rsidRDefault="00254BEA" w:rsidP="00254BEA">
      <w:pPr>
        <w:pStyle w:val="ListParagraph"/>
        <w:numPr>
          <w:ilvl w:val="0"/>
          <w:numId w:val="26"/>
        </w:numPr>
        <w:spacing w:line="360" w:lineRule="auto"/>
      </w:pPr>
      <w:r w:rsidRPr="00027A1F">
        <w:t xml:space="preserve">The agents' presence degrades local resources, which recover over time. </w:t>
      </w:r>
    </w:p>
    <w:p w14:paraId="1AD794BC" w14:textId="77777777" w:rsidR="00254BEA" w:rsidRPr="00027A1F" w:rsidRDefault="00254BEA" w:rsidP="00254BEA">
      <w:pPr>
        <w:pStyle w:val="ListParagraph"/>
        <w:numPr>
          <w:ilvl w:val="0"/>
          <w:numId w:val="26"/>
        </w:numPr>
        <w:spacing w:line="360" w:lineRule="auto"/>
      </w:pPr>
      <w:r w:rsidRPr="00027A1F">
        <w:t>The agents learn from past experiences and form loose attachments to previously visited locations and territories.</w:t>
      </w:r>
    </w:p>
    <w:p w14:paraId="5B71BDD9" w14:textId="77777777" w:rsidR="00254BEA" w:rsidRPr="00027A1F" w:rsidRDefault="00254BEA" w:rsidP="00254BEA">
      <w:pPr>
        <w:pStyle w:val="ListParagraph"/>
        <w:numPr>
          <w:ilvl w:val="0"/>
          <w:numId w:val="26"/>
        </w:numPr>
        <w:spacing w:line="360" w:lineRule="auto"/>
      </w:pPr>
      <w:r w:rsidRPr="00027A1F">
        <w:t>The enclosed compounds are built by the households as an expression of accumulated surplus, functioning as communal centres.</w:t>
      </w:r>
    </w:p>
    <w:p w14:paraId="358D0799" w14:textId="77777777" w:rsidR="00254BEA" w:rsidRDefault="00254BEA" w:rsidP="00254BEA">
      <w:pPr>
        <w:spacing w:line="360" w:lineRule="auto"/>
      </w:pPr>
      <w:r>
        <w:t xml:space="preserve">As discussed above (Section 1.4.1), the enclosed compounds are seen by most of the scholars as key sites within the Iron Age IIA Negev Highlands system, largely due to their more substantial architecture - a central courtyard enclosed by a casemate wall which finds parallels in the settled zone (e.g., Aharoni et al., 1960; Cohen &amp; Cohen Amin, 2004). </w:t>
      </w:r>
      <w:r>
        <w:lastRenderedPageBreak/>
        <w:t>As the spatial analysis done in Chapter 3 suggests, in this chapter they are seen as communal places, plausibly periodic gathering points for otherwise dispersed groups, rather than seats of authority.</w:t>
      </w:r>
    </w:p>
    <w:p w14:paraId="7E694348" w14:textId="77777777" w:rsidR="00254BEA" w:rsidRDefault="00254BEA" w:rsidP="00254BEA">
      <w:pPr>
        <w:spacing w:line="360" w:lineRule="auto"/>
      </w:pPr>
      <w:r>
        <w:t>On this reading, building an enclosed compound reflects infrastructure investment depending on surplus of available resources. The model operationalises the idea in the following way: a household that has resources above a certain threshold and does not need to compensate for poor environment (Section 5.3.3), converts part of that surplus into durable infrastructure that anchors its group to a favoured area. The leading premise is that enclosed compounds arise from local decisions, not from top-down planning.</w:t>
      </w:r>
    </w:p>
    <w:p w14:paraId="27472508" w14:textId="77777777" w:rsidR="00254BEA" w:rsidRDefault="00254BEA" w:rsidP="00254BEA">
      <w:pPr>
        <w:spacing w:line="360" w:lineRule="auto"/>
      </w:pPr>
      <w:r w:rsidRPr="005629D5">
        <w:t xml:space="preserve">One idea underlies several of these behaviours and recurs throughout the chapter: carrying capacity. In ecology </w:t>
      </w:r>
      <w:r>
        <w:t xml:space="preserve">this concept is defined as </w:t>
      </w:r>
      <w:r w:rsidRPr="005629D5">
        <w:t xml:space="preserve">the population that a given area can support (Hartvigsen, 2013). Carried into archaeology the concept </w:t>
      </w:r>
      <w:r>
        <w:t>has to be carefully used</w:t>
      </w:r>
      <w:r w:rsidRPr="005629D5">
        <w:t xml:space="preserve">, because, unlike other animals, people can substantially alter a landscape's capacity, sometimes by a wide margin </w:t>
      </w:r>
      <w:r>
        <w:t xml:space="preserve">(e.g., </w:t>
      </w:r>
      <w:r w:rsidRPr="005629D5">
        <w:t xml:space="preserve">by digging cisterns, fertilising, or </w:t>
      </w:r>
      <w:r>
        <w:t>managing</w:t>
      </w:r>
      <w:r w:rsidRPr="005629D5">
        <w:t xml:space="preserve"> </w:t>
      </w:r>
      <w:r>
        <w:t>herds)</w:t>
      </w:r>
      <w:r w:rsidRPr="005629D5">
        <w:t xml:space="preserve"> (Glassow, 1978; see Caple </w:t>
      </w:r>
      <w:r>
        <w:t xml:space="preserve">&amp; </w:t>
      </w:r>
      <w:r w:rsidRPr="005629D5">
        <w:t>Løvschal</w:t>
      </w:r>
      <w:r>
        <w:t xml:space="preserve">, </w:t>
      </w:r>
      <w:r w:rsidRPr="005629D5">
        <w:t xml:space="preserve">2025). The model therefore uses carrying capacity in a generalised sense, as the environmental value it assigns to each location: a composite of stable and year-to-year factors such as rainfall, soil quality, and the </w:t>
      </w:r>
      <w:r>
        <w:t>effect</w:t>
      </w:r>
      <w:r w:rsidRPr="005629D5">
        <w:t xml:space="preserve"> left by earlier activity (Section</w:t>
      </w:r>
      <w:r>
        <w:t>s</w:t>
      </w:r>
      <w:r w:rsidRPr="005629D5">
        <w:t xml:space="preserve"> 5.3.</w:t>
      </w:r>
      <w:r>
        <w:t>1 and 5.3.2</w:t>
      </w:r>
      <w:r w:rsidRPr="005629D5">
        <w:t xml:space="preserve">). </w:t>
      </w:r>
    </w:p>
    <w:p w14:paraId="6F6471C1" w14:textId="77777777" w:rsidR="00254BEA" w:rsidRPr="00027A1F" w:rsidRDefault="00254BEA" w:rsidP="00254BEA">
      <w:pPr>
        <w:spacing w:line="360" w:lineRule="auto"/>
      </w:pPr>
      <w:r w:rsidRPr="00027A1F">
        <w:t xml:space="preserve">The model is, as all models, a simplified representation of the real-world system (Romanowska et al., 2019). Each household acts as a single decision-making unit. For instance, I do not represent demographics or internal tensions of the people within it, although these surely influenced where groups camped, or how clustered they chose to be. Environmental processes, such as resource degradation and recovery are captured by deliberately simple functions rather than full ecological models, which lie beyond the scope of this work. Because both household decisions and year-to-year conditions incorporate an element of chance (stochasticity), no two runs are identical. Therefore, the model's behaviour is characterised from many repeated runs. Uneven preservation and survey coverage also bear on how closely the simulated pattern can be expected to match the real record. </w:t>
      </w:r>
    </w:p>
    <w:p w14:paraId="7B6CEEBF" w14:textId="77777777" w:rsidR="00254BEA" w:rsidRPr="00027A1F" w:rsidRDefault="00254BEA" w:rsidP="00254BEA">
      <w:pPr>
        <w:spacing w:line="360" w:lineRule="auto"/>
      </w:pPr>
      <w:r w:rsidRPr="00027A1F">
        <w:lastRenderedPageBreak/>
        <w:t>This set of assumptions and rules is what leads the model to accumulate nomadic activity into a palimpsest; the sections that follow specify each component before turning to the model's calibration and results.</w:t>
      </w:r>
    </w:p>
    <w:p w14:paraId="1D101C7C" w14:textId="77777777" w:rsidR="00254BEA" w:rsidRPr="00027A1F" w:rsidRDefault="00254BEA" w:rsidP="00254BEA">
      <w:pPr>
        <w:pStyle w:val="Heading2"/>
      </w:pPr>
      <w:bookmarkStart w:id="3" w:name="_Toc234839337"/>
      <w:r w:rsidRPr="00027A1F">
        <w:t xml:space="preserve">5.2 </w:t>
      </w:r>
      <w:commentRangeStart w:id="4"/>
      <w:r w:rsidRPr="00027A1F">
        <w:t>Model</w:t>
      </w:r>
      <w:commentRangeEnd w:id="4"/>
      <w:r w:rsidRPr="00027A1F">
        <w:rPr>
          <w:rStyle w:val="CommentReference"/>
          <w:sz w:val="32"/>
          <w:szCs w:val="32"/>
        </w:rPr>
        <w:commentReference w:id="4"/>
      </w:r>
      <w:r w:rsidRPr="00027A1F">
        <w:t xml:space="preserve"> Structure and Components</w:t>
      </w:r>
      <w:bookmarkEnd w:id="3"/>
    </w:p>
    <w:p w14:paraId="0E2187B5" w14:textId="77777777" w:rsidR="00254BEA" w:rsidRPr="00027A1F" w:rsidRDefault="00254BEA" w:rsidP="00254BEA">
      <w:pPr>
        <w:spacing w:line="360" w:lineRule="auto"/>
      </w:pPr>
      <w:r w:rsidRPr="00E74B92">
        <w:t>This section sets out the model's architecture: the landscape it runs on, from the grid of cells to the environmental layers households read; the household agents themselves; and the timescale over which they act.</w:t>
      </w:r>
      <w:r>
        <w:t xml:space="preserve"> </w:t>
      </w:r>
      <w:r w:rsidRPr="002F3EA6">
        <w:t>The model is implemented in Python with the Mesa agent-based modelling framework (ter Hoeven et al., 2025).</w:t>
      </w:r>
    </w:p>
    <w:p w14:paraId="375FE93F" w14:textId="77777777" w:rsidR="00254BEA" w:rsidRPr="00027A1F" w:rsidRDefault="00254BEA" w:rsidP="00254BEA">
      <w:pPr>
        <w:pStyle w:val="Heading3"/>
      </w:pPr>
      <w:bookmarkStart w:id="5" w:name="_Toc234839338"/>
      <w:r w:rsidRPr="00027A1F">
        <w:t xml:space="preserve">5.2.1 Spatial </w:t>
      </w:r>
      <w:r>
        <w:t xml:space="preserve">and Environmental </w:t>
      </w:r>
      <w:r w:rsidRPr="00027A1F">
        <w:t>Representation of the Negev Highlands</w:t>
      </w:r>
      <w:bookmarkEnd w:id="5"/>
    </w:p>
    <w:p w14:paraId="7583DC17" w14:textId="77777777" w:rsidR="00254BEA" w:rsidRDefault="00254BEA" w:rsidP="00254BEA">
      <w:pPr>
        <w:pStyle w:val="Heading4"/>
      </w:pPr>
      <w:r>
        <w:t>5.2.1.1 Spatial Specifications</w:t>
      </w:r>
    </w:p>
    <w:p w14:paraId="5E9F6620" w14:textId="77777777" w:rsidR="00254BEA" w:rsidRPr="00027A1F" w:rsidRDefault="00254BEA" w:rsidP="00254BEA">
      <w:pPr>
        <w:spacing w:line="360" w:lineRule="auto"/>
      </w:pPr>
      <w:r w:rsidRPr="00027A1F">
        <w:t xml:space="preserve">The model represents the region as a grid of square cells. The idea is to represent the continuous environmental and anthropogenic data that households make their decisions upon as raster layers. Each cell is 250 × 250 m (62.5 dunam), across a grid of 318×280 cells. This size was set to balance computational efficiency and three spatial limitations: the positional error of survey coordinates (roughly 100–500 m in most surveys), the spread of Iron Age IIA sites (whose remains can extend over some 400 m; Rothenberg, 1967), and the resolution of the available environmental datasets. </w:t>
      </w:r>
    </w:p>
    <w:p w14:paraId="241DB890" w14:textId="77777777" w:rsidR="00254BEA" w:rsidRPr="00027A1F" w:rsidRDefault="00254BEA" w:rsidP="00254BEA">
      <w:pPr>
        <w:spacing w:line="360" w:lineRule="auto"/>
      </w:pPr>
      <w:r w:rsidRPr="00027A1F">
        <w:t xml:space="preserve">The modelled area follows the natural topographic limits of the Negev Highlands (see Section 1.3) where it can. The exception is the western edge that is cut at the modern Israel–Egypt border due to data limitations (see Section 3.2 above), as the model can only represent terrain for which comparable environmental data exist. That border therefore cuts the study area short of the natural western extent of the </w:t>
      </w:r>
      <w:r>
        <w:t xml:space="preserve">Negev </w:t>
      </w:r>
      <w:r w:rsidRPr="00027A1F">
        <w:t xml:space="preserve">Highlands, leaving 48 Iron Age IIA sites (9.4% of the dataset) outside the spatial comparison (Figure 5.1). </w:t>
      </w:r>
    </w:p>
    <w:p w14:paraId="233E251C" w14:textId="77777777" w:rsidR="00254BEA" w:rsidRPr="00027A1F" w:rsidRDefault="00254BEA" w:rsidP="00254BEA">
      <w:pPr>
        <w:spacing w:line="360" w:lineRule="auto"/>
      </w:pPr>
      <w:r w:rsidRPr="00027A1F">
        <w:t xml:space="preserve">Two choices about the grid's edges follow from the same concern with realism. Space is bounded, not "toroidal": unlike many ABMs, where an agent leaving one edge reappears on the opposite side (as in Pac-Man), households here cannot (Lake, 2020). Since cells at the very edge would otherwise lack neighbours, a buffer zone extends beyond the valid placement area — environmental processes such as degradation and resource availability are computed across this wider zone, while a binary "place raster" confines </w:t>
      </w:r>
      <w:r w:rsidRPr="00027A1F">
        <w:lastRenderedPageBreak/>
        <w:t>actual camps to the Israeli part of the Negev Highlands. Both choices keep the boundary from affecting the model’s outcome.</w:t>
      </w:r>
    </w:p>
    <w:p w14:paraId="222270E0" w14:textId="77777777" w:rsidR="00254BEA" w:rsidRDefault="00254BEA" w:rsidP="00254BEA">
      <w:pPr>
        <w:spacing w:line="360" w:lineRule="auto"/>
      </w:pPr>
      <w:r w:rsidRPr="00027A1F">
        <w:t xml:space="preserve">All layers share the Israel Transverse Mercator (ITM) projection, consistent with the database (Appendix 1) and preserving the same distances for movement and territory calculations as in chapter 3. The environmental layers themselves divide into permanent and annually varying components, described </w:t>
      </w:r>
      <w:r>
        <w:t>below</w:t>
      </w:r>
      <w:r w:rsidRPr="00027A1F">
        <w:t>.</w:t>
      </w:r>
      <w:r w:rsidRPr="005629D5">
        <w:t xml:space="preserve"> </w:t>
      </w:r>
    </w:p>
    <w:p w14:paraId="1E5102B7" w14:textId="77777777" w:rsidR="00254BEA" w:rsidRDefault="00254BEA" w:rsidP="00254BEA">
      <w:pPr>
        <w:pStyle w:val="Heading4"/>
      </w:pPr>
      <w:r>
        <w:t xml:space="preserve">5.2.1.2 </w:t>
      </w:r>
      <w:r w:rsidRPr="00027A1F">
        <w:t xml:space="preserve">Environmental </w:t>
      </w:r>
      <w:r>
        <w:t xml:space="preserve">and Anthropogenic </w:t>
      </w:r>
      <w:r w:rsidRPr="00027A1F">
        <w:t xml:space="preserve">Variables </w:t>
      </w:r>
    </w:p>
    <w:p w14:paraId="24E1E8F2" w14:textId="77777777" w:rsidR="00254BEA" w:rsidRPr="00027A1F" w:rsidRDefault="00254BEA" w:rsidP="00254BEA">
      <w:pPr>
        <w:spacing w:line="360" w:lineRule="auto"/>
      </w:pPr>
      <w:r w:rsidRPr="00027A1F">
        <w:t>The model represents the environment through layers classified along two axes: ecological versus anthropogenic, and permanent versus annual (</w:t>
      </w:r>
      <w:r>
        <w:t>Table 5.1</w:t>
      </w:r>
      <w:r w:rsidRPr="00027A1F">
        <w:t>). This separation lets the model hold the region's stable base environment constant while capturing the year-to-year variability characteristic of arid environments, together with the households' own impact on the landscape. Ultimately all of these layers are combined into a single weighted suitability score for each cell, which is what households read when choosing where to settle; the paragraphs below describe each layer in turn before setting out how they are weighted and summed.</w:t>
      </w:r>
    </w:p>
    <w:p w14:paraId="09B243D0" w14:textId="77777777" w:rsidR="00254BEA" w:rsidRPr="00027A1F" w:rsidRDefault="00254BEA" w:rsidP="00254BEA">
      <w:pPr>
        <w:spacing w:line="360" w:lineRule="auto"/>
      </w:pPr>
      <w:r w:rsidRPr="00027A1F">
        <w:t xml:space="preserve">Before the layers can be combined into that weighted sum, they must be placed on a comparable footing, since they arrive in incompatible units — millimetres of rain, degrees of slope, hours of travel — and cannot simply be added. Each is therefore rescaled onto a common 0–10 "suitability" scale, on which 0 marks conditions unusable for settlement and 10 the most favourable. The rescaling uses a fuzzy-membership function (Fusco </w:t>
      </w:r>
      <w:r>
        <w:t xml:space="preserve">&amp; </w:t>
      </w:r>
      <w:r w:rsidRPr="00027A1F">
        <w:t>de Runz</w:t>
      </w:r>
      <w:r>
        <w:t xml:space="preserve">, </w:t>
      </w:r>
      <w:r w:rsidRPr="00027A1F">
        <w:t>2020): rather than sorting each cell into discrete classes, it assigns a continuous graded score that rises or falls smoothly with the underlying value. In doing so, the function captures how agents are assumed to respond to the resource. For instance, a zone with better rainfall in a given year is assumed to be more attractive, but only up to a point: above a certain threshold, additional rainfall no longer adds to its appeal. The shape of each function — where it begins to rise, how steeply, where it levels off — was set to match how that factor bears on settlement suitability; full specifications are given in Appendix 5.1.</w:t>
      </w:r>
    </w:p>
    <w:p w14:paraId="16E0495F" w14:textId="77777777" w:rsidR="00254BEA" w:rsidRPr="00027A1F" w:rsidRDefault="00254BEA" w:rsidP="00254BEA">
      <w:pPr>
        <w:spacing w:line="360" w:lineRule="auto"/>
      </w:pPr>
      <w:r w:rsidRPr="00027A1F">
        <w:rPr>
          <w:b/>
          <w:bCs/>
        </w:rPr>
        <w:t>Permanent Environmental Variables</w:t>
      </w:r>
    </w:p>
    <w:p w14:paraId="356B8DF1" w14:textId="77777777" w:rsidR="00254BEA" w:rsidRPr="00027A1F" w:rsidRDefault="00254BEA" w:rsidP="00254BEA">
      <w:pPr>
        <w:spacing w:line="360" w:lineRule="auto"/>
      </w:pPr>
      <w:r w:rsidRPr="00027A1F">
        <w:lastRenderedPageBreak/>
        <w:t xml:space="preserve">Five permanent environmental variables remain fixed for the whole run and represent the region's stable backdrop of geography and long-term climate. Mean annual rainfall is interpolated across the region from Israeli Meteorological Service (IMS) station records by inverse distance weighting (IDW). IDW estimates the value at each cell as the average of the surrounding stations, weighted according to distance, so that nearer stations count for more. Slope is derived from the JAXA ALOS PALSAR digital elevation model (see Section 3.2). Proximity to arable soils is based on Pleistocene loess and Hatzeva Formation sandy soils, mapped from Israeli Geological Survey data (Section 3.2), and distance to permanent water on springs and wells compiled from topographic and other sources (Section 3.2). The fifth layer, vegetation type, sets each cell's pastoral value (based on </w:t>
      </w:r>
      <w:r w:rsidRPr="00EA64EA">
        <w:t>principles </w:t>
      </w:r>
      <w:r>
        <w:t xml:space="preserve">&amp; </w:t>
      </w:r>
      <w:r w:rsidRPr="00027A1F">
        <w:t>maps from Danin</w:t>
      </w:r>
      <w:r>
        <w:t xml:space="preserve">, </w:t>
      </w:r>
      <w:r w:rsidRPr="00027A1F">
        <w:t>1983; Ron et al., 2024).</w:t>
      </w:r>
    </w:p>
    <w:p w14:paraId="7A311483" w14:textId="77777777" w:rsidR="00254BEA" w:rsidRPr="00027A1F" w:rsidRDefault="00254BEA" w:rsidP="00254BEA">
      <w:pPr>
        <w:spacing w:line="360" w:lineRule="auto"/>
      </w:pPr>
      <w:r w:rsidRPr="00027A1F">
        <w:t>Explicit vegetation layer enters the model although Chapter 3 used soils alone as a proxy for pasture and opportunistic agriculture. The reason is that the model needs to quantify pasture productivity across the whole landscape as households graze throughout the landscape. Vegetation type supplies a grazing value for every cell (Section 5.3.2); the loess soils themselves register as some of the more productive pasture within it.</w:t>
      </w:r>
    </w:p>
    <w:p w14:paraId="47ECEE1C" w14:textId="77777777" w:rsidR="00254BEA" w:rsidRPr="00027A1F" w:rsidRDefault="00254BEA" w:rsidP="00254BEA">
      <w:pPr>
        <w:spacing w:line="360" w:lineRule="auto"/>
      </w:pPr>
      <w:r w:rsidRPr="00027A1F">
        <w:t xml:space="preserve">Distance in the model is measured in walking time. Tobler's hiking function converts slope into walking speed, giving steeper slopes more time to cross (Tobler, 1993; </w:t>
      </w:r>
      <w:r>
        <w:t xml:space="preserve">I. </w:t>
      </w:r>
      <w:r w:rsidRPr="00027A1F">
        <w:t xml:space="preserve">Herzog, 2020; see Section 3.3). The same treatment applies to every distance-based layer — distance to water here, and the annual arable and central-site layers introduced below. </w:t>
      </w:r>
    </w:p>
    <w:p w14:paraId="67778036" w14:textId="77777777" w:rsidR="00254BEA" w:rsidRPr="00027A1F" w:rsidRDefault="00254BEA" w:rsidP="00254BEA">
      <w:pPr>
        <w:spacing w:line="360" w:lineRule="auto"/>
      </w:pPr>
      <w:r w:rsidRPr="00027A1F">
        <w:rPr>
          <w:b/>
          <w:bCs/>
        </w:rPr>
        <w:t>Annual Environmental Variables</w:t>
      </w:r>
    </w:p>
    <w:p w14:paraId="6E7E81DD" w14:textId="77777777" w:rsidR="00254BEA" w:rsidRPr="00027A1F" w:rsidRDefault="00254BEA" w:rsidP="00254BEA">
      <w:pPr>
        <w:spacing w:line="360" w:lineRule="auto"/>
      </w:pPr>
      <w:r w:rsidRPr="00027A1F">
        <w:t xml:space="preserve">Rainfall in the Negev Highlands swings widely from year to year, roughly 30 to 160 mm (Armon et al., 2019; see Section 1.3), and this variability, more than the long-term average, is what a mobile population must cope with. The model therefore treats annual rainfall as stochastic - each simulated year draws its rainfall at random from a set of observed years. This choice responds to two facts: the wide variability just noted, and the absence of any direct evidence for how much rain fell in specific years during the Iron Age IIA. Drawing independently each year from measured present-day rainfall reproduces a realistic spread of good and bad years without pretending to reconstruct particular ones. </w:t>
      </w:r>
      <w:r w:rsidRPr="00027A1F">
        <w:lastRenderedPageBreak/>
        <w:t>In practice, each year's rainfall is taken from a randomly chosen observed year (August–July) in the IMS record, restricted to years with at least 20 active stations so that spatial coverage is reliable, then interpolated (IDW) and rescaled on the same 0–10 fuzzy scale as permanent rainfall.</w:t>
      </w:r>
    </w:p>
    <w:p w14:paraId="0648EADB" w14:textId="77777777" w:rsidR="00254BEA" w:rsidRPr="00027A1F" w:rsidRDefault="00254BEA" w:rsidP="00254BEA">
      <w:pPr>
        <w:spacing w:line="360" w:lineRule="auto"/>
      </w:pPr>
      <w:r w:rsidRPr="00027A1F">
        <w:t xml:space="preserve">Annual rainfall matters less on its own than through the two seasonal resources it governs, both exploited opportunistically by mobile groups: grazing and short-lived cultivation. Available pasture is the product of vegetation type and that year's rainfall. Cultivation is handled separately, and rests on how rainfall affects crops. Opportunistic agriculture depended on runoff draining into it from the slopes above, such runoff farming long documented in the region in later periods (Bruins, 2012; Garty et al., 2025, and references therein). Accordingly, for each loess or Hatzeva Formation patch the model reads the year's rainfall across the whole basin draining into it. If the rainfall is adequate on average and reliable enough across the basin the patch is marked seasonally cultivable. These cut-offs remain model-design choices (Appendix </w:t>
      </w:r>
      <w:r>
        <w:t>Table A</w:t>
      </w:r>
      <w:r w:rsidRPr="00027A1F">
        <w:t>5.</w:t>
      </w:r>
      <w:r>
        <w:t>1</w:t>
      </w:r>
      <w:r w:rsidRPr="00027A1F">
        <w:t>), but they are set around the annual-rainfall level below which cultivation models treat a year as a drought, and the crop as failing (on the order of 65 mm; Garty et al., 2025). Cultivable patches are then measured by cost-distance, like the other distance layers.</w:t>
      </w:r>
    </w:p>
    <w:p w14:paraId="366698DE" w14:textId="77777777" w:rsidR="00254BEA" w:rsidRPr="00027A1F" w:rsidRDefault="00254BEA" w:rsidP="00254BEA">
      <w:pPr>
        <w:spacing w:line="360" w:lineRule="auto"/>
      </w:pPr>
      <w:r w:rsidRPr="00027A1F">
        <w:rPr>
          <w:b/>
          <w:bCs/>
        </w:rPr>
        <w:t>Permanent Anthropogenic Variable</w:t>
      </w:r>
    </w:p>
    <w:p w14:paraId="1903572A" w14:textId="77777777" w:rsidR="00254BEA" w:rsidRPr="00027A1F" w:rsidRDefault="00254BEA" w:rsidP="00254BEA">
      <w:pPr>
        <w:spacing w:line="360" w:lineRule="auto"/>
      </w:pPr>
      <w:r w:rsidRPr="00027A1F">
        <w:t xml:space="preserve">The one permanent anthropogenic </w:t>
      </w:r>
      <w:r>
        <w:t>v</w:t>
      </w:r>
      <w:r w:rsidRPr="0051054A">
        <w:t xml:space="preserve">ariable </w:t>
      </w:r>
      <w:r w:rsidRPr="00027A1F">
        <w:t>in the model is proximity to the Tell el-Qudeirat–Faynan corridor. According to the palimpsest model, the activity in the Negev Highlands belonged to a multi-resource pastoral economy in which moving people for labour into and copper out of the Arabah was a central occupation (Section 5.1). Therefore, households would have found locations near the broad east–west axis linking the Faynan copper district to Tell el-Qudeirat attractive to a certain extent as shown in Chapter 3 (Section 3.4.3). In practice it is computed as the walking-time cost-distance to the corridor (Figure 3.11</w:t>
      </w:r>
      <w:r>
        <w:t>; only the red parts</w:t>
      </w:r>
      <w:r w:rsidRPr="00027A1F">
        <w:t>), using the same procedure applied to the permanent water sources, then rescaled onto the shared 0–10 suitability scale (transformation parameters in Appendix 5.1).</w:t>
      </w:r>
    </w:p>
    <w:p w14:paraId="3033A9EB" w14:textId="77777777" w:rsidR="00254BEA" w:rsidRPr="00027A1F" w:rsidRDefault="00254BEA" w:rsidP="00254BEA">
      <w:pPr>
        <w:spacing w:line="360" w:lineRule="auto"/>
      </w:pPr>
      <w:r w:rsidRPr="00027A1F">
        <w:rPr>
          <w:b/>
          <w:bCs/>
        </w:rPr>
        <w:t>Dynamic Anthropogenic Variables</w:t>
      </w:r>
    </w:p>
    <w:p w14:paraId="490A7709" w14:textId="77777777" w:rsidR="00254BEA" w:rsidRPr="00027A1F" w:rsidRDefault="00254BEA" w:rsidP="00254BEA">
      <w:pPr>
        <w:spacing w:line="360" w:lineRule="auto"/>
      </w:pPr>
      <w:r w:rsidRPr="00027A1F">
        <w:lastRenderedPageBreak/>
        <w:t xml:space="preserve">The model's two dynamic anthropogenic </w:t>
      </w:r>
      <w:r>
        <w:t>v</w:t>
      </w:r>
      <w:r w:rsidRPr="0051054A">
        <w:t>ariable</w:t>
      </w:r>
      <w:r>
        <w:t>s</w:t>
      </w:r>
      <w:r w:rsidRPr="0051054A">
        <w:t xml:space="preserve"> </w:t>
      </w:r>
      <w:r w:rsidRPr="00027A1F">
        <w:t>represent the accumulated imprint of past human activity: resource exhaustion and the reuse of built sites.</w:t>
      </w:r>
    </w:p>
    <w:p w14:paraId="318565DE" w14:textId="77777777" w:rsidR="00254BEA" w:rsidRPr="00027A1F" w:rsidRDefault="00254BEA" w:rsidP="00254BEA">
      <w:pPr>
        <w:spacing w:line="360" w:lineRule="auto"/>
      </w:pPr>
      <w:r w:rsidRPr="00027A1F">
        <w:t>Resource exhaustion is a key process in the model, as occupying a site (a cell in the model) is assumed to have a negative effect on its immediate environment. For example, grazing puts pressure on the local vegetation, whose regrowth is slow to begin with in such an arid environment. This pressure is also uneven: the negative effect is assumed to decline with distance from the camp. The model carries this forward as a running sum of degradation: each year's impact is added to earlier ones, with recent occupation weighing more than older occupation. The sum is then smoothed across the neighbouring cells (focal statistics), producing a zone of impact around each occupied location</w:t>
      </w:r>
      <w:r>
        <w:t xml:space="preserve"> (Section 5.3.1).</w:t>
      </w:r>
    </w:p>
    <w:p w14:paraId="65A1C811" w14:textId="77777777" w:rsidR="00254BEA" w:rsidRPr="00027A1F" w:rsidRDefault="00254BEA" w:rsidP="00254BEA">
      <w:pPr>
        <w:spacing w:line="360" w:lineRule="auto"/>
      </w:pPr>
      <w:r w:rsidRPr="00555632">
        <w:t>By contrast, occupying a site is also assumed to add to the built infrastructure there, raising its value for future use. Households are therefore drawn back to locations already used, and above all to standing enclosed compounds, which represent a more substantial investment. This pull grows with the intensity of past occupation and fades as a location sits unused. It reflects the tendency for familiar, already-developed locations to be reoccupied across generations.</w:t>
      </w:r>
    </w:p>
    <w:p w14:paraId="0A852CE4" w14:textId="77777777" w:rsidR="00254BEA" w:rsidRPr="00027A1F" w:rsidRDefault="00254BEA" w:rsidP="00254BEA">
      <w:pPr>
        <w:spacing w:line="360" w:lineRule="auto"/>
      </w:pPr>
      <w:r w:rsidRPr="00027A1F">
        <w:t>Together these variables represent the dynamic character of this delicate environment. At any given time, some locations are overexploited while others have already recovered. This shifting patchwork of depletion and inherited investment is one of the temporal mechanisms at the core of the palimpsest reading.</w:t>
      </w:r>
    </w:p>
    <w:p w14:paraId="3217CBD8" w14:textId="77777777" w:rsidR="00254BEA" w:rsidRPr="00027A1F" w:rsidRDefault="00254BEA" w:rsidP="00254BEA">
      <w:pPr>
        <w:spacing w:line="360" w:lineRule="auto"/>
      </w:pPr>
      <w:r w:rsidRPr="00027A1F">
        <w:rPr>
          <w:b/>
          <w:bCs/>
        </w:rPr>
        <w:t>Suitability Calculation</w:t>
      </w:r>
    </w:p>
    <w:p w14:paraId="55F3ECF7" w14:textId="77777777" w:rsidR="00254BEA" w:rsidRPr="00027A1F" w:rsidRDefault="00254BEA" w:rsidP="00254BEA">
      <w:pPr>
        <w:spacing w:line="360" w:lineRule="auto"/>
      </w:pPr>
      <w:r w:rsidRPr="00027A1F">
        <w:t>The model collapses the variables above into a composite score for each cell</w:t>
      </w:r>
      <w:r>
        <w:t>,</w:t>
      </w:r>
      <w:r w:rsidRPr="00027A1F">
        <w:t xml:space="preserve"> </w:t>
      </w:r>
      <w:r>
        <w:t>w</w:t>
      </w:r>
      <w:r w:rsidRPr="00027A1F">
        <w:t>hich forms the basis for household site selection. Each variable is first rescaled onto the shared 0–10 scale, then combined into one overall suitability value through a weighted sum:</w:t>
      </w:r>
    </w:p>
    <w:p w14:paraId="09D6B539" w14:textId="77777777" w:rsidR="00254BEA" w:rsidRPr="00027A1F" w:rsidRDefault="00254BEA" w:rsidP="00254BEA">
      <w:pPr>
        <w:spacing w:line="360" w:lineRule="auto"/>
      </w:pPr>
      <m:oMathPara>
        <m:oMathParaPr>
          <m:jc m:val="left"/>
        </m:oMathParaPr>
        <m:oMath>
          <m:r>
            <w:rPr>
              <w:rFonts w:ascii="Cambria Math" w:hAnsi="Cambria Math"/>
            </w:rPr>
            <m:t xml:space="preserve">Suitability = </m:t>
          </m:r>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 Paramete</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e>
          </m:nary>
        </m:oMath>
      </m:oMathPara>
    </w:p>
    <w:p w14:paraId="0CF2F7FE" w14:textId="77777777" w:rsidR="00254BEA" w:rsidRPr="00027A1F" w:rsidRDefault="00254BEA" w:rsidP="00254BEA">
      <w:pPr>
        <w:spacing w:line="360" w:lineRule="auto"/>
      </w:pPr>
      <w:r w:rsidRPr="00027A1F">
        <w:t>The weights (W</w:t>
      </w:r>
      <w:r w:rsidRPr="00027A1F">
        <w:rPr>
          <w:rFonts w:ascii="Arial" w:hAnsi="Arial" w:cs="Arial"/>
        </w:rPr>
        <w:t>ᵢ</w:t>
      </w:r>
      <w:r w:rsidRPr="00027A1F">
        <w:t>) are the model's parameters, setting how strongly each variable pulls on the decision; their values are explored by calibration (Section 5.</w:t>
      </w:r>
      <w:r>
        <w:t>5</w:t>
      </w:r>
      <w:r w:rsidRPr="00027A1F">
        <w:t>).</w:t>
      </w:r>
    </w:p>
    <w:p w14:paraId="60208C29" w14:textId="77777777" w:rsidR="00254BEA" w:rsidRPr="00027A1F" w:rsidRDefault="00254BEA" w:rsidP="00254BEA">
      <w:pPr>
        <w:spacing w:line="360" w:lineRule="auto"/>
      </w:pPr>
      <w:r w:rsidRPr="00027A1F">
        <w:lastRenderedPageBreak/>
        <w:t>Seven variables enter the sum: cost-distance to the Tell el-Qudeirat–Faynan corridor, cost-distance to permanent water, the region's long-term mean rainfall, slope, resource exhaustion, reuse potential, and the current year's rainfall. Available pasture and cultivable land are deliberately kept out. Both are derived from that year's rainfall (Annual Environmental Variables, above), so weighting them next to rainfall would overrepresent it (</w:t>
      </w:r>
      <w:r>
        <w:t>Table 5.1</w:t>
      </w:r>
      <w:r w:rsidRPr="00027A1F">
        <w:t>).</w:t>
      </w:r>
    </w:p>
    <w:p w14:paraId="5BADE645" w14:textId="77777777" w:rsidR="00254BEA" w:rsidRPr="00027A1F" w:rsidRDefault="00254BEA" w:rsidP="00254BEA">
      <w:pPr>
        <w:pStyle w:val="Heading3"/>
      </w:pPr>
      <w:bookmarkStart w:id="6" w:name="_Toc234839339"/>
      <w:r w:rsidRPr="00027A1F">
        <w:t>5.2.2 Household Agents</w:t>
      </w:r>
      <w:bookmarkEnd w:id="6"/>
    </w:p>
    <w:p w14:paraId="3967DC0E" w14:textId="77777777" w:rsidR="00254BEA" w:rsidRPr="00027A1F" w:rsidRDefault="00254BEA" w:rsidP="00254BEA">
      <w:pPr>
        <w:spacing w:line="360" w:lineRule="auto"/>
      </w:pPr>
      <w:r w:rsidRPr="00027A1F">
        <w:t xml:space="preserve">The model's main actor is the household, with its nuclear families as sub-agents. Working at this level is not a claim about how Negev Highlands society was actually organised (the record does not let us reconstruct that) but follows from what the model sets out to explain. The palimpsest builds up from </w:t>
      </w:r>
      <w:r>
        <w:t xml:space="preserve">a </w:t>
      </w:r>
      <w:r w:rsidRPr="00027A1F">
        <w:t>few decisions, made repeatedly: where to camp, whether to build, when to sell animals. Whatever the wider political and social arrangements of Negev Highlands inhabitants w</w:t>
      </w:r>
      <w:r>
        <w:t>ere, they</w:t>
      </w:r>
      <w:r w:rsidRPr="00027A1F">
        <w:t xml:space="preserve"> matter less at this local level. Ethnographic studies agree that decisions of this local kind typically rest with the single family or household levels (</w:t>
      </w:r>
      <w:r>
        <w:t>Khazanov, 1984</w:t>
      </w:r>
      <w:r w:rsidRPr="00027A1F">
        <w:t xml:space="preserve">; </w:t>
      </w:r>
      <w:r>
        <w:t>Salzman, 2004</w:t>
      </w:r>
      <w:r w:rsidRPr="00027A1F">
        <w:t xml:space="preserve">; </w:t>
      </w:r>
      <w:r>
        <w:t>Hammer, 2025</w:t>
      </w:r>
      <w:r w:rsidRPr="00027A1F">
        <w:t>). The household is therefore the level at which the choices the model cares about were taken, which makes it the natural unit here, regardless of the exact social structure. "Household" is accordingly a modelling simplification: a tentative group of about ten nuclear families, not a reconstruction of any specific tribal organisation. These households are taken to have practised multi-resource nomadism, as argued in Chapter 3: pastoralism was one important strand alongside opportunistic agriculture and the production and movement of Arabah copper and other desert goods.</w:t>
      </w:r>
    </w:p>
    <w:p w14:paraId="6071C9A5" w14:textId="77777777" w:rsidR="00254BEA" w:rsidRDefault="00254BEA" w:rsidP="00254BEA">
      <w:pPr>
        <w:spacing w:line="360" w:lineRule="auto"/>
      </w:pPr>
      <w:r w:rsidRPr="00E64DF6">
        <w:t xml:space="preserve">Each household needs a herd large enough to support it, and the model sizes that herd from what a person requires. The pastoral baseline </w:t>
      </w:r>
      <w:r>
        <w:t>(</w:t>
      </w:r>
      <w:r w:rsidRPr="00E64DF6">
        <w:t>introduced in Section 5.2.</w:t>
      </w:r>
      <w:r>
        <w:t>4 below) is a</w:t>
      </w:r>
      <w:r w:rsidRPr="00E64DF6">
        <w:t xml:space="preserve">bout 37 goats per person under a purely pastoral economy (Dahl </w:t>
      </w:r>
      <w:r>
        <w:t xml:space="preserve">&amp; </w:t>
      </w:r>
      <w:r w:rsidRPr="00E64DF6">
        <w:t>Hjort</w:t>
      </w:r>
      <w:r>
        <w:t xml:space="preserve">, </w:t>
      </w:r>
      <w:r w:rsidRPr="00E64DF6">
        <w:t xml:space="preserve">1976; Rosen </w:t>
      </w:r>
      <w:r>
        <w:t xml:space="preserve">&amp; </w:t>
      </w:r>
      <w:r w:rsidRPr="00E64DF6">
        <w:t>Finkelstein</w:t>
      </w:r>
      <w:r>
        <w:t xml:space="preserve">, </w:t>
      </w:r>
      <w:r w:rsidRPr="00E64DF6">
        <w:t xml:space="preserve">1992). Because the households here practised multi-resource nomadism rather than pure pastoralism, as noted above, the model lowers this to </w:t>
      </w:r>
      <w:r>
        <w:t>18</w:t>
      </w:r>
      <w:r w:rsidRPr="00E64DF6">
        <w:t xml:space="preserve"> goats per person, about 5</w:t>
      </w:r>
      <w:r>
        <w:t>0</w:t>
      </w:r>
      <w:r w:rsidRPr="00E64DF6">
        <w:t>% of the pastoral-only figure</w:t>
      </w:r>
      <w:r>
        <w:t>.</w:t>
      </w:r>
      <w:r w:rsidRPr="00E64DF6">
        <w:t xml:space="preserve"> </w:t>
      </w:r>
      <w:r>
        <w:t xml:space="preserve">This is based on the assumption </w:t>
      </w:r>
      <w:r w:rsidRPr="00E64DF6">
        <w:t xml:space="preserve">that a group leaning partly on trade and farming needed fewer animals per head to subsist. Rosen and Finkelstein point the same way, finding that the Sde Boqer area supported more people than herding alone could feed, so that its population must have drawn on </w:t>
      </w:r>
      <w:r w:rsidRPr="00E64DF6">
        <w:lastRenderedPageBreak/>
        <w:t xml:space="preserve">external resources such as trade and copper. For a household of about </w:t>
      </w:r>
      <w:r>
        <w:t>50-60</w:t>
      </w:r>
      <w:r w:rsidRPr="00E64DF6">
        <w:t xml:space="preserve"> people this gives a herd of roughly 1,050 goats, the value around which each starting herd is drawn.</w:t>
      </w:r>
    </w:p>
    <w:p w14:paraId="0851A080" w14:textId="77777777" w:rsidR="00254BEA" w:rsidRDefault="00254BEA" w:rsidP="00254BEA">
      <w:pPr>
        <w:spacing w:line="360" w:lineRule="auto"/>
      </w:pPr>
      <w:r w:rsidRPr="00027A1F">
        <w:t>Each household has nine state variables (Table A5.5</w:t>
      </w:r>
      <w:r>
        <w:t>; how they are being used is detailed in 5.3</w:t>
      </w:r>
      <w:r w:rsidRPr="00027A1F">
        <w:t>)</w:t>
      </w:r>
      <w:r>
        <w:t>:</w:t>
      </w:r>
    </w:p>
    <w:p w14:paraId="3E871502" w14:textId="77777777" w:rsidR="00254BEA" w:rsidRPr="001F5E7D" w:rsidRDefault="00254BEA" w:rsidP="00254BEA">
      <w:pPr>
        <w:numPr>
          <w:ilvl w:val="0"/>
          <w:numId w:val="27"/>
        </w:numPr>
        <w:spacing w:line="360" w:lineRule="auto"/>
        <w:rPr>
          <w:lang w:val="en-IL"/>
        </w:rPr>
      </w:pPr>
      <w:r w:rsidRPr="001F5E7D">
        <w:rPr>
          <w:u w:val="single"/>
          <w:lang w:val="en-IL"/>
        </w:rPr>
        <w:t>Livestock</w:t>
      </w:r>
      <w:r w:rsidRPr="001F5E7D">
        <w:rPr>
          <w:lang w:val="en-IL"/>
        </w:rPr>
        <w:t>: the herd, counted in goats standing for all animals; the household's main productive asset</w:t>
      </w:r>
      <w:r>
        <w:rPr>
          <w:lang w:val="en-IL"/>
        </w:rPr>
        <w:t>, varying with time and environment (Section 5.3.2)</w:t>
      </w:r>
      <w:r w:rsidRPr="001F5E7D">
        <w:rPr>
          <w:lang w:val="en-IL"/>
        </w:rPr>
        <w:t>.</w:t>
      </w:r>
    </w:p>
    <w:p w14:paraId="5F3DC4A4" w14:textId="77777777" w:rsidR="00254BEA" w:rsidRPr="001F5E7D" w:rsidRDefault="00254BEA" w:rsidP="00254BEA">
      <w:pPr>
        <w:numPr>
          <w:ilvl w:val="0"/>
          <w:numId w:val="27"/>
        </w:numPr>
        <w:spacing w:line="360" w:lineRule="auto"/>
        <w:rPr>
          <w:lang w:val="en-IL"/>
        </w:rPr>
      </w:pPr>
      <w:r w:rsidRPr="001F5E7D">
        <w:rPr>
          <w:u w:val="single"/>
          <w:lang w:val="en-IL"/>
        </w:rPr>
        <w:t>Manpowe</w:t>
      </w:r>
      <w:r w:rsidRPr="001F5E7D">
        <w:rPr>
          <w:lang w:val="en-IL"/>
        </w:rPr>
        <w:t>r: </w:t>
      </w:r>
      <w:r w:rsidRPr="008B2A32">
        <w:t> the working-age people available for all tasks, herding, movement, and building, initialised as whichever is larger, 35 people or one per 20 animals</w:t>
      </w:r>
      <w:r>
        <w:t xml:space="preserve"> (as set in Section 5.2.4)</w:t>
      </w:r>
      <w:r w:rsidRPr="008B2A32">
        <w:t>; it caps how much a household can do and build.</w:t>
      </w:r>
    </w:p>
    <w:p w14:paraId="5FADBC64" w14:textId="77777777" w:rsidR="00254BEA" w:rsidRPr="001F5E7D" w:rsidRDefault="00254BEA" w:rsidP="00254BEA">
      <w:pPr>
        <w:numPr>
          <w:ilvl w:val="0"/>
          <w:numId w:val="27"/>
        </w:numPr>
        <w:spacing w:line="360" w:lineRule="auto"/>
        <w:rPr>
          <w:lang w:val="en-IL"/>
        </w:rPr>
      </w:pPr>
      <w:r w:rsidRPr="001F5E7D">
        <w:rPr>
          <w:u w:val="single"/>
          <w:lang w:val="en-IL"/>
        </w:rPr>
        <w:t>Surplus</w:t>
      </w:r>
      <w:r w:rsidRPr="001F5E7D">
        <w:rPr>
          <w:lang w:val="en-IL"/>
        </w:rPr>
        <w:t>: </w:t>
      </w:r>
      <w:r w:rsidRPr="008B2A32">
        <w:t>accumulated capital, built from herding and, implicitly, opportunistic farming and copper trade; drawn down in lean years and, when it runs high,</w:t>
      </w:r>
      <w:r>
        <w:t xml:space="preserve"> may be </w:t>
      </w:r>
      <w:r w:rsidRPr="008B2A32">
        <w:t xml:space="preserve">spent on </w:t>
      </w:r>
      <w:r>
        <w:t xml:space="preserve">enclosed compound </w:t>
      </w:r>
      <w:r w:rsidRPr="008B2A32">
        <w:t>building (Section</w:t>
      </w:r>
      <w:r>
        <w:t>s</w:t>
      </w:r>
      <w:r w:rsidRPr="008B2A32">
        <w:t xml:space="preserve"> 5.3.</w:t>
      </w:r>
      <w:r>
        <w:t>2-5.3.4</w:t>
      </w:r>
      <w:r w:rsidRPr="008B2A32">
        <w:t>).</w:t>
      </w:r>
    </w:p>
    <w:p w14:paraId="272128FD" w14:textId="77777777" w:rsidR="00254BEA" w:rsidRPr="001F5E7D" w:rsidRDefault="00254BEA" w:rsidP="00254BEA">
      <w:pPr>
        <w:numPr>
          <w:ilvl w:val="0"/>
          <w:numId w:val="27"/>
        </w:numPr>
        <w:spacing w:line="360" w:lineRule="auto"/>
        <w:rPr>
          <w:lang w:val="en-IL"/>
        </w:rPr>
      </w:pPr>
      <w:r w:rsidRPr="001F5E7D">
        <w:rPr>
          <w:u w:val="single"/>
          <w:lang w:val="en-IL"/>
        </w:rPr>
        <w:t>Camp location</w:t>
      </w:r>
      <w:r w:rsidRPr="001F5E7D">
        <w:rPr>
          <w:lang w:val="en-IL"/>
        </w:rPr>
        <w:t>: the cell the household occupies in the current year, cleared at year's end and re-selected at the next.</w:t>
      </w:r>
    </w:p>
    <w:p w14:paraId="3E2E3186" w14:textId="77777777" w:rsidR="00254BEA" w:rsidRPr="001F5E7D" w:rsidRDefault="00254BEA" w:rsidP="00254BEA">
      <w:pPr>
        <w:numPr>
          <w:ilvl w:val="0"/>
          <w:numId w:val="27"/>
        </w:numPr>
        <w:spacing w:line="360" w:lineRule="auto"/>
        <w:rPr>
          <w:lang w:val="en-IL"/>
        </w:rPr>
      </w:pPr>
      <w:r w:rsidRPr="001F5E7D">
        <w:rPr>
          <w:u w:val="single"/>
          <w:lang w:val="en-IL"/>
        </w:rPr>
        <w:t>Territory</w:t>
      </w:r>
      <w:r w:rsidRPr="001F5E7D">
        <w:rPr>
          <w:lang w:val="en-IL"/>
        </w:rPr>
        <w:t>: the block of cells around the camp that it grazes and ranges over, sized to local conditions and reset each year.</w:t>
      </w:r>
    </w:p>
    <w:p w14:paraId="0D2EC3B0" w14:textId="77777777" w:rsidR="00254BEA" w:rsidRPr="001F5E7D" w:rsidRDefault="00254BEA" w:rsidP="00254BEA">
      <w:pPr>
        <w:numPr>
          <w:ilvl w:val="0"/>
          <w:numId w:val="27"/>
        </w:numPr>
        <w:spacing w:line="360" w:lineRule="auto"/>
        <w:rPr>
          <w:lang w:val="en-IL"/>
        </w:rPr>
      </w:pPr>
      <w:r w:rsidRPr="001F5E7D">
        <w:rPr>
          <w:u w:val="single"/>
          <w:lang w:val="en-IL"/>
        </w:rPr>
        <w:t>Camp memory</w:t>
      </w:r>
      <w:r w:rsidRPr="001F5E7D">
        <w:rPr>
          <w:lang w:val="en-IL"/>
        </w:rPr>
        <w:t>: a personal record of past camps, each kept with its location, the quality it</w:t>
      </w:r>
      <w:r>
        <w:rPr>
          <w:lang w:val="en-IL"/>
        </w:rPr>
        <w:t>s close environs</w:t>
      </w:r>
      <w:r w:rsidRPr="001F5E7D">
        <w:rPr>
          <w:lang w:val="en-IL"/>
        </w:rPr>
        <w:t xml:space="preserve"> offered, and the year of the stay, and thinned over time.</w:t>
      </w:r>
    </w:p>
    <w:p w14:paraId="561600E4" w14:textId="77777777" w:rsidR="00254BEA" w:rsidRPr="001F5E7D" w:rsidRDefault="00254BEA" w:rsidP="00254BEA">
      <w:pPr>
        <w:numPr>
          <w:ilvl w:val="0"/>
          <w:numId w:val="27"/>
        </w:numPr>
        <w:spacing w:line="360" w:lineRule="auto"/>
        <w:rPr>
          <w:lang w:val="en-IL"/>
        </w:rPr>
      </w:pPr>
      <w:r w:rsidRPr="001F5E7D">
        <w:rPr>
          <w:u w:val="single"/>
          <w:lang w:val="en-IL"/>
        </w:rPr>
        <w:t>Enclosure memory</w:t>
      </w:r>
      <w:r w:rsidRPr="001F5E7D">
        <w:rPr>
          <w:lang w:val="en-IL"/>
        </w:rPr>
        <w:t>: a longer, shared record of enclosed compounds, both the household's own and others' it has come across.</w:t>
      </w:r>
    </w:p>
    <w:p w14:paraId="252D0F62" w14:textId="77777777" w:rsidR="00254BEA" w:rsidRPr="001F5E7D" w:rsidRDefault="00254BEA" w:rsidP="00254BEA">
      <w:pPr>
        <w:numPr>
          <w:ilvl w:val="0"/>
          <w:numId w:val="27"/>
        </w:numPr>
        <w:spacing w:line="360" w:lineRule="auto"/>
        <w:rPr>
          <w:lang w:val="en-IL"/>
        </w:rPr>
      </w:pPr>
      <w:r w:rsidRPr="001F5E7D">
        <w:rPr>
          <w:u w:val="single"/>
          <w:lang w:val="en-IL"/>
        </w:rPr>
        <w:t>Personalised suitability</w:t>
      </w:r>
      <w:r w:rsidRPr="001F5E7D">
        <w:rPr>
          <w:lang w:val="en-IL"/>
        </w:rPr>
        <w:t>: the household's own conception of the landscape</w:t>
      </w:r>
      <w:r>
        <w:rPr>
          <w:lang w:val="en-IL"/>
        </w:rPr>
        <w:t>.</w:t>
      </w:r>
      <w:r w:rsidRPr="001F5E7D">
        <w:rPr>
          <w:lang w:val="en-IL"/>
        </w:rPr>
        <w:t xml:space="preserve"> </w:t>
      </w:r>
      <w:r>
        <w:rPr>
          <w:lang w:val="en-IL"/>
        </w:rPr>
        <w:t>I</w:t>
      </w:r>
      <w:r w:rsidRPr="001F5E7D">
        <w:rPr>
          <w:lang w:val="en-IL"/>
        </w:rPr>
        <w:t>ts camp memory and past territories translated into location-specific bonuses and penalties laid over the shared environmental suitability.</w:t>
      </w:r>
    </w:p>
    <w:p w14:paraId="4CB3F34D" w14:textId="77777777" w:rsidR="00254BEA" w:rsidRPr="001F5E7D" w:rsidRDefault="00254BEA" w:rsidP="00254BEA">
      <w:pPr>
        <w:numPr>
          <w:ilvl w:val="0"/>
          <w:numId w:val="27"/>
        </w:numPr>
        <w:spacing w:line="360" w:lineRule="auto"/>
        <w:rPr>
          <w:lang w:val="en-IL"/>
        </w:rPr>
      </w:pPr>
      <w:r w:rsidRPr="00E15DA6">
        <w:rPr>
          <w:u w:val="single"/>
          <w:lang w:val="en-IL"/>
        </w:rPr>
        <w:t>Crisis flag</w:t>
      </w:r>
      <w:r w:rsidRPr="001F5E7D">
        <w:rPr>
          <w:lang w:val="en-IL"/>
        </w:rPr>
        <w:t>: whether the household has fallen into survival crisis, which triggers emergency livestock sales</w:t>
      </w:r>
      <w:r>
        <w:rPr>
          <w:lang w:val="en-IL"/>
        </w:rPr>
        <w:t xml:space="preserve"> or acquisition</w:t>
      </w:r>
      <w:r w:rsidRPr="001F5E7D">
        <w:rPr>
          <w:lang w:val="en-IL"/>
        </w:rPr>
        <w:t>.</w:t>
      </w:r>
    </w:p>
    <w:p w14:paraId="2E899C80" w14:textId="77777777" w:rsidR="00254BEA" w:rsidRDefault="00254BEA" w:rsidP="00254BEA">
      <w:pPr>
        <w:spacing w:line="360" w:lineRule="auto"/>
      </w:pPr>
      <w:r w:rsidRPr="008B2A32">
        <w:t xml:space="preserve">The three that matter most, livestock, manpower, and surplus, carry the household's economy and shift year to year as it manages its herd (Section 5.3.2). The two memory </w:t>
      </w:r>
      <w:r w:rsidRPr="008B2A32">
        <w:lastRenderedPageBreak/>
        <w:t>variables let otherwise-identical households diverge</w:t>
      </w:r>
      <w:r>
        <w:t xml:space="preserve"> in behaviour</w:t>
      </w:r>
      <w:r w:rsidRPr="008B2A32">
        <w:t>. How that remembered landscape enters the yearly location decision is set out in Section 5.3.1.</w:t>
      </w:r>
      <w:r w:rsidRPr="00EA64EA">
        <w:t xml:space="preserve"> </w:t>
      </w:r>
    </w:p>
    <w:p w14:paraId="7045B7EF" w14:textId="77777777" w:rsidR="00254BEA" w:rsidRPr="00027A1F" w:rsidRDefault="00254BEA" w:rsidP="00254BEA">
      <w:pPr>
        <w:spacing w:line="360" w:lineRule="auto"/>
      </w:pPr>
      <w:r w:rsidRPr="00027A1F">
        <w:t>Together, these variables drive four kinds of behaviour, each treated in Section 5.3: annual positioning (5.3.1), resource management (5.3.2), prosperity-based enclosure construction (5.3.3), and crisis response (</w:t>
      </w:r>
      <w:r>
        <w:t>§5.3.4</w:t>
      </w:r>
      <w:r w:rsidRPr="00027A1F">
        <w:t>) (</w:t>
      </w:r>
      <w:r>
        <w:t>Figure 5.2</w:t>
      </w:r>
      <w:r w:rsidRPr="00027A1F">
        <w:t>). Each behaviour follows from a household weighing its current state against the conditions around it.</w:t>
      </w:r>
    </w:p>
    <w:p w14:paraId="3DAE3912" w14:textId="77777777" w:rsidR="00254BEA" w:rsidRPr="00027A1F" w:rsidRDefault="00254BEA" w:rsidP="00254BEA">
      <w:pPr>
        <w:pStyle w:val="Heading3"/>
      </w:pPr>
      <w:bookmarkStart w:id="7" w:name="_Toc234839340"/>
      <w:r w:rsidRPr="00027A1F">
        <w:t>5.2.</w:t>
      </w:r>
      <w:r>
        <w:t>3</w:t>
      </w:r>
      <w:r w:rsidRPr="00027A1F">
        <w:t xml:space="preserve"> Time </w:t>
      </w:r>
      <w:r>
        <w:t>Frame and Temporal Resolution</w:t>
      </w:r>
      <w:bookmarkEnd w:id="7"/>
    </w:p>
    <w:p w14:paraId="5FD03B15" w14:textId="77777777" w:rsidR="00254BEA" w:rsidRPr="00027A1F" w:rsidRDefault="00254BEA" w:rsidP="00254BEA">
      <w:pPr>
        <w:spacing w:line="360" w:lineRule="auto"/>
      </w:pPr>
      <w:r w:rsidRPr="00027A1F">
        <w:t xml:space="preserve">The reason behind the model's chosen time frame — 75 years, advancing one year at a time — is two-fold. First, the overall span adopts the minimum duration attributed to the phenomenon under the low chronology (Boaretto et al., 2010; Finkelstein </w:t>
      </w:r>
      <w:r>
        <w:t xml:space="preserve">&amp; </w:t>
      </w:r>
      <w:r w:rsidRPr="00027A1F">
        <w:t>Piasetzky</w:t>
      </w:r>
      <w:r>
        <w:t xml:space="preserve">, </w:t>
      </w:r>
      <w:r w:rsidRPr="00027A1F">
        <w:t xml:space="preserve">2011; see Section 1.4.1). Although the radiocarbon record suggests the activity in fact persisted considerably longer (Bruins </w:t>
      </w:r>
      <w:r>
        <w:t xml:space="preserve">&amp; </w:t>
      </w:r>
      <w:r w:rsidRPr="00027A1F">
        <w:t>van der Plicht</w:t>
      </w:r>
      <w:r>
        <w:t xml:space="preserve">, </w:t>
      </w:r>
      <w:r w:rsidRPr="00027A1F">
        <w:t xml:space="preserve">2007; Mamalya </w:t>
      </w:r>
      <w:r>
        <w:t xml:space="preserve">&amp; </w:t>
      </w:r>
      <w:r w:rsidRPr="00027A1F">
        <w:t>Erickson-Gini</w:t>
      </w:r>
      <w:r>
        <w:t xml:space="preserve">, </w:t>
      </w:r>
      <w:r w:rsidRPr="00027A1F">
        <w:t>2019), adopting the minimal length is a deliberate choice: if the palimpsest can plausibly emerge within the shortest span the record allows, a longer duration would only reinforce it.  Second, the model's time steps are annual, a resolution fine enough to simulate the decisions and actions hypothesized to generate the archaeological record without being finer than necessary. Following the KISS principle (Keep It Simple, Stupid; Romanowska et al., 2021, and references therein), greater detail would add both uncertainty and computational cost.</w:t>
      </w:r>
    </w:p>
    <w:p w14:paraId="527782C6" w14:textId="77777777" w:rsidR="00254BEA" w:rsidRPr="00027A1F" w:rsidRDefault="00254BEA" w:rsidP="00254BEA">
      <w:pPr>
        <w:spacing w:line="360" w:lineRule="auto"/>
      </w:pPr>
      <w:r w:rsidRPr="00027A1F">
        <w:t>Each annual step stands for a single episode of occupation within a given year in the Negev Highlands. The idea is that a household's location in the region is not fixed: from one step to the next it may move to a new camp, and the model does not specify where that move begins. The origin could be the Arabah, the household's own previous encampment within the region, or another area altogether. Representing relocation as a single move once per year is a simplification, since the real rhythm of movement is unknown, and probably would have been diverse. Hence, each step simulates the selection of a camp, based on that year's environmental conditions, each household’s accumulated experience, and its coordination with the placement of neighbouring ones (Section 5.3.</w:t>
      </w:r>
      <w:r>
        <w:t>1</w:t>
      </w:r>
      <w:r w:rsidRPr="00027A1F">
        <w:t>). This repeated, step-by-step re-selection is key to generating the model's spatial dynamics.</w:t>
      </w:r>
    </w:p>
    <w:p w14:paraId="4DE0C038" w14:textId="77777777" w:rsidR="00254BEA" w:rsidRPr="00027A1F" w:rsidRDefault="00254BEA" w:rsidP="00254BEA">
      <w:pPr>
        <w:spacing w:line="360" w:lineRule="auto"/>
      </w:pPr>
      <w:r w:rsidRPr="00027A1F">
        <w:lastRenderedPageBreak/>
        <w:t xml:space="preserve">Within each simulated year the model carries out a fixed sequence of steps, each of which sets the conditions for the next. It first updates the environmental variables for that year, then lets each household select a cell it finds most suitable and has it establish a territory and disperse its nuclear families within it. Then, it judges whether the resulting surpluses are enough to build or reuse an enclosed compound (Section 5.3.3), and finally it adjusts each household's livestock and demographics and accumulates the </w:t>
      </w:r>
      <w:r>
        <w:t>degradation</w:t>
      </w:r>
      <w:r w:rsidRPr="00027A1F">
        <w:t xml:space="preserve"> that occupation leaves on the landscape. Running the steps in this order produces a chain of effects: environmental conditions shape where a household settles; its location determines the resources it acquires; those resources drive its decision to build or reuse enclosed compounds (</w:t>
      </w:r>
      <w:r>
        <w:t>Figure 5.3</w:t>
      </w:r>
      <w:r w:rsidRPr="00027A1F">
        <w:t>); and the resulting occupation degrades those cells, lowering their suitability in later years.</w:t>
      </w:r>
    </w:p>
    <w:p w14:paraId="423AF976" w14:textId="77777777" w:rsidR="00254BEA" w:rsidRDefault="00254BEA" w:rsidP="00254BEA">
      <w:pPr>
        <w:spacing w:line="360" w:lineRule="auto"/>
      </w:pPr>
      <w:r w:rsidRPr="00027A1F">
        <w:t>Repeated over a full run, these yearly steps are what turn individual agents’ decisions into an accumulated palimpsest, the pattern the model sets out to reproduce (Section 5.1). Favourable cells, revisited across many non-consecutive years, build up dense concentrations, while unattractive cells</w:t>
      </w:r>
      <w:r>
        <w:t>,</w:t>
      </w:r>
      <w:r w:rsidRPr="00027A1F">
        <w:t xml:space="preserve"> used only occasionally</w:t>
      </w:r>
      <w:r>
        <w:t>,</w:t>
      </w:r>
      <w:r w:rsidRPr="00027A1F">
        <w:t xml:space="preserve"> leave sparse traces. In this way, the final distribution superimposes many non-contemporaneous occupations.</w:t>
      </w:r>
    </w:p>
    <w:p w14:paraId="6B810AE4" w14:textId="77777777" w:rsidR="00254BEA" w:rsidRDefault="00254BEA" w:rsidP="00254BEA">
      <w:pPr>
        <w:pStyle w:val="Heading3"/>
        <w:rPr>
          <w:lang w:val="en-IL"/>
        </w:rPr>
      </w:pPr>
      <w:bookmarkStart w:id="8" w:name="_Toc234839341"/>
      <w:r>
        <w:rPr>
          <w:lang w:val="en-IL"/>
        </w:rPr>
        <w:t>5.2.4 Model Initiation</w:t>
      </w:r>
      <w:bookmarkEnd w:id="8"/>
    </w:p>
    <w:p w14:paraId="508BC3AA" w14:textId="77777777" w:rsidR="00254BEA" w:rsidRPr="007F2AED" w:rsidRDefault="00254BEA" w:rsidP="00254BEA">
      <w:pPr>
        <w:spacing w:line="360" w:lineRule="auto"/>
        <w:rPr>
          <w:lang w:val="en-IL"/>
        </w:rPr>
      </w:pPr>
      <w:r w:rsidRPr="007F2AED">
        <w:rPr>
          <w:lang w:val="en-IL"/>
        </w:rPr>
        <w:t>Finally, a word on where a run begins. The idea is to simulate a population well below the region's carrying capacity, reflecting a deliberately conservative scale of activity. The simulation uses nine households, held constant across the run.</w:t>
      </w:r>
    </w:p>
    <w:p w14:paraId="1CDE2DE5" w14:textId="77777777" w:rsidR="00254BEA" w:rsidRDefault="00254BEA" w:rsidP="00254BEA">
      <w:pPr>
        <w:spacing w:line="360" w:lineRule="auto"/>
      </w:pPr>
      <w:r w:rsidRPr="00A150A5">
        <w:t xml:space="preserve">That figure comes from the grazing capacity of the Negev Highlands. Seligman et al.'s (1962) rangeland survey found the region supports on the order of 5–10 head of </w:t>
      </w:r>
      <w:r>
        <w:t>sheep</w:t>
      </w:r>
      <w:r w:rsidRPr="00A150A5">
        <w:t xml:space="preserve"> per km² each year, the lower end in its more marginal reaches. </w:t>
      </w:r>
      <w:r w:rsidRPr="00E64DF6">
        <w:t>Rosen and Finkelstein (1992) built on that survey to express the same capacity in human terms: converting small-stock to goats (about 1.7 goats per sheep) and adopting Dahl and Hjort's (1976) estimate that a six-person herding family needs some 223 goats a year to meet its caloric needs</w:t>
      </w:r>
      <w:r>
        <w:t>,</w:t>
      </w:r>
      <w:r w:rsidRPr="00E64DF6">
        <w:t xml:space="preserve"> roughly 37 per person</w:t>
      </w:r>
      <w:r>
        <w:t>,</w:t>
      </w:r>
      <w:r w:rsidRPr="00E64DF6">
        <w:t xml:space="preserve"> under a purely pastoral economy.</w:t>
      </w:r>
      <w:r w:rsidRPr="00A150A5">
        <w:t xml:space="preserve"> On the marginal capacity of about 5.5 head per km², this comes to roughly 4 km² of ground per person, or on the order of 18 km² for a nuclear family of five</w:t>
      </w:r>
      <w:r>
        <w:t xml:space="preserve"> to six people</w:t>
      </w:r>
      <w:r w:rsidRPr="00A150A5">
        <w:t>. The model takes this conservative, marginal figure as its baseline.</w:t>
      </w:r>
    </w:p>
    <w:p w14:paraId="12937B91" w14:textId="77777777" w:rsidR="00254BEA" w:rsidRPr="00027A1F" w:rsidRDefault="00254BEA" w:rsidP="00254BEA">
      <w:pPr>
        <w:spacing w:line="360" w:lineRule="auto"/>
      </w:pPr>
      <w:r w:rsidRPr="007F2AED">
        <w:rPr>
          <w:lang w:val="en-IL"/>
        </w:rPr>
        <w:lastRenderedPageBreak/>
        <w:t xml:space="preserve">From there the number </w:t>
      </w:r>
      <w:r>
        <w:rPr>
          <w:lang w:val="en-IL"/>
        </w:rPr>
        <w:t xml:space="preserve">of households </w:t>
      </w:r>
      <w:r w:rsidRPr="007F2AED">
        <w:rPr>
          <w:lang w:val="en-IL"/>
        </w:rPr>
        <w:t>follow. A household</w:t>
      </w:r>
      <w:r>
        <w:rPr>
          <w:lang w:val="en-IL"/>
        </w:rPr>
        <w:t xml:space="preserve"> in this model</w:t>
      </w:r>
      <w:r w:rsidRPr="007F2AED">
        <w:rPr>
          <w:lang w:val="en-IL"/>
        </w:rPr>
        <w:t xml:space="preserve"> groups about ten such families and so needs on the order of 180 km²</w:t>
      </w:r>
      <w:r>
        <w:rPr>
          <w:lang w:val="en-IL"/>
        </w:rPr>
        <w:t>.</w:t>
      </w:r>
      <w:r w:rsidRPr="007F2AED">
        <w:rPr>
          <w:lang w:val="en-IL"/>
        </w:rPr>
        <w:t xml:space="preserve"> </w:t>
      </w:r>
      <w:r>
        <w:rPr>
          <w:lang w:val="en-IL"/>
        </w:rPr>
        <w:t>T</w:t>
      </w:r>
      <w:r w:rsidRPr="007F2AED">
        <w:rPr>
          <w:lang w:val="en-IL"/>
        </w:rPr>
        <w:t xml:space="preserve">he study area of some 3,251 km² could therefore sustain roughly </w:t>
      </w:r>
      <w:r>
        <w:rPr>
          <w:lang w:val="en-IL"/>
        </w:rPr>
        <w:t>18</w:t>
      </w:r>
      <w:r w:rsidRPr="007F2AED">
        <w:rPr>
          <w:lang w:val="en-IL"/>
        </w:rPr>
        <w:t xml:space="preserve"> households at carrying capacity. The model begins with half of these, nine households, </w:t>
      </w:r>
      <w:r>
        <w:rPr>
          <w:lang w:val="en-IL"/>
        </w:rPr>
        <w:t>again to be on the conservative side</w:t>
      </w:r>
      <w:r w:rsidRPr="007F2AED">
        <w:rPr>
          <w:lang w:val="en-IL"/>
        </w:rPr>
        <w:t xml:space="preserve">. </w:t>
      </w:r>
      <w:r w:rsidRPr="009E159D">
        <w:t xml:space="preserve">The point is not </w:t>
      </w:r>
      <w:r>
        <w:t>to estimate an approximate</w:t>
      </w:r>
      <w:r w:rsidRPr="009E159D">
        <w:t xml:space="preserve"> </w:t>
      </w:r>
      <w:r>
        <w:t xml:space="preserve">population of the </w:t>
      </w:r>
      <w:r w:rsidRPr="009E159D">
        <w:t xml:space="preserve">Iron Age </w:t>
      </w:r>
      <w:r>
        <w:t>IIA</w:t>
      </w:r>
      <w:r w:rsidRPr="009E159D">
        <w:t xml:space="preserve">, but </w:t>
      </w:r>
      <w:r>
        <w:t>to take a</w:t>
      </w:r>
      <w:r w:rsidRPr="009E159D">
        <w:t xml:space="preserve"> conservative </w:t>
      </w:r>
      <w:r>
        <w:t>figure</w:t>
      </w:r>
      <w:r w:rsidRPr="007F2AED">
        <w:rPr>
          <w:lang w:val="en-IL"/>
        </w:rPr>
        <w:t>: if the palimpsest can form even from s</w:t>
      </w:r>
      <w:r>
        <w:rPr>
          <w:lang w:val="en-IL"/>
        </w:rPr>
        <w:t>uch</w:t>
      </w:r>
      <w:r w:rsidRPr="007F2AED">
        <w:rPr>
          <w:lang w:val="en-IL"/>
        </w:rPr>
        <w:t xml:space="preserve"> sparse </w:t>
      </w:r>
      <w:r>
        <w:rPr>
          <w:lang w:val="en-IL"/>
        </w:rPr>
        <w:t>population</w:t>
      </w:r>
      <w:r w:rsidRPr="007F2AED">
        <w:rPr>
          <w:lang w:val="en-IL"/>
        </w:rPr>
        <w:t xml:space="preserve">, a denser </w:t>
      </w:r>
      <w:r>
        <w:rPr>
          <w:lang w:val="en-IL"/>
        </w:rPr>
        <w:t>one</w:t>
      </w:r>
      <w:r w:rsidRPr="007F2AED">
        <w:rPr>
          <w:lang w:val="en-IL"/>
        </w:rPr>
        <w:t xml:space="preserve"> would only reinforce it. These nine households begin with no accumulated experience or surplus and, in their first year (Year 0), choose their location on environmental suitability alone (Section 5.3.1); thereafter replacements take the place of any household that fails (Section </w:t>
      </w:r>
      <w:r>
        <w:rPr>
          <w:lang w:val="en-IL"/>
        </w:rPr>
        <w:t>5.3.4</w:t>
      </w:r>
      <w:r w:rsidRPr="007F2AED">
        <w:rPr>
          <w:lang w:val="en-IL"/>
        </w:rPr>
        <w:t>). Full parameter values are listed in Appendix 5 (Table A5.4).</w:t>
      </w:r>
    </w:p>
    <w:p w14:paraId="3EF82731" w14:textId="77777777" w:rsidR="00254BEA" w:rsidRDefault="00254BEA" w:rsidP="00254BEA">
      <w:pPr>
        <w:pStyle w:val="Heading2"/>
      </w:pPr>
      <w:bookmarkStart w:id="9" w:name="_Toc234839342"/>
      <w:r>
        <w:t>5</w:t>
      </w:r>
      <w:r w:rsidRPr="00027A1F">
        <w:t>.3 Agent Decision-Making and Behaviours</w:t>
      </w:r>
      <w:bookmarkEnd w:id="9"/>
    </w:p>
    <w:p w14:paraId="51046182" w14:textId="77777777" w:rsidR="00254BEA" w:rsidRPr="00EB74E7" w:rsidRDefault="00254BEA" w:rsidP="00254BEA">
      <w:pPr>
        <w:spacing w:line="360" w:lineRule="auto"/>
      </w:pPr>
      <w:r w:rsidRPr="00F2566A">
        <w:t xml:space="preserve">This section </w:t>
      </w:r>
      <w:r>
        <w:t>details the processes taking place in the simulation, either by agents’ actions or as environmental ones</w:t>
      </w:r>
      <w:r w:rsidRPr="00F2566A">
        <w:t xml:space="preserve">. </w:t>
      </w:r>
      <w:r>
        <w:t>In principle, h</w:t>
      </w:r>
      <w:r w:rsidRPr="00F2566A">
        <w:t>ousehold</w:t>
      </w:r>
      <w:r>
        <w:t>’</w:t>
      </w:r>
      <w:r w:rsidRPr="00F2566A">
        <w:t xml:space="preserve">s activity reduces to a handful of recurring decisions, each made afresh </w:t>
      </w:r>
      <w:r>
        <w:t xml:space="preserve">at each step </w:t>
      </w:r>
      <w:r w:rsidRPr="00F2566A">
        <w:t xml:space="preserve">in response to </w:t>
      </w:r>
      <w:r>
        <w:t>its environment and resources. The following processes are detailed below:</w:t>
      </w:r>
      <w:r w:rsidRPr="00F2566A">
        <w:t xml:space="preserve"> </w:t>
      </w:r>
      <w:r>
        <w:t xml:space="preserve">(i) </w:t>
      </w:r>
      <w:r w:rsidRPr="00F2566A">
        <w:t>camp</w:t>
      </w:r>
      <w:r>
        <w:t xml:space="preserve"> selection and its consequences</w:t>
      </w:r>
      <w:r w:rsidRPr="00F2566A">
        <w:t xml:space="preserve">, </w:t>
      </w:r>
      <w:r>
        <w:t>(ii) use of manpower and herds as resources and conversion to surplus</w:t>
      </w:r>
      <w:r w:rsidRPr="00F2566A">
        <w:t xml:space="preserve">, </w:t>
      </w:r>
      <w:r>
        <w:t>(iii) the decision-making process leading to enclosed compounds building or reuse</w:t>
      </w:r>
      <w:r w:rsidRPr="00F2566A">
        <w:t>, and</w:t>
      </w:r>
      <w:r>
        <w:t xml:space="preserve"> (iv)</w:t>
      </w:r>
      <w:r w:rsidRPr="00F2566A">
        <w:t xml:space="preserve"> </w:t>
      </w:r>
      <w:r>
        <w:t>crisis management</w:t>
      </w:r>
      <w:r w:rsidRPr="00F2566A">
        <w:t xml:space="preserve">. </w:t>
      </w:r>
      <w:r>
        <w:t>T</w:t>
      </w:r>
      <w:r w:rsidRPr="00F2566A">
        <w:t xml:space="preserve">he accumulation of many such local decisions, repeated across the run and across households produces the regional palimpsest the model sets out to explain (Section 5.1). </w:t>
      </w:r>
    </w:p>
    <w:p w14:paraId="301DA8D8" w14:textId="77777777" w:rsidR="00254BEA" w:rsidRPr="00027A1F" w:rsidRDefault="00254BEA" w:rsidP="00254BEA">
      <w:pPr>
        <w:pStyle w:val="Heading3"/>
      </w:pPr>
      <w:bookmarkStart w:id="10" w:name="_Toc234839343"/>
      <w:r>
        <w:t>5</w:t>
      </w:r>
      <w:r w:rsidRPr="00027A1F">
        <w:t xml:space="preserve">.3.1 </w:t>
      </w:r>
      <w:r>
        <w:t xml:space="preserve">Camp </w:t>
      </w:r>
      <w:r w:rsidRPr="00027A1F">
        <w:t xml:space="preserve">Selection </w:t>
      </w:r>
      <w:r w:rsidRPr="00322F5C">
        <w:t>and Environmental Feedback</w:t>
      </w:r>
      <w:bookmarkEnd w:id="10"/>
    </w:p>
    <w:p w14:paraId="7CE34087" w14:textId="77777777" w:rsidR="00254BEA" w:rsidRDefault="00254BEA" w:rsidP="00254BEA">
      <w:pPr>
        <w:spacing w:line="360" w:lineRule="auto"/>
      </w:pPr>
      <w:r w:rsidRPr="00354C6D">
        <w:t>The annual decision of where to camp combines the environmental suitability of the landscape, which is the same for every household, with each household's own reading of it. In its first year (Year 0) a household has no past experience and chooses on environmental suitability alone (</w:t>
      </w:r>
      <w:r>
        <w:t xml:space="preserve">for suitability calculation see </w:t>
      </w:r>
      <w:r w:rsidRPr="00354C6D">
        <w:t>Section 5.2.</w:t>
      </w:r>
      <w:r>
        <w:t>1.2</w:t>
      </w:r>
      <w:r w:rsidRPr="00354C6D">
        <w:t xml:space="preserve">); from Year 1 onward it keeps that suitability as the starting point and adjusts it through its own experience: an attachment to </w:t>
      </w:r>
      <w:r w:rsidRPr="00B46B76">
        <w:t>territory</w:t>
      </w:r>
      <w:r w:rsidRPr="00354C6D">
        <w:t xml:space="preserve"> and a memory of past camps. The choice </w:t>
      </w:r>
      <w:r>
        <w:t xml:space="preserve">itself </w:t>
      </w:r>
      <w:r w:rsidRPr="00354C6D">
        <w:t>is probabilistic: more suitable cells are likelier to be picked, but not certain to be.</w:t>
      </w:r>
      <w:r>
        <w:t xml:space="preserve"> </w:t>
      </w:r>
    </w:p>
    <w:p w14:paraId="352F87FC" w14:textId="77777777" w:rsidR="00254BEA" w:rsidRPr="003D1505" w:rsidRDefault="00254BEA" w:rsidP="00254BEA">
      <w:pPr>
        <w:spacing w:line="360" w:lineRule="auto"/>
        <w:rPr>
          <w:lang w:val="en-IL"/>
        </w:rPr>
      </w:pPr>
      <w:r w:rsidRPr="00817B24">
        <w:rPr>
          <w:lang w:val="en-IL"/>
        </w:rPr>
        <w:t>The</w:t>
      </w:r>
      <w:r w:rsidRPr="003D1505">
        <w:rPr>
          <w:lang w:val="en-IL"/>
        </w:rPr>
        <w:t xml:space="preserve"> first</w:t>
      </w:r>
      <w:r>
        <w:rPr>
          <w:lang w:val="en-IL"/>
        </w:rPr>
        <w:t xml:space="preserve"> form of experience</w:t>
      </w:r>
      <w:r w:rsidRPr="003D1505">
        <w:rPr>
          <w:lang w:val="en-IL"/>
        </w:rPr>
        <w:t xml:space="preserve">, attachment to territory, represents a household's tendency to keep to a familiar part of the region rather than range across it </w:t>
      </w:r>
      <w:r>
        <w:rPr>
          <w:lang w:val="en-IL"/>
        </w:rPr>
        <w:t xml:space="preserve">solely on environmental </w:t>
      </w:r>
      <w:r>
        <w:rPr>
          <w:lang w:val="en-IL"/>
        </w:rPr>
        <w:lastRenderedPageBreak/>
        <w:t>basis</w:t>
      </w:r>
      <w:r w:rsidRPr="003D1505">
        <w:rPr>
          <w:lang w:val="en-IL"/>
        </w:rPr>
        <w:t xml:space="preserve"> (Section 5.2.2). This kind of spatial inertia is widely reported in pastoral systems, where a group's camps recur on the same ground, or close to it, from one year to the next (Avni, 1996; Galilee, 2013; Hammer, 2014; Meraiot et al., 2021). The model represents it as two bonuses added to the environmental suitability of each cell (Section 5.2.</w:t>
      </w:r>
      <w:r>
        <w:rPr>
          <w:lang w:val="en-IL"/>
        </w:rPr>
        <w:t>1.2</w:t>
      </w:r>
      <w:r w:rsidRPr="003D1505">
        <w:rPr>
          <w:lang w:val="en-IL"/>
        </w:rPr>
        <w:t>), acting at two spatial scales.</w:t>
      </w:r>
    </w:p>
    <w:p w14:paraId="7B809BA5" w14:textId="77777777" w:rsidR="00254BEA" w:rsidRPr="003D1505" w:rsidRDefault="00254BEA" w:rsidP="00254BEA">
      <w:pPr>
        <w:spacing w:line="360" w:lineRule="auto"/>
        <w:rPr>
          <w:lang w:val="en-IL"/>
        </w:rPr>
      </w:pPr>
      <w:r w:rsidRPr="003D1505">
        <w:rPr>
          <w:lang w:val="en-IL"/>
        </w:rPr>
        <w:t>The broader bonus draws a household toward the general area of its past activity. The model tracks a home-range centre, </w:t>
      </w:r>
      <w:r w:rsidRPr="003D1505">
        <w:rPr>
          <w:i/>
          <w:iCs/>
          <w:lang w:val="en-IL"/>
        </w:rPr>
        <w:t>C</w:t>
      </w:r>
      <w:r w:rsidRPr="003D1505">
        <w:rPr>
          <w:lang w:val="en-IL"/>
        </w:rPr>
        <w:t>, updated each year as a running average of camp positions:</w:t>
      </w:r>
    </w:p>
    <w:p w14:paraId="0FE005A0" w14:textId="77777777" w:rsidR="00254BEA" w:rsidRPr="003D1505" w:rsidRDefault="00254BEA" w:rsidP="00254BEA">
      <w:pPr>
        <w:spacing w:line="360" w:lineRule="auto"/>
        <w:rPr>
          <w:lang w:val="en-IL"/>
        </w:rPr>
      </w:pPr>
      <m:oMathPara>
        <m:oMath>
          <m:r>
            <w:rPr>
              <w:rFonts w:ascii="Cambria Math" w:hAnsi="Cambria Math"/>
              <w:lang w:val="en-IL"/>
            </w:rPr>
            <m:t>C = 0.9 C</m:t>
          </m:r>
          <m:r>
            <w:rPr>
              <w:rFonts w:ascii="Cambria Math" w:hAnsi="Cambria Math" w:cs="Cambria Math"/>
              <w:lang w:val="en-IL"/>
            </w:rPr>
            <m:t>ₚ</m:t>
          </m:r>
          <m:r>
            <w:rPr>
              <w:rFonts w:ascii="Cambria Math" w:hAnsi="Cambria Math" w:cs="Arial"/>
              <w:lang w:val="en-IL"/>
            </w:rPr>
            <m:t>ᵣ</m:t>
          </m:r>
          <m:r>
            <w:rPr>
              <w:rFonts w:ascii="Cambria Math" w:hAnsi="Cambria Math" w:cs="Cambria Math"/>
              <w:lang w:val="en-IL"/>
            </w:rPr>
            <m:t>ₑ</m:t>
          </m:r>
          <m:r>
            <w:rPr>
              <w:rFonts w:ascii="Cambria Math" w:hAnsi="Cambria Math" w:cs="Arial"/>
              <w:lang w:val="en-IL"/>
            </w:rPr>
            <m:t>ᵥ</m:t>
          </m:r>
          <m:r>
            <w:rPr>
              <w:rFonts w:ascii="Cambria Math" w:hAnsi="Cambria Math"/>
              <w:lang w:val="en-IL"/>
            </w:rPr>
            <m:t xml:space="preserve"> + 0.1 P</m:t>
          </m:r>
        </m:oMath>
      </m:oMathPara>
    </w:p>
    <w:p w14:paraId="20448832" w14:textId="77777777" w:rsidR="00254BEA" w:rsidRPr="003D1505" w:rsidRDefault="00254BEA" w:rsidP="00254BEA">
      <w:pPr>
        <w:spacing w:line="360" w:lineRule="auto"/>
        <w:rPr>
          <w:lang w:val="en-IL"/>
        </w:rPr>
      </w:pPr>
      <w:r w:rsidRPr="003D1505">
        <w:rPr>
          <w:lang w:val="en-IL"/>
        </w:rPr>
        <w:t>where </w:t>
      </w:r>
      <w:r w:rsidRPr="003D1505">
        <w:rPr>
          <w:i/>
          <w:iCs/>
          <w:lang w:val="en-IL"/>
        </w:rPr>
        <w:t>P</w:t>
      </w:r>
      <w:r w:rsidRPr="003D1505">
        <w:rPr>
          <w:lang w:val="en-IL"/>
        </w:rPr>
        <w:t xml:space="preserve"> is the current year's </w:t>
      </w:r>
      <w:r>
        <w:rPr>
          <w:lang w:val="en-IL"/>
        </w:rPr>
        <w:t>territorial centre</w:t>
      </w:r>
      <w:r w:rsidRPr="003D1505">
        <w:rPr>
          <w:lang w:val="en-IL"/>
        </w:rPr>
        <w:t xml:space="preserve"> and </w:t>
      </w:r>
      <w:r w:rsidRPr="003D1505">
        <w:rPr>
          <w:i/>
          <w:iCs/>
          <w:lang w:val="en-IL"/>
        </w:rPr>
        <w:t>C</w:t>
      </w:r>
      <w:r w:rsidRPr="003D1505">
        <w:rPr>
          <w:rFonts w:ascii="Cambria Math" w:hAnsi="Cambria Math" w:cs="Cambria Math"/>
          <w:lang w:val="en-IL"/>
        </w:rPr>
        <w:t>ₚ</w:t>
      </w:r>
      <w:r w:rsidRPr="003D1505">
        <w:rPr>
          <w:rFonts w:ascii="Arial" w:hAnsi="Arial" w:cs="Arial"/>
          <w:lang w:val="en-IL"/>
        </w:rPr>
        <w:t>ᵣ</w:t>
      </w:r>
      <w:r w:rsidRPr="003D1505">
        <w:rPr>
          <w:rFonts w:ascii="Cambria Math" w:hAnsi="Cambria Math" w:cs="Cambria Math"/>
          <w:lang w:val="en-IL"/>
        </w:rPr>
        <w:t>ₑ</w:t>
      </w:r>
      <w:r w:rsidRPr="003D1505">
        <w:rPr>
          <w:rFonts w:ascii="Arial" w:hAnsi="Arial" w:cs="Arial"/>
          <w:lang w:val="en-IL"/>
        </w:rPr>
        <w:t>ᵥ</w:t>
      </w:r>
      <w:r w:rsidRPr="003D1505">
        <w:rPr>
          <w:lang w:val="en-IL"/>
        </w:rPr>
        <w:t xml:space="preserve"> the previous centre (in the first year, </w:t>
      </w:r>
      <w:r w:rsidRPr="003D1505">
        <w:rPr>
          <w:i/>
          <w:iCs/>
          <w:lang w:val="en-IL"/>
        </w:rPr>
        <w:t>C</w:t>
      </w:r>
      <w:r w:rsidRPr="003D1505">
        <w:rPr>
          <w:lang w:val="en-IL"/>
        </w:rPr>
        <w:t> is the first camp). The weighting shifts the centre only a tenth of the way toward each new camp, so it moves slowly and holds successive territories in the same general area. Each cell then receives a bonus:</w:t>
      </w:r>
    </w:p>
    <w:p w14:paraId="00299B11" w14:textId="77777777" w:rsidR="00254BEA" w:rsidRPr="003D1505" w:rsidRDefault="00254BEA" w:rsidP="00254BEA">
      <w:pPr>
        <w:spacing w:line="360" w:lineRule="auto"/>
        <w:rPr>
          <w:lang w:val="en-IL"/>
        </w:rPr>
      </w:pPr>
      <m:oMathPara>
        <m:oMath>
          <m:r>
            <w:rPr>
              <w:rFonts w:ascii="Cambria Math" w:hAnsi="Cambria Math"/>
              <w:lang w:val="en-IL"/>
            </w:rPr>
            <m:t>B = 5.0 · exp(-D² / (2 · 50²))</m:t>
          </m:r>
        </m:oMath>
      </m:oMathPara>
    </w:p>
    <w:p w14:paraId="572E97CB" w14:textId="77777777" w:rsidR="00254BEA" w:rsidRPr="003D1505" w:rsidRDefault="00254BEA" w:rsidP="00254BEA">
      <w:pPr>
        <w:spacing w:line="360" w:lineRule="auto"/>
        <w:rPr>
          <w:lang w:val="en-IL"/>
        </w:rPr>
      </w:pPr>
      <w:r w:rsidRPr="003D1505">
        <w:rPr>
          <w:lang w:val="en-IL"/>
        </w:rPr>
        <w:t>where </w:t>
      </w:r>
      <w:r w:rsidRPr="003D1505">
        <w:rPr>
          <w:i/>
          <w:iCs/>
          <w:lang w:val="en-IL"/>
        </w:rPr>
        <w:t>D</w:t>
      </w:r>
      <w:r w:rsidRPr="003D1505">
        <w:rPr>
          <w:lang w:val="en-IL"/>
        </w:rPr>
        <w:t> is the distance in cells from the cell to </w:t>
      </w:r>
      <w:r w:rsidRPr="003D1505">
        <w:rPr>
          <w:i/>
          <w:iCs/>
          <w:lang w:val="en-IL"/>
        </w:rPr>
        <w:t>C</w:t>
      </w:r>
      <w:r w:rsidRPr="003D1505">
        <w:rPr>
          <w:lang w:val="en-IL"/>
        </w:rPr>
        <w:t>, 5.0 is the maximum bonus on the 0–10 suitability scale, and 50 cells (12.5 km) sets its spread; the bonus is greatest at the centre and fades to near zero about 35 km away.</w:t>
      </w:r>
    </w:p>
    <w:p w14:paraId="31821E91" w14:textId="77777777" w:rsidR="00254BEA" w:rsidRPr="003D1505" w:rsidRDefault="00254BEA" w:rsidP="00254BEA">
      <w:pPr>
        <w:spacing w:line="360" w:lineRule="auto"/>
        <w:rPr>
          <w:lang w:val="en-IL"/>
        </w:rPr>
      </w:pPr>
      <w:r w:rsidRPr="003D1505">
        <w:rPr>
          <w:lang w:val="en-IL"/>
        </w:rPr>
        <w:t>The finer bonus adds a sharper pull toward the ground used the previous year. Cells within 20 cells (5 km) of the previous year's territory receive a bonus of</w:t>
      </w:r>
      <w:r>
        <w:rPr>
          <w:lang w:val="en-IL"/>
        </w:rPr>
        <w:t xml:space="preserve">: </w:t>
      </w:r>
      <w:r w:rsidRPr="003D1505">
        <w:rPr>
          <w:lang w:val="en-IL"/>
        </w:rPr>
        <w:t xml:space="preserve"> </w:t>
      </w:r>
      <m:oMath>
        <m:f>
          <m:fPr>
            <m:ctrlPr>
              <w:rPr>
                <w:rFonts w:ascii="Cambria Math" w:hAnsi="Cambria Math"/>
                <w:i/>
                <w:lang w:val="en-IL"/>
              </w:rPr>
            </m:ctrlPr>
          </m:fPr>
          <m:num>
            <m:r>
              <w:rPr>
                <w:rFonts w:ascii="Cambria Math" w:hAnsi="Cambria Math"/>
                <w:lang w:val="en-IL"/>
              </w:rPr>
              <m:t>2.5</m:t>
            </m:r>
          </m:num>
          <m:den>
            <m:d>
              <m:dPr>
                <m:ctrlPr>
                  <w:rPr>
                    <w:rFonts w:ascii="Cambria Math" w:hAnsi="Cambria Math"/>
                    <w:i/>
                    <w:lang w:val="en-IL"/>
                  </w:rPr>
                </m:ctrlPr>
              </m:dPr>
              <m:e>
                <m:r>
                  <w:rPr>
                    <w:rFonts w:ascii="Cambria Math" w:hAnsi="Cambria Math"/>
                    <w:lang w:val="en-IL"/>
                  </w:rPr>
                  <m:t>d + 1</m:t>
                </m:r>
              </m:e>
            </m:d>
          </m:den>
        </m:f>
      </m:oMath>
      <w:r w:rsidRPr="003D1505">
        <w:rPr>
          <w:lang w:val="en-IL"/>
        </w:rPr>
        <w:t xml:space="preserve"> </w:t>
      </w:r>
      <w:r>
        <w:rPr>
          <w:lang w:val="en-IL"/>
        </w:rPr>
        <w:t xml:space="preserve">, </w:t>
      </w:r>
      <w:r w:rsidRPr="003D1505">
        <w:rPr>
          <w:lang w:val="en-IL"/>
        </w:rPr>
        <w:t>where </w:t>
      </w:r>
      <w:r w:rsidRPr="003D1505">
        <w:rPr>
          <w:i/>
          <w:iCs/>
          <w:lang w:val="en-IL"/>
        </w:rPr>
        <w:t>d</w:t>
      </w:r>
      <w:r w:rsidRPr="003D1505">
        <w:rPr>
          <w:lang w:val="en-IL"/>
        </w:rPr>
        <w:t> is the distance in cells to the nearest territory cell, so the bonus is strongest at the territory itself and decays with distance from it.</w:t>
      </w:r>
    </w:p>
    <w:p w14:paraId="67DB5E0A" w14:textId="77777777" w:rsidR="00254BEA" w:rsidRPr="006E0F68" w:rsidRDefault="00254BEA" w:rsidP="00254BEA">
      <w:pPr>
        <w:spacing w:line="360" w:lineRule="auto"/>
        <w:rPr>
          <w:lang w:val="en-IL"/>
        </w:rPr>
      </w:pPr>
      <w:r w:rsidRPr="006E0F68">
        <w:rPr>
          <w:lang w:val="en-IL"/>
        </w:rPr>
        <w:t xml:space="preserve">Alongside this pull toward familiar </w:t>
      </w:r>
      <w:r>
        <w:rPr>
          <w:lang w:val="en-IL"/>
        </w:rPr>
        <w:t>territory</w:t>
      </w:r>
      <w:r w:rsidRPr="006E0F68">
        <w:rPr>
          <w:lang w:val="en-IL"/>
        </w:rPr>
        <w:t>, household</w:t>
      </w:r>
      <w:r>
        <w:rPr>
          <w:lang w:val="en-IL"/>
        </w:rPr>
        <w:t>s</w:t>
      </w:r>
      <w:r w:rsidRPr="006E0F68">
        <w:rPr>
          <w:lang w:val="en-IL"/>
        </w:rPr>
        <w:t xml:space="preserve"> </w:t>
      </w:r>
      <w:r>
        <w:rPr>
          <w:lang w:val="en-IL"/>
        </w:rPr>
        <w:t xml:space="preserve">hold memory of </w:t>
      </w:r>
      <w:r w:rsidRPr="006E0F68">
        <w:rPr>
          <w:lang w:val="en-IL"/>
        </w:rPr>
        <w:t xml:space="preserve">individual camps </w:t>
      </w:r>
      <w:r>
        <w:rPr>
          <w:lang w:val="en-IL"/>
        </w:rPr>
        <w:t>that affects their</w:t>
      </w:r>
      <w:r w:rsidRPr="006E0F68">
        <w:rPr>
          <w:lang w:val="en-IL"/>
        </w:rPr>
        <w:t xml:space="preserve"> next choice</w:t>
      </w:r>
      <w:r>
        <w:rPr>
          <w:lang w:val="en-IL"/>
        </w:rPr>
        <w:t xml:space="preserve"> of location.</w:t>
      </w:r>
      <w:r w:rsidRPr="006E0F68">
        <w:rPr>
          <w:lang w:val="en-IL"/>
        </w:rPr>
        <w:t xml:space="preserve"> </w:t>
      </w:r>
      <w:r>
        <w:rPr>
          <w:lang w:val="en-IL"/>
        </w:rPr>
        <w:t>They prefer to return to camps which had good quality at the year of occupation and avoid bad ones.</w:t>
      </w:r>
      <w:r w:rsidRPr="006E0F68">
        <w:rPr>
          <w:lang w:val="en-IL"/>
        </w:rPr>
        <w:t xml:space="preserve"> Each household therefore carries a record of the camps it and its nuclear families have occupied. Every entry holds three things: the camp's location, the environmental quality </w:t>
      </w:r>
      <w:r w:rsidRPr="006E0F68">
        <w:rPr>
          <w:i/>
          <w:iCs/>
          <w:lang w:val="en-IL"/>
        </w:rPr>
        <w:t>q</w:t>
      </w:r>
      <w:r w:rsidRPr="006E0F68">
        <w:rPr>
          <w:lang w:val="en-IL"/>
        </w:rPr>
        <w:t> it offered (on the same 0–10 scale as suitability), and the year of the stay.</w:t>
      </w:r>
    </w:p>
    <w:p w14:paraId="65B39CC4" w14:textId="77777777" w:rsidR="00254BEA" w:rsidRPr="006E0F68" w:rsidRDefault="00254BEA" w:rsidP="00254BEA">
      <w:pPr>
        <w:spacing w:line="360" w:lineRule="auto"/>
        <w:rPr>
          <w:lang w:val="en-IL"/>
        </w:rPr>
      </w:pPr>
      <w:r w:rsidRPr="006E0F68">
        <w:rPr>
          <w:lang w:val="en-IL"/>
        </w:rPr>
        <w:lastRenderedPageBreak/>
        <w:t xml:space="preserve">That record adjusts the suitability of the remembered cells in three ways. A cell occupied in the current year is simply penalised, −0.5, </w:t>
      </w:r>
      <w:r>
        <w:rPr>
          <w:lang w:val="en-IL"/>
        </w:rPr>
        <w:t xml:space="preserve">making it less probable to be </w:t>
      </w:r>
      <w:r w:rsidRPr="006E0F68">
        <w:rPr>
          <w:lang w:val="en-IL"/>
        </w:rPr>
        <w:t>re-select</w:t>
      </w:r>
      <w:r>
        <w:rPr>
          <w:lang w:val="en-IL"/>
        </w:rPr>
        <w:t>ed</w:t>
      </w:r>
      <w:r w:rsidRPr="006E0F68">
        <w:rPr>
          <w:lang w:val="en-IL"/>
        </w:rPr>
        <w:t xml:space="preserve">. For camps used in earlier years the adjustment takes the </w:t>
      </w:r>
      <w:r>
        <w:rPr>
          <w:lang w:val="en-IL"/>
        </w:rPr>
        <w:t>value</w:t>
      </w:r>
      <w:r w:rsidRPr="006E0F68">
        <w:rPr>
          <w:lang w:val="en-IL"/>
        </w:rPr>
        <w:t xml:space="preserve"> of the remembered quality and fades with time, its weight being</w:t>
      </w:r>
      <w:r>
        <w:rPr>
          <w:lang w:val="en-IL"/>
        </w:rPr>
        <w:t>:</w:t>
      </w:r>
    </w:p>
    <w:p w14:paraId="36920410" w14:textId="77777777" w:rsidR="00254BEA" w:rsidRPr="006E0F68" w:rsidRDefault="00254BEA" w:rsidP="00254BEA">
      <w:pPr>
        <w:spacing w:line="360" w:lineRule="auto"/>
        <w:rPr>
          <w:lang w:val="en-IL"/>
        </w:rPr>
      </w:pPr>
      <m:oMathPara>
        <m:oMath>
          <m:r>
            <w:rPr>
              <w:rFonts w:ascii="Cambria Math" w:hAnsi="Cambria Math"/>
              <w:lang w:val="en-IL"/>
            </w:rPr>
            <m:t xml:space="preserve">w = </m:t>
          </m:r>
          <m:f>
            <m:fPr>
              <m:ctrlPr>
                <w:rPr>
                  <w:rFonts w:ascii="Cambria Math" w:hAnsi="Cambria Math"/>
                  <w:i/>
                  <w:lang w:val="en-IL"/>
                </w:rPr>
              </m:ctrlPr>
            </m:fPr>
            <m:num>
              <m:r>
                <w:rPr>
                  <w:rFonts w:ascii="Cambria Math" w:hAnsi="Cambria Math"/>
                  <w:lang w:val="en-IL"/>
                </w:rPr>
                <m:t>1</m:t>
              </m:r>
            </m:num>
            <m:den>
              <m:rad>
                <m:radPr>
                  <m:degHide m:val="1"/>
                  <m:ctrlPr>
                    <w:rPr>
                      <w:rFonts w:ascii="Cambria Math" w:hAnsi="Cambria Math"/>
                      <w:i/>
                      <w:lang w:val="en-IL"/>
                    </w:rPr>
                  </m:ctrlPr>
                </m:radPr>
                <m:deg/>
                <m:e>
                  <m:sSub>
                    <m:sSubPr>
                      <m:ctrlPr>
                        <w:rPr>
                          <w:rFonts w:ascii="Cambria Math" w:hAnsi="Cambria Math"/>
                          <w:i/>
                          <w:lang w:val="en-IL"/>
                        </w:rPr>
                      </m:ctrlPr>
                    </m:sSubPr>
                    <m:e>
                      <m:r>
                        <w:rPr>
                          <w:rFonts w:ascii="Cambria Math" w:hAnsi="Cambria Math"/>
                          <w:lang w:val="en-IL"/>
                        </w:rPr>
                        <m:t>y</m:t>
                      </m:r>
                    </m:e>
                    <m:sub>
                      <m:r>
                        <w:rPr>
                          <w:rFonts w:ascii="Cambria Math" w:hAnsi="Cambria Math"/>
                          <w:lang w:val="en-IL"/>
                        </w:rPr>
                        <m:t>Δ</m:t>
                      </m:r>
                    </m:sub>
                  </m:sSub>
                </m:e>
              </m:rad>
            </m:den>
          </m:f>
        </m:oMath>
      </m:oMathPara>
    </w:p>
    <w:p w14:paraId="1AB2B321" w14:textId="77777777" w:rsidR="00254BEA" w:rsidRDefault="00254BEA" w:rsidP="00254BEA">
      <w:pPr>
        <w:spacing w:line="360" w:lineRule="auto"/>
        <w:rPr>
          <w:lang w:val="en-IL"/>
        </w:rPr>
      </w:pPr>
      <w:r w:rsidRPr="006E0F68">
        <w:rPr>
          <w:lang w:val="en-IL"/>
        </w:rPr>
        <w:t xml:space="preserve">where </w:t>
      </w:r>
      <w:r>
        <w:rPr>
          <w:lang w:val="en-IL"/>
        </w:rPr>
        <w:t>y</w:t>
      </w:r>
      <w:r w:rsidRPr="006E0F68">
        <w:rPr>
          <w:vertAlign w:val="subscript"/>
          <w:lang w:val="en-IL"/>
        </w:rPr>
        <w:t>Δ</w:t>
      </w:r>
      <w:r w:rsidRPr="006E0F68">
        <w:rPr>
          <w:lang w:val="en-IL"/>
        </w:rPr>
        <w:t xml:space="preserve"> is the number of years since the stay, so a camp used two years ago </w:t>
      </w:r>
      <w:r>
        <w:rPr>
          <w:lang w:val="en-IL"/>
        </w:rPr>
        <w:t>has more weight</w:t>
      </w:r>
      <w:r w:rsidRPr="006E0F68">
        <w:rPr>
          <w:lang w:val="en-IL"/>
        </w:rPr>
        <w:t xml:space="preserve"> than the same camp recalled from ten years back. A good camp </w:t>
      </w:r>
      <w:r>
        <w:rPr>
          <w:lang w:val="en-IL"/>
        </w:rPr>
        <w:t>of</w:t>
      </w:r>
      <w:r w:rsidRPr="006E0F68">
        <w:rPr>
          <w:lang w:val="en-IL"/>
        </w:rPr>
        <w:t xml:space="preserve"> quality </w:t>
      </w:r>
      <w:r w:rsidRPr="006E0F68">
        <w:rPr>
          <w:i/>
          <w:iCs/>
          <w:lang w:val="en-IL"/>
        </w:rPr>
        <w:t>q</w:t>
      </w:r>
      <w:r w:rsidRPr="006E0F68">
        <w:rPr>
          <w:lang w:val="en-IL"/>
        </w:rPr>
        <w:t> ≥ 5</w:t>
      </w:r>
      <w:r>
        <w:rPr>
          <w:lang w:val="en-IL"/>
        </w:rPr>
        <w:t>,</w:t>
      </w:r>
      <w:r w:rsidRPr="006E0F68">
        <w:rPr>
          <w:lang w:val="en-IL"/>
        </w:rPr>
        <w:t xml:space="preserve"> adds a bonus that draws the household back</w:t>
      </w:r>
      <w:r>
        <w:rPr>
          <w:lang w:val="en-IL"/>
        </w:rPr>
        <w:t>:</w:t>
      </w:r>
    </w:p>
    <w:p w14:paraId="548EC03F" w14:textId="77777777" w:rsidR="00254BEA" w:rsidRPr="006E0F68" w:rsidRDefault="00254BEA" w:rsidP="00254BEA">
      <w:pPr>
        <w:spacing w:line="360" w:lineRule="auto"/>
        <w:rPr>
          <w:lang w:val="en-IL"/>
        </w:rPr>
      </w:pPr>
      <m:oMathPara>
        <m:oMath>
          <m:r>
            <w:rPr>
              <w:rFonts w:ascii="Cambria Math" w:hAnsi="Cambria Math"/>
              <w:lang w:val="en-IL"/>
            </w:rPr>
            <m:t>A=q × w × 0.5</m:t>
          </m:r>
        </m:oMath>
      </m:oMathPara>
    </w:p>
    <w:p w14:paraId="037200C4" w14:textId="77777777" w:rsidR="00254BEA" w:rsidRPr="006E0F68" w:rsidRDefault="00254BEA" w:rsidP="00254BEA">
      <w:pPr>
        <w:spacing w:line="360" w:lineRule="auto"/>
        <w:rPr>
          <w:lang w:val="en-IL"/>
        </w:rPr>
      </w:pPr>
      <w:r w:rsidRPr="006E0F68">
        <w:rPr>
          <w:lang w:val="en-IL"/>
        </w:rPr>
        <w:t xml:space="preserve">while a poor camp </w:t>
      </w:r>
      <w:r>
        <w:rPr>
          <w:lang w:val="en-IL"/>
        </w:rPr>
        <w:t xml:space="preserve">of </w:t>
      </w:r>
      <w:r w:rsidRPr="006E0F68">
        <w:rPr>
          <w:lang w:val="en-IL"/>
        </w:rPr>
        <w:t>0 &lt; </w:t>
      </w:r>
      <w:r w:rsidRPr="006E0F68">
        <w:rPr>
          <w:i/>
          <w:iCs/>
          <w:lang w:val="en-IL"/>
        </w:rPr>
        <w:t>q</w:t>
      </w:r>
      <w:r w:rsidRPr="006E0F68">
        <w:rPr>
          <w:lang w:val="en-IL"/>
        </w:rPr>
        <w:t> &lt; 5 subtracts a penalty</w:t>
      </w:r>
      <w:r>
        <w:rPr>
          <w:lang w:val="en-IL"/>
        </w:rPr>
        <w:t>:</w:t>
      </w:r>
    </w:p>
    <w:p w14:paraId="47940471" w14:textId="77777777" w:rsidR="00254BEA" w:rsidRPr="006E0F68" w:rsidRDefault="00254BEA" w:rsidP="00254BEA">
      <w:pPr>
        <w:spacing w:line="360" w:lineRule="auto"/>
        <w:rPr>
          <w:lang w:val="en-IL"/>
        </w:rPr>
      </w:pPr>
      <m:oMathPara>
        <m:oMath>
          <m:r>
            <w:rPr>
              <w:rFonts w:ascii="Cambria Math" w:hAnsi="Cambria Math"/>
              <w:lang w:val="en-IL"/>
            </w:rPr>
            <m:t>    A = -</m:t>
          </m:r>
          <m:d>
            <m:dPr>
              <m:ctrlPr>
                <w:rPr>
                  <w:rFonts w:ascii="Cambria Math" w:hAnsi="Cambria Math"/>
                  <w:i/>
                  <w:lang w:val="en-IL"/>
                </w:rPr>
              </m:ctrlPr>
            </m:dPr>
            <m:e>
              <m:f>
                <m:fPr>
                  <m:ctrlPr>
                    <w:rPr>
                      <w:rFonts w:ascii="Cambria Math" w:hAnsi="Cambria Math"/>
                      <w:i/>
                      <w:lang w:val="en-IL"/>
                    </w:rPr>
                  </m:ctrlPr>
                </m:fPr>
                <m:num>
                  <m:r>
                    <w:rPr>
                      <w:rFonts w:ascii="Cambria Math" w:hAnsi="Cambria Math"/>
                      <w:lang w:val="en-IL"/>
                    </w:rPr>
                    <m:t>1</m:t>
                  </m:r>
                </m:num>
                <m:den>
                  <m:r>
                    <w:rPr>
                      <w:rFonts w:ascii="Cambria Math" w:hAnsi="Cambria Math"/>
                      <w:lang w:val="en-IL"/>
                    </w:rPr>
                    <m:t> q</m:t>
                  </m:r>
                </m:den>
              </m:f>
            </m:e>
          </m:d>
          <m:r>
            <w:rPr>
              <w:rFonts w:ascii="Cambria Math" w:hAnsi="Cambria Math"/>
              <w:lang w:val="en-IL"/>
            </w:rPr>
            <m:t>× w × 0.5</m:t>
          </m:r>
        </m:oMath>
      </m:oMathPara>
    </w:p>
    <w:p w14:paraId="147B4775" w14:textId="77777777" w:rsidR="00254BEA" w:rsidRPr="006E0F68" w:rsidRDefault="00254BEA" w:rsidP="00254BEA">
      <w:pPr>
        <w:spacing w:line="360" w:lineRule="auto"/>
        <w:rPr>
          <w:lang w:val="en-IL"/>
        </w:rPr>
      </w:pPr>
      <w:r w:rsidRPr="006E0F68">
        <w:rPr>
          <w:lang w:val="en-IL"/>
        </w:rPr>
        <w:t>as the remembered quality falls</w:t>
      </w:r>
      <w:r>
        <w:rPr>
          <w:lang w:val="en-IL"/>
        </w:rPr>
        <w:t xml:space="preserve"> the penalty is higher</w:t>
      </w:r>
      <w:r w:rsidRPr="006E0F68">
        <w:rPr>
          <w:lang w:val="en-IL"/>
        </w:rPr>
        <w:t>, so the least rewarding camps are avoided most strongly.</w:t>
      </w:r>
    </w:p>
    <w:p w14:paraId="58711644" w14:textId="77777777" w:rsidR="00254BEA" w:rsidRDefault="00254BEA" w:rsidP="00254BEA">
      <w:pPr>
        <w:spacing w:line="360" w:lineRule="auto"/>
        <w:rPr>
          <w:lang w:val="en-IL"/>
        </w:rPr>
      </w:pPr>
      <w:r w:rsidRPr="006E0F68">
        <w:rPr>
          <w:lang w:val="en-IL"/>
        </w:rPr>
        <w:t xml:space="preserve">Memory is imperfect and does not last indefinitely. At the start of each year a household prunes its record: camps younger than </w:t>
      </w:r>
      <w:r>
        <w:rPr>
          <w:lang w:val="en-IL"/>
        </w:rPr>
        <w:t xml:space="preserve">15 </w:t>
      </w:r>
      <w:r w:rsidRPr="006E0F68">
        <w:rPr>
          <w:lang w:val="en-IL"/>
        </w:rPr>
        <w:t xml:space="preserve">years are kept, while older ones are dropped </w:t>
      </w:r>
      <w:r>
        <w:rPr>
          <w:lang w:val="en-IL"/>
        </w:rPr>
        <w:t>with probabilistic logic</w:t>
      </w:r>
      <w:r w:rsidRPr="006E0F68">
        <w:rPr>
          <w:lang w:val="en-IL"/>
        </w:rPr>
        <w:t>, the older they are,</w:t>
      </w:r>
      <w:r>
        <w:rPr>
          <w:lang w:val="en-IL"/>
        </w:rPr>
        <w:t xml:space="preserve"> the chance to be forgotten increases.</w:t>
      </w:r>
      <w:r w:rsidRPr="006E0F68">
        <w:rPr>
          <w:lang w:val="en-IL"/>
        </w:rPr>
        <w:t xml:space="preserve"> </w:t>
      </w:r>
      <w:r>
        <w:rPr>
          <w:lang w:val="en-IL"/>
        </w:rPr>
        <w:t xml:space="preserve">Therefore, </w:t>
      </w:r>
      <w:r w:rsidRPr="006E0F68">
        <w:rPr>
          <w:lang w:val="en-IL"/>
        </w:rPr>
        <w:t xml:space="preserve">few </w:t>
      </w:r>
      <w:r>
        <w:rPr>
          <w:lang w:val="en-IL"/>
        </w:rPr>
        <w:t xml:space="preserve">memories </w:t>
      </w:r>
      <w:r w:rsidRPr="006E0F68">
        <w:rPr>
          <w:lang w:val="en-IL"/>
        </w:rPr>
        <w:t xml:space="preserve">persist much beyond two decades. A household thus </w:t>
      </w:r>
      <w:r>
        <w:rPr>
          <w:lang w:val="en-IL"/>
        </w:rPr>
        <w:t>evaluates the environment</w:t>
      </w:r>
      <w:r w:rsidRPr="006E0F68">
        <w:rPr>
          <w:lang w:val="en-IL"/>
        </w:rPr>
        <w:t xml:space="preserve"> </w:t>
      </w:r>
      <w:r>
        <w:rPr>
          <w:lang w:val="en-IL"/>
        </w:rPr>
        <w:t xml:space="preserve">with </w:t>
      </w:r>
      <w:r w:rsidRPr="006E0F68">
        <w:rPr>
          <w:lang w:val="en-IL"/>
        </w:rPr>
        <w:t xml:space="preserve">a limited, recency-weighted </w:t>
      </w:r>
      <w:r>
        <w:rPr>
          <w:lang w:val="en-IL"/>
        </w:rPr>
        <w:t>memory</w:t>
      </w:r>
      <w:r w:rsidRPr="006E0F68">
        <w:rPr>
          <w:lang w:val="en-IL"/>
        </w:rPr>
        <w:t xml:space="preserve"> of </w:t>
      </w:r>
      <w:r>
        <w:rPr>
          <w:lang w:val="en-IL"/>
        </w:rPr>
        <w:t>past camps</w:t>
      </w:r>
      <w:r w:rsidRPr="006E0F68">
        <w:rPr>
          <w:lang w:val="en-IL"/>
        </w:rPr>
        <w:t xml:space="preserve">. Together with the territorial attachment above, these adjustments turn the shared environmental suitability into the personalised </w:t>
      </w:r>
      <w:r>
        <w:rPr>
          <w:lang w:val="en-IL"/>
        </w:rPr>
        <w:t>raster</w:t>
      </w:r>
      <w:r w:rsidRPr="006E0F68">
        <w:rPr>
          <w:lang w:val="en-IL"/>
        </w:rPr>
        <w:t xml:space="preserve"> which each household </w:t>
      </w:r>
      <w:r>
        <w:rPr>
          <w:lang w:val="en-IL"/>
        </w:rPr>
        <w:t xml:space="preserve">uses to make his </w:t>
      </w:r>
      <w:r w:rsidRPr="006E0F68">
        <w:rPr>
          <w:lang w:val="en-IL"/>
        </w:rPr>
        <w:t>camp</w:t>
      </w:r>
      <w:r>
        <w:rPr>
          <w:lang w:val="en-IL"/>
        </w:rPr>
        <w:t xml:space="preserve"> location decision</w:t>
      </w:r>
      <w:r w:rsidRPr="006E0F68">
        <w:rPr>
          <w:lang w:val="en-IL"/>
        </w:rPr>
        <w:t>.</w:t>
      </w:r>
    </w:p>
    <w:p w14:paraId="0570027A" w14:textId="77777777" w:rsidR="00254BEA" w:rsidRPr="007E0E46" w:rsidRDefault="00254BEA" w:rsidP="00254BEA">
      <w:pPr>
        <w:spacing w:line="360" w:lineRule="auto"/>
        <w:rPr>
          <w:lang w:val="en-IL"/>
        </w:rPr>
      </w:pPr>
      <w:r w:rsidRPr="007E0E46">
        <w:rPr>
          <w:lang w:val="en-IL"/>
        </w:rPr>
        <w:t xml:space="preserve">These experiential adjustments give each household its own suitability raster, from which the year's camp is selected. The draw is probabilistic and weighted by suitability raised to the power of three, so a better cell is much more likely to be chosen while a poorer one keeps a slim chance. This transformation of the raster's values sharpens the preference without making it deterministic. The surface a household reads already carries the effect both of other agents occupying the area and of earlier occupation (§5.2.1.2, and detailed </w:t>
      </w:r>
      <w:r w:rsidRPr="007E0E46">
        <w:rPr>
          <w:lang w:val="en-IL"/>
        </w:rPr>
        <w:lastRenderedPageBreak/>
        <w:t>below), so currently and recently used ground has lower suitability, making it less likely to be selected as a camp.</w:t>
      </w:r>
    </w:p>
    <w:p w14:paraId="351BB8A5" w14:textId="77777777" w:rsidR="00254BEA" w:rsidRDefault="00254BEA" w:rsidP="00254BEA">
      <w:pPr>
        <w:spacing w:line="360" w:lineRule="auto"/>
        <w:rPr>
          <w:lang w:val="en-IL"/>
        </w:rPr>
      </w:pPr>
      <w:r w:rsidRPr="007E0E46">
        <w:rPr>
          <w:lang w:val="en-IL"/>
        </w:rPr>
        <w:t xml:space="preserve">Once a cell is chosen the household lays out a territory around it, reflecting the zone its herds will range over for the time of occupation. The territory is defined by a radius that widens as conditions worsen, from 20 cells (5 km) on favourable ground to 25 and 30 cells where local environmental quality is sub-moderate or poor. Put plainly, a household ranges more widely when resources are thin. Its nuclear families then disperse across this territory, each placed by the same logic, so the household's presence is spread over its territory rather than fixed at a single point. Each of these family camps, like the household's location, </w:t>
      </w:r>
      <w:r>
        <w:rPr>
          <w:lang w:val="en-IL"/>
        </w:rPr>
        <w:t>degradation</w:t>
      </w:r>
      <w:r w:rsidRPr="007E0E46">
        <w:rPr>
          <w:lang w:val="en-IL"/>
        </w:rPr>
        <w:t>s down the ground around it, contributing to the environmental degradation detailed below.</w:t>
      </w:r>
    </w:p>
    <w:p w14:paraId="03875FDF" w14:textId="77777777" w:rsidR="00254BEA" w:rsidRDefault="00254BEA" w:rsidP="00254BEA">
      <w:pPr>
        <w:spacing w:line="360" w:lineRule="auto"/>
      </w:pPr>
      <w:r w:rsidRPr="001C6A62">
        <w:t xml:space="preserve">Occupation leaves a lasting imprint on the </w:t>
      </w:r>
      <w:r>
        <w:t>environment</w:t>
      </w:r>
      <w:r w:rsidRPr="001C6A62">
        <w:t xml:space="preserve"> in two opposing ways. It degrades the </w:t>
      </w:r>
      <w:r>
        <w:t>area</w:t>
      </w:r>
      <w:r w:rsidRPr="001C6A62">
        <w:t xml:space="preserve"> a household uses, </w:t>
      </w:r>
      <w:r>
        <w:t>but</w:t>
      </w:r>
      <w:r w:rsidRPr="001C6A62">
        <w:t xml:space="preserve"> it also makes that </w:t>
      </w:r>
      <w:r>
        <w:t>specific cell</w:t>
      </w:r>
      <w:r w:rsidRPr="001C6A62">
        <w:t xml:space="preserve"> more likely to be chosen again</w:t>
      </w:r>
      <w:r>
        <w:t xml:space="preserve"> as it has been invested in (e.g., by building stone structures)</w:t>
      </w:r>
      <w:r w:rsidRPr="001C6A62">
        <w:t>. The first</w:t>
      </w:r>
      <w:r>
        <w:t xml:space="preserve">, degradation, </w:t>
      </w:r>
      <w:r w:rsidRPr="001C6A62">
        <w:t>is the model's central environmental process</w:t>
      </w:r>
      <w:r w:rsidRPr="00A378B3">
        <w:t xml:space="preserve"> and the source of much of its temporal dynamics. Grazing, trampling, and the gathering of wood and water deplete a cell's resources</w:t>
      </w:r>
      <w:r>
        <w:t>.</w:t>
      </w:r>
      <w:r w:rsidRPr="00F001EB">
        <w:t xml:space="preserve"> Overgrazing in particular</w:t>
      </w:r>
      <w:r>
        <w:t>,</w:t>
      </w:r>
      <w:r w:rsidRPr="00F001EB">
        <w:t xml:space="preserve"> can </w:t>
      </w:r>
      <w:r>
        <w:t xml:space="preserve">exhaust </w:t>
      </w:r>
      <w:r w:rsidRPr="00F001EB">
        <w:t xml:space="preserve">the local vegetation of such arid </w:t>
      </w:r>
      <w:r>
        <w:t>environment</w:t>
      </w:r>
      <w:r w:rsidRPr="00F001EB">
        <w:t xml:space="preserve"> (</w:t>
      </w:r>
      <w:r>
        <w:t xml:space="preserve">compare </w:t>
      </w:r>
      <w:r w:rsidRPr="00F001EB">
        <w:t>Boles et al., 2019; Meroz et al., 2023</w:t>
      </w:r>
      <w:r>
        <w:t xml:space="preserve"> for Negev-specific study</w:t>
      </w:r>
      <w:r w:rsidRPr="00F001EB">
        <w:t>), which then recovers only slowly.</w:t>
      </w:r>
      <w:r w:rsidRPr="00A378B3">
        <w:t xml:space="preserve"> </w:t>
      </w:r>
      <w:r>
        <w:t xml:space="preserve">Accordingly, </w:t>
      </w:r>
      <w:r w:rsidRPr="00A378B3">
        <w:t>cells occupied recently, whether by a household itself or by others, lose some of their suitability</w:t>
      </w:r>
      <w:r>
        <w:t xml:space="preserve"> value</w:t>
      </w:r>
      <w:r w:rsidRPr="00A378B3">
        <w:t xml:space="preserve">. The model represents this degradation directly in the suitability surface: as a household establishes its camp, the cells it occupies and their neighbours lose suitability. This lowering of the overall environmental value has a direct effect on the next households seeking a </w:t>
      </w:r>
      <w:r>
        <w:t xml:space="preserve">place to set </w:t>
      </w:r>
      <w:r w:rsidRPr="00A378B3">
        <w:t>camp.</w:t>
      </w:r>
    </w:p>
    <w:p w14:paraId="7B759DE3" w14:textId="77777777" w:rsidR="00254BEA" w:rsidRDefault="00254BEA" w:rsidP="00254BEA">
      <w:pPr>
        <w:spacing w:line="360" w:lineRule="auto"/>
      </w:pPr>
      <w:r w:rsidRPr="00060F01">
        <w:t>Degradation enters at two instances. The first is immediate. As soon as a household establishes its camp, the model lowers the suitability of the surrounding cells</w:t>
      </w:r>
      <w:r>
        <w:t xml:space="preserve"> </w:t>
      </w:r>
      <w:r w:rsidRPr="00274482">
        <w:t>(</w:t>
      </w:r>
      <w:r>
        <w:t>Figure 5.4</w:t>
      </w:r>
      <w:r w:rsidRPr="00274482">
        <w:t>)</w:t>
      </w:r>
      <w:r w:rsidRPr="00060F01">
        <w:t>. The reduction is largest at the occupied cell and decays with distance from it, extending across the household's territory. The nuclear famil</w:t>
      </w:r>
      <w:r>
        <w:t>y</w:t>
      </w:r>
      <w:r w:rsidRPr="00060F01">
        <w:t xml:space="preserve"> camps within that territory impose the same reduction at a smaller scale, over a radius of about 11 cells (≈2.75 km) each. Because these reductions are written to the shared suitability surface the moment they occur, households positioned later in the same year </w:t>
      </w:r>
      <w:r>
        <w:t>face</w:t>
      </w:r>
      <w:r w:rsidRPr="00060F01">
        <w:t xml:space="preserve"> an already-degraded </w:t>
      </w:r>
      <w:r w:rsidRPr="00060F01">
        <w:lastRenderedPageBreak/>
        <w:t>landscape and are less likely to make camp nearby. This is the coordination noted above, modelled implicitly, arising through environmental limitation.</w:t>
      </w:r>
    </w:p>
    <w:p w14:paraId="6A37104A" w14:textId="77777777" w:rsidR="00254BEA" w:rsidRPr="00A378B3" w:rsidRDefault="00254BEA" w:rsidP="00254BEA">
      <w:pPr>
        <w:spacing w:line="360" w:lineRule="auto"/>
        <w:rPr>
          <w:lang w:val="en-IL"/>
        </w:rPr>
      </w:pPr>
      <w:r w:rsidRPr="00A378B3">
        <w:rPr>
          <w:lang w:val="en-IL"/>
        </w:rPr>
        <w:t xml:space="preserve">The second </w:t>
      </w:r>
      <w:r>
        <w:rPr>
          <w:lang w:val="en-IL"/>
        </w:rPr>
        <w:t>instance</w:t>
      </w:r>
      <w:r w:rsidRPr="00A378B3">
        <w:rPr>
          <w:lang w:val="en-IL"/>
        </w:rPr>
        <w:t xml:space="preserve"> is cumulative and spans years. Alongside the immediate reduction, the model maintains a stress layer</w:t>
      </w:r>
      <w:r>
        <w:rPr>
          <w:lang w:val="en-IL"/>
        </w:rPr>
        <w:t xml:space="preserve"> </w:t>
      </w:r>
      <w:r w:rsidRPr="00A378B3">
        <w:rPr>
          <w:lang w:val="en-IL"/>
        </w:rPr>
        <w:t>(§5.2.1.2</w:t>
      </w:r>
      <w:r>
        <w:rPr>
          <w:lang w:val="en-IL"/>
        </w:rPr>
        <w:t xml:space="preserve">) </w:t>
      </w:r>
      <w:r w:rsidRPr="00A378B3">
        <w:rPr>
          <w:lang w:val="en-IL"/>
        </w:rPr>
        <w:t xml:space="preserve">that records the imprint of past occupation. Each year's occupation is added to this record, but recent occupation weighs more than </w:t>
      </w:r>
      <w:r>
        <w:rPr>
          <w:lang w:val="en-IL"/>
        </w:rPr>
        <w:t>earlier one</w:t>
      </w:r>
      <w:r w:rsidRPr="00A378B3">
        <w:rPr>
          <w:lang w:val="en-IL"/>
        </w:rPr>
        <w:t>:</w:t>
      </w:r>
    </w:p>
    <w:p w14:paraId="5D78C66A" w14:textId="77777777" w:rsidR="00254BEA" w:rsidRPr="00A378B3" w:rsidRDefault="00254BEA" w:rsidP="00254BEA">
      <w:pPr>
        <w:spacing w:line="360" w:lineRule="auto"/>
        <w:rPr>
          <w:lang w:val="en-IL"/>
        </w:rPr>
      </w:pPr>
      <m:oMathPara>
        <m:oMath>
          <m:r>
            <w:rPr>
              <w:rFonts w:ascii="Cambria Math" w:hAnsi="Cambria Math"/>
              <w:lang w:val="en-IL"/>
            </w:rPr>
            <m:t>S</m:t>
          </m:r>
          <m:r>
            <w:rPr>
              <w:rFonts w:ascii="Cambria Math" w:hAnsi="Cambria Math" w:cs="Cambria Math"/>
              <w:lang w:val="en-IL"/>
            </w:rPr>
            <m:t>ₜ</m:t>
          </m:r>
          <m:r>
            <w:rPr>
              <w:rFonts w:ascii="Cambria Math" w:hAnsi="Cambria Math"/>
              <w:lang w:val="en-IL"/>
            </w:rPr>
            <m:t xml:space="preserve"> = 0.5×S</m:t>
          </m:r>
          <m:r>
            <w:rPr>
              <w:rFonts w:ascii="Cambria Math" w:hAnsi="Cambria Math" w:cs="Cambria Math"/>
              <w:lang w:val="en-IL"/>
            </w:rPr>
            <m:t>ₜ₋</m:t>
          </m:r>
          <m:r>
            <w:rPr>
              <w:rFonts w:ascii="Cambria Math" w:hAnsi="Cambria Math" w:cs="Aptos"/>
              <w:lang w:val="en-IL"/>
            </w:rPr>
            <m:t>₁</m:t>
          </m:r>
          <m:r>
            <w:rPr>
              <w:rFonts w:ascii="Cambria Math" w:hAnsi="Cambria Math"/>
              <w:lang w:val="en-IL"/>
            </w:rPr>
            <m:t xml:space="preserve"> + O</m:t>
          </m:r>
          <m:r>
            <w:rPr>
              <w:rFonts w:ascii="Cambria Math" w:hAnsi="Cambria Math" w:cs="Cambria Math"/>
              <w:lang w:val="en-IL"/>
            </w:rPr>
            <m:t>ₜ</m:t>
          </m:r>
        </m:oMath>
      </m:oMathPara>
    </w:p>
    <w:p w14:paraId="7D60C10C" w14:textId="77777777" w:rsidR="00254BEA" w:rsidRDefault="00254BEA" w:rsidP="00254BEA">
      <w:pPr>
        <w:spacing w:line="360" w:lineRule="auto"/>
        <w:rPr>
          <w:lang w:val="en-IL"/>
        </w:rPr>
      </w:pPr>
      <w:r w:rsidRPr="00060F01">
        <w:rPr>
          <w:lang w:val="en-IL"/>
        </w:rPr>
        <w:t>where </w:t>
      </w:r>
      <w:r w:rsidRPr="00060F01">
        <w:rPr>
          <w:i/>
          <w:iCs/>
          <w:lang w:val="en-IL"/>
        </w:rPr>
        <w:t>S</w:t>
      </w:r>
      <w:r w:rsidRPr="00060F01">
        <w:rPr>
          <w:rFonts w:ascii="Cambria Math" w:hAnsi="Cambria Math" w:cs="Cambria Math"/>
          <w:lang w:val="en-IL"/>
        </w:rPr>
        <w:t>ₜ</w:t>
      </w:r>
      <w:r w:rsidRPr="00060F01">
        <w:rPr>
          <w:lang w:val="en-IL"/>
        </w:rPr>
        <w:t xml:space="preserve"> is the accumulated stress and </w:t>
      </w:r>
      <w:r w:rsidRPr="00060F01">
        <w:rPr>
          <w:i/>
          <w:iCs/>
          <w:lang w:val="en-IL"/>
        </w:rPr>
        <w:t>O</w:t>
      </w:r>
      <w:r w:rsidRPr="00060F01">
        <w:rPr>
          <w:rFonts w:ascii="Cambria Math" w:hAnsi="Cambria Math" w:cs="Cambria Math"/>
          <w:lang w:val="en-IL"/>
        </w:rPr>
        <w:t>ₜ</w:t>
      </w:r>
      <w:r w:rsidRPr="00060F01">
        <w:rPr>
          <w:lang w:val="en-IL"/>
        </w:rPr>
        <w:t xml:space="preserve"> the current year's occupation. The influence of this stress fades over several years, functioning as the model's stand-in for the slow environmental recovery. The stress raster is then smoothed, each cell taking a distance-weighted average of its neighbours within about 20 cells (5 km), spreading stress into a zone around each </w:t>
      </w:r>
      <w:r>
        <w:rPr>
          <w:lang w:val="en-IL"/>
        </w:rPr>
        <w:t xml:space="preserve">once </w:t>
      </w:r>
      <w:r w:rsidRPr="00060F01">
        <w:rPr>
          <w:lang w:val="en-IL"/>
        </w:rPr>
        <w:t>occupied cell. Finally, the smoothed stress is rescaled onto the 0–10 scale by a fuzzy function, so that cells far from any occupation score 10 and heavily occupied ones approach 0. This rescaled stress raster then enters the weighted suitability sum as the resource-exhaustion variable (§5.2.1.2).</w:t>
      </w:r>
    </w:p>
    <w:p w14:paraId="03DAE2D2" w14:textId="77777777" w:rsidR="00254BEA" w:rsidRPr="00060F01" w:rsidRDefault="00254BEA" w:rsidP="00254BEA">
      <w:pPr>
        <w:spacing w:line="360" w:lineRule="auto"/>
        <w:rPr>
          <w:lang w:val="en-IL"/>
        </w:rPr>
      </w:pPr>
      <w:r w:rsidRPr="00555632">
        <w:t>As noted above, the same record of past occupation also acts in the opposite direction. The reason is that each visit to a cell is assumed to add to the built infrastructure there, raising its value. Accordingly, alongside the exhaustion just described, the accumulated occupation of each cell enters the suitability surface a second time, now as a positive term that attracts households back to already-used locations (§5.2.1.2). Each occupied cell is rewarded in proportion to how intensely it was occupied (a household has a stronger effect than a nuclear family). Hence a site visited repeatedly, by households or nuclear families, gains a higher suitability value. An enclosed compound leaves a far heavier mark than an ordinary camp. It therefore exerts a strong and lasting pull, developed further in §5.3.3.</w:t>
      </w:r>
    </w:p>
    <w:p w14:paraId="7F3C56B2" w14:textId="77777777" w:rsidR="00254BEA" w:rsidRPr="00027A1F" w:rsidRDefault="00254BEA" w:rsidP="00254BEA">
      <w:pPr>
        <w:pStyle w:val="Heading3"/>
      </w:pPr>
      <w:bookmarkStart w:id="11" w:name="_Toc234839344"/>
      <w:r>
        <w:t>5</w:t>
      </w:r>
      <w:r w:rsidRPr="00027A1F">
        <w:t>.3.2 Resource Management and Surplus Calculation</w:t>
      </w:r>
      <w:bookmarkEnd w:id="11"/>
    </w:p>
    <w:p w14:paraId="48D6E4A6" w14:textId="77777777" w:rsidR="00254BEA" w:rsidRDefault="00254BEA" w:rsidP="00254BEA">
      <w:pPr>
        <w:spacing w:line="360" w:lineRule="auto"/>
      </w:pPr>
      <w:r w:rsidRPr="00ED4E6D">
        <w:t xml:space="preserve">A household's economy turns on three linked stocks: its herd, its manpower, and its surplus. Surplus is stored wealth, the produce a household accumulates beyond what it needs to feed itself in a given year, held as an abstract quantity rather than in any one commodity. It is what a household later draws on to build and maintain enclosed </w:t>
      </w:r>
      <w:r w:rsidRPr="00ED4E6D">
        <w:lastRenderedPageBreak/>
        <w:t>compounds (§5.3.3) and to weather poor years (§5.3.4). Each simulated year the household manages its resources in two steps. First, the herd grows or contracts according to the surrounding pasture. Second, the household converts the livestock beyond its subsistence needs into surplus, from which the year's consumption is then deducted.</w:t>
      </w:r>
    </w:p>
    <w:p w14:paraId="770E830D" w14:textId="77777777" w:rsidR="00254BEA" w:rsidRPr="005C13F2" w:rsidRDefault="00254BEA" w:rsidP="00254BEA">
      <w:pPr>
        <w:spacing w:line="360" w:lineRule="auto"/>
        <w:rPr>
          <w:lang w:val="en-IL"/>
        </w:rPr>
      </w:pPr>
      <w:r w:rsidRPr="005C13F2">
        <w:rPr>
          <w:lang w:val="en-IL"/>
        </w:rPr>
        <w:t xml:space="preserve">The </w:t>
      </w:r>
      <w:r>
        <w:rPr>
          <w:lang w:val="en-IL"/>
        </w:rPr>
        <w:t>livestock variable is</w:t>
      </w:r>
      <w:r w:rsidRPr="005C13F2">
        <w:rPr>
          <w:lang w:val="en-IL"/>
        </w:rPr>
        <w:t xml:space="preserve"> </w:t>
      </w:r>
      <w:r>
        <w:rPr>
          <w:lang w:val="en-IL"/>
        </w:rPr>
        <w:t>a dynamic one</w:t>
      </w:r>
      <w:r w:rsidRPr="005C13F2">
        <w:rPr>
          <w:lang w:val="en-IL"/>
        </w:rPr>
        <w:t xml:space="preserve">. </w:t>
      </w:r>
      <w:r>
        <w:rPr>
          <w:lang w:val="en-IL"/>
        </w:rPr>
        <w:t>First, t</w:t>
      </w:r>
      <w:r w:rsidRPr="005C13F2">
        <w:rPr>
          <w:lang w:val="en-IL"/>
        </w:rPr>
        <w:t xml:space="preserve">he model </w:t>
      </w:r>
      <w:r>
        <w:rPr>
          <w:lang w:val="en-IL"/>
        </w:rPr>
        <w:t>evaluates</w:t>
      </w:r>
      <w:r w:rsidRPr="005C13F2">
        <w:rPr>
          <w:lang w:val="en-IL"/>
        </w:rPr>
        <w:t xml:space="preserve"> the pasture across the </w:t>
      </w:r>
      <w:r>
        <w:rPr>
          <w:lang w:val="en-IL"/>
        </w:rPr>
        <w:t xml:space="preserve">territory </w:t>
      </w:r>
      <w:r w:rsidRPr="005C13F2">
        <w:rPr>
          <w:lang w:val="en-IL"/>
        </w:rPr>
        <w:t>and converts it into</w:t>
      </w:r>
      <w:r>
        <w:rPr>
          <w:lang w:val="en-IL"/>
        </w:rPr>
        <w:t xml:space="preserve"> </w:t>
      </w:r>
      <w:r w:rsidRPr="0034113E">
        <w:t xml:space="preserve">a carrying capacity, the number </w:t>
      </w:r>
      <w:r>
        <w:t xml:space="preserve">of </w:t>
      </w:r>
      <w:r w:rsidRPr="0034113E">
        <w:t>livestock</w:t>
      </w:r>
      <w:r>
        <w:t xml:space="preserve"> it can sustain</w:t>
      </w:r>
      <w:r w:rsidRPr="005C13F2">
        <w:rPr>
          <w:lang w:val="en-IL"/>
        </w:rPr>
        <w:t>:</w:t>
      </w:r>
    </w:p>
    <w:p w14:paraId="02C68642" w14:textId="77777777" w:rsidR="00254BEA" w:rsidRPr="005C13F2" w:rsidRDefault="00254BEA" w:rsidP="00254BEA">
      <w:pPr>
        <w:spacing w:line="360" w:lineRule="auto"/>
        <w:rPr>
          <w:lang w:val="en-IL"/>
        </w:rPr>
      </w:pPr>
      <m:oMathPara>
        <m:oMath>
          <m:r>
            <w:rPr>
              <w:rFonts w:ascii="Cambria Math" w:hAnsi="Cambria Math"/>
              <w:lang w:val="en-IL"/>
            </w:rPr>
            <m:t xml:space="preserve">Capacity = n × 1.125 × </m:t>
          </m:r>
          <m:d>
            <m:dPr>
              <m:ctrlPr>
                <w:rPr>
                  <w:rFonts w:ascii="Cambria Math" w:hAnsi="Cambria Math"/>
                  <w:i/>
                  <w:lang w:val="en-IL"/>
                </w:rPr>
              </m:ctrlPr>
            </m:dPr>
            <m:e>
              <m:f>
                <m:fPr>
                  <m:ctrlPr>
                    <w:rPr>
                      <w:rFonts w:ascii="Cambria Math" w:hAnsi="Cambria Math"/>
                      <w:i/>
                      <w:lang w:val="en-IL"/>
                    </w:rPr>
                  </m:ctrlPr>
                </m:fPr>
                <m:num>
                  <m:r>
                    <w:rPr>
                      <w:rFonts w:ascii="Cambria Math" w:hAnsi="Cambria Math"/>
                      <w:lang w:val="en-IL"/>
                    </w:rPr>
                    <m:t>PV</m:t>
                  </m:r>
                </m:num>
                <m:den>
                  <m:r>
                    <w:rPr>
                      <w:rFonts w:ascii="Cambria Math" w:hAnsi="Cambria Math"/>
                      <w:lang w:val="en-IL"/>
                    </w:rPr>
                    <m:t>5</m:t>
                  </m:r>
                </m:den>
              </m:f>
            </m:e>
          </m:d>
        </m:oMath>
      </m:oMathPara>
    </w:p>
    <w:p w14:paraId="15194142" w14:textId="77777777" w:rsidR="00254BEA" w:rsidRPr="005C13F2" w:rsidRDefault="00254BEA" w:rsidP="00254BEA">
      <w:pPr>
        <w:spacing w:line="360" w:lineRule="auto"/>
        <w:rPr>
          <w:lang w:val="en-IL"/>
        </w:rPr>
      </w:pPr>
      <w:r w:rsidRPr="005C13F2">
        <w:rPr>
          <w:lang w:val="en-IL"/>
        </w:rPr>
        <w:t>where </w:t>
      </w:r>
      <w:r w:rsidRPr="005C13F2">
        <w:rPr>
          <w:i/>
          <w:iCs/>
          <w:lang w:val="en-IL"/>
        </w:rPr>
        <w:t>n</w:t>
      </w:r>
      <w:r w:rsidRPr="005C13F2">
        <w:rPr>
          <w:lang w:val="en-IL"/>
        </w:rPr>
        <w:t> is the number of cells in th</w:t>
      </w:r>
      <w:r>
        <w:rPr>
          <w:lang w:val="en-IL"/>
        </w:rPr>
        <w:t>e territory</w:t>
      </w:r>
      <w:r w:rsidRPr="005C13F2">
        <w:rPr>
          <w:lang w:val="en-IL"/>
        </w:rPr>
        <w:t>, </w:t>
      </w:r>
      <w:r>
        <w:rPr>
          <w:i/>
          <w:iCs/>
          <w:lang w:val="en-IL"/>
        </w:rPr>
        <w:t xml:space="preserve">PV </w:t>
      </w:r>
      <w:r w:rsidRPr="005C13F2">
        <w:rPr>
          <w:lang w:val="en-IL"/>
        </w:rPr>
        <w:t>their mean pasture value</w:t>
      </w:r>
      <w:r>
        <w:rPr>
          <w:lang w:val="en-IL"/>
        </w:rPr>
        <w:t xml:space="preserve"> (affected by previous occupations, </w:t>
      </w:r>
      <w:r w:rsidRPr="004C230E">
        <w:t>§</w:t>
      </w:r>
      <w:r>
        <w:rPr>
          <w:lang w:val="en-IL"/>
        </w:rPr>
        <w:t>5.3.1)</w:t>
      </w:r>
      <w:r w:rsidRPr="005C13F2">
        <w:rPr>
          <w:lang w:val="en-IL"/>
        </w:rPr>
        <w:t xml:space="preserve"> on the 0–10 scale, and 1.125 </w:t>
      </w:r>
      <w:r>
        <w:rPr>
          <w:lang w:val="en-IL"/>
        </w:rPr>
        <w:t xml:space="preserve">reflects </w:t>
      </w:r>
      <w:r w:rsidRPr="005C13F2">
        <w:rPr>
          <w:lang w:val="en-IL"/>
        </w:rPr>
        <w:t>goats</w:t>
      </w:r>
      <w:r>
        <w:rPr>
          <w:lang w:val="en-IL"/>
        </w:rPr>
        <w:t>-</w:t>
      </w:r>
      <w:r w:rsidRPr="005C13F2">
        <w:rPr>
          <w:lang w:val="en-IL"/>
        </w:rPr>
        <w:t>per</w:t>
      </w:r>
      <w:r>
        <w:rPr>
          <w:lang w:val="en-IL"/>
        </w:rPr>
        <w:t>-</w:t>
      </w:r>
      <w:r w:rsidRPr="005C13F2">
        <w:rPr>
          <w:lang w:val="en-IL"/>
        </w:rPr>
        <w:t>cell rat</w:t>
      </w:r>
      <w:r>
        <w:rPr>
          <w:lang w:val="en-IL"/>
        </w:rPr>
        <w:t>io</w:t>
      </w:r>
      <w:r w:rsidRPr="005C13F2">
        <w:rPr>
          <w:lang w:val="en-IL"/>
        </w:rPr>
        <w:t xml:space="preserve"> that medium pasture (</w:t>
      </w:r>
      <w:r>
        <w:rPr>
          <w:i/>
          <w:iCs/>
          <w:lang w:val="en-IL"/>
        </w:rPr>
        <w:t>PV</w:t>
      </w:r>
      <w:r w:rsidRPr="005C13F2">
        <w:rPr>
          <w:lang w:val="en-IL"/>
        </w:rPr>
        <w:t> = 5) supports</w:t>
      </w:r>
      <w:r>
        <w:rPr>
          <w:lang w:val="en-IL"/>
        </w:rPr>
        <w:t>,</w:t>
      </w:r>
      <w:r w:rsidRPr="005C13F2">
        <w:rPr>
          <w:lang w:val="en-IL"/>
        </w:rPr>
        <w:t xml:space="preserve"> keeping with the rangeland capacities set out in §5.2.</w:t>
      </w:r>
      <w:r>
        <w:rPr>
          <w:lang w:val="en-IL"/>
        </w:rPr>
        <w:t>4</w:t>
      </w:r>
      <w:r w:rsidRPr="005C13F2">
        <w:rPr>
          <w:lang w:val="en-IL"/>
        </w:rPr>
        <w:t>. Comparing this capacity with the current herd sets the year's trajectory</w:t>
      </w:r>
      <w:r>
        <w:rPr>
          <w:lang w:val="en-IL"/>
        </w:rPr>
        <w:t>. W</w:t>
      </w:r>
      <w:r w:rsidRPr="005C13F2">
        <w:rPr>
          <w:lang w:val="en-IL"/>
        </w:rPr>
        <w:t xml:space="preserve">here the </w:t>
      </w:r>
      <w:r>
        <w:rPr>
          <w:lang w:val="en-IL"/>
        </w:rPr>
        <w:t>environment</w:t>
      </w:r>
      <w:r w:rsidRPr="005C13F2">
        <w:rPr>
          <w:lang w:val="en-IL"/>
        </w:rPr>
        <w:t xml:space="preserve"> offers comfortably more than the herd needs (capacity above about 1.1 times the herd), the herd grows</w:t>
      </w:r>
      <w:r>
        <w:rPr>
          <w:lang w:val="en-IL"/>
        </w:rPr>
        <w:t>;</w:t>
      </w:r>
      <w:r w:rsidRPr="005C13F2">
        <w:rPr>
          <w:lang w:val="en-IL"/>
        </w:rPr>
        <w:t xml:space="preserve"> </w:t>
      </w:r>
      <w:r>
        <w:rPr>
          <w:lang w:val="en-IL"/>
        </w:rPr>
        <w:t>w</w:t>
      </w:r>
      <w:r w:rsidRPr="005C13F2">
        <w:rPr>
          <w:lang w:val="en-IL"/>
        </w:rPr>
        <w:t>he</w:t>
      </w:r>
      <w:r>
        <w:rPr>
          <w:lang w:val="en-IL"/>
        </w:rPr>
        <w:t>n</w:t>
      </w:r>
      <w:r w:rsidRPr="005C13F2">
        <w:rPr>
          <w:lang w:val="en-IL"/>
        </w:rPr>
        <w:t xml:space="preserve"> it falls short (capacity below about 0.9 times the herd), the herd contracts.</w:t>
      </w:r>
      <w:r>
        <w:rPr>
          <w:lang w:val="en-IL"/>
        </w:rPr>
        <w:t xml:space="preserve"> </w:t>
      </w:r>
      <w:r w:rsidRPr="004C230E">
        <w:t>Between these bounds the herd holds roughly steady.</w:t>
      </w:r>
      <w:r>
        <w:t xml:space="preserve"> </w:t>
      </w:r>
      <w:r w:rsidRPr="0034113E">
        <w:t>Two edge cases temper these dynamics</w:t>
      </w:r>
      <w:r>
        <w:t xml:space="preserve"> - s</w:t>
      </w:r>
      <w:r w:rsidRPr="004C230E">
        <w:t>mall</w:t>
      </w:r>
      <w:r w:rsidRPr="005C13F2">
        <w:rPr>
          <w:lang w:val="en-IL"/>
        </w:rPr>
        <w:t xml:space="preserve"> herds recover faster</w:t>
      </w:r>
      <w:r>
        <w:rPr>
          <w:lang w:val="en-IL"/>
        </w:rPr>
        <w:t xml:space="preserve"> (below 500)</w:t>
      </w:r>
      <w:r w:rsidRPr="005C13F2">
        <w:rPr>
          <w:lang w:val="en-IL"/>
        </w:rPr>
        <w:t>, a</w:t>
      </w:r>
      <w:r>
        <w:rPr>
          <w:lang w:val="en-IL"/>
        </w:rPr>
        <w:t xml:space="preserve">s they are easier to manage; very large herds (above 1,000) </w:t>
      </w:r>
      <w:r>
        <w:rPr>
          <w:lang w:val="en-US"/>
        </w:rPr>
        <w:t xml:space="preserve">present the household with </w:t>
      </w:r>
      <w:r>
        <w:t>d</w:t>
      </w:r>
      <w:r w:rsidRPr="002D01A9">
        <w:t xml:space="preserve">iminishing </w:t>
      </w:r>
      <w:r>
        <w:t>m</w:t>
      </w:r>
      <w:r w:rsidRPr="002D01A9">
        <w:t xml:space="preserve">arginal </w:t>
      </w:r>
      <w:r>
        <w:t>r</w:t>
      </w:r>
      <w:r w:rsidRPr="002D01A9">
        <w:t>eturns</w:t>
      </w:r>
      <w:r>
        <w:t>, reflecting their u</w:t>
      </w:r>
      <w:r w:rsidRPr="0034113E">
        <w:t>nwieldiness</w:t>
      </w:r>
      <w:r w:rsidRPr="005C13F2">
        <w:rPr>
          <w:lang w:val="en-IL"/>
        </w:rPr>
        <w:t>.</w:t>
      </w:r>
    </w:p>
    <w:p w14:paraId="04E94C10" w14:textId="77777777" w:rsidR="00254BEA" w:rsidRPr="002D01A9" w:rsidRDefault="00254BEA" w:rsidP="00254BEA">
      <w:pPr>
        <w:spacing w:line="360" w:lineRule="auto"/>
        <w:rPr>
          <w:lang w:val="en-IL"/>
        </w:rPr>
      </w:pPr>
      <w:r w:rsidRPr="0034113E">
        <w:t xml:space="preserve">Beyond subsistence, the herd is the source of surplus: a household sets aside the livestock it needs to </w:t>
      </w:r>
      <w:r>
        <w:t>sustain</w:t>
      </w:r>
      <w:r w:rsidRPr="0034113E">
        <w:t xml:space="preserve"> itself and draws surplus from the rest. That subsistence need is calculated as:</w:t>
      </w:r>
    </w:p>
    <w:p w14:paraId="0517A615" w14:textId="77777777" w:rsidR="00254BEA" w:rsidRPr="002D01A9" w:rsidRDefault="00254BEA" w:rsidP="00254BEA">
      <w:pPr>
        <w:spacing w:line="360" w:lineRule="auto"/>
        <w:rPr>
          <w:lang w:val="en-IL"/>
        </w:rPr>
      </w:pPr>
      <m:oMathPara>
        <m:oMath>
          <m:r>
            <w:rPr>
              <w:rFonts w:ascii="Cambria Math" w:hAnsi="Cambria Math"/>
              <w:lang w:val="en-IL"/>
            </w:rPr>
            <m:t>Need = M × 18 × (1 - a)</m:t>
          </m:r>
        </m:oMath>
      </m:oMathPara>
    </w:p>
    <w:p w14:paraId="774B23CE" w14:textId="77777777" w:rsidR="00254BEA" w:rsidRPr="002D01A9" w:rsidRDefault="00254BEA" w:rsidP="00254BEA">
      <w:pPr>
        <w:spacing w:line="360" w:lineRule="auto"/>
        <w:rPr>
          <w:lang w:val="en-IL"/>
        </w:rPr>
      </w:pPr>
      <w:r w:rsidRPr="002D01A9">
        <w:rPr>
          <w:lang w:val="en-IL"/>
        </w:rPr>
        <w:t>where </w:t>
      </w:r>
      <w:r w:rsidRPr="002D01A9">
        <w:rPr>
          <w:i/>
          <w:iCs/>
          <w:lang w:val="en-IL"/>
        </w:rPr>
        <w:t>M</w:t>
      </w:r>
      <w:r w:rsidRPr="002D01A9">
        <w:rPr>
          <w:lang w:val="en-IL"/>
        </w:rPr>
        <w:t xml:space="preserve"> is the household's manpower and 18 the animals per person required for subsistence (§5.2.2). </w:t>
      </w:r>
      <w:r w:rsidRPr="002D01A9">
        <w:rPr>
          <w:i/>
          <w:iCs/>
          <w:lang w:val="en-IL"/>
        </w:rPr>
        <w:t>a</w:t>
      </w:r>
      <w:r w:rsidRPr="002D01A9">
        <w:rPr>
          <w:lang w:val="en-IL"/>
        </w:rPr>
        <w:t> </w:t>
      </w:r>
      <w:r>
        <w:rPr>
          <w:lang w:val="en-IL"/>
        </w:rPr>
        <w:t>represents a bonus</w:t>
      </w:r>
      <w:r w:rsidRPr="002D01A9">
        <w:rPr>
          <w:lang w:val="en-IL"/>
        </w:rPr>
        <w:t xml:space="preserve"> </w:t>
      </w:r>
      <w:r>
        <w:rPr>
          <w:lang w:val="en-IL"/>
        </w:rPr>
        <w:t>from</w:t>
      </w:r>
      <w:r w:rsidRPr="002D01A9">
        <w:rPr>
          <w:lang w:val="en-IL"/>
        </w:rPr>
        <w:t xml:space="preserve"> </w:t>
      </w:r>
      <w:r>
        <w:rPr>
          <w:lang w:val="en-IL"/>
        </w:rPr>
        <w:t>opportunistic</w:t>
      </w:r>
      <w:r w:rsidRPr="002D01A9">
        <w:rPr>
          <w:lang w:val="en-IL"/>
        </w:rPr>
        <w:t xml:space="preserve"> cultivation</w:t>
      </w:r>
      <w:r>
        <w:rPr>
          <w:lang w:val="en-IL"/>
        </w:rPr>
        <w:t>.</w:t>
      </w:r>
      <w:r w:rsidRPr="002D01A9">
        <w:rPr>
          <w:lang w:val="en-IL"/>
        </w:rPr>
        <w:t xml:space="preserve"> </w:t>
      </w:r>
      <w:r>
        <w:rPr>
          <w:lang w:val="en-IL"/>
        </w:rPr>
        <w:t xml:space="preserve">Where well-watered </w:t>
      </w:r>
      <w:r w:rsidRPr="002D01A9">
        <w:rPr>
          <w:lang w:val="en-IL"/>
        </w:rPr>
        <w:t xml:space="preserve">arable </w:t>
      </w:r>
      <w:r>
        <w:rPr>
          <w:lang w:val="en-IL"/>
        </w:rPr>
        <w:t xml:space="preserve">patches are present </w:t>
      </w:r>
      <w:r w:rsidRPr="002D01A9">
        <w:rPr>
          <w:lang w:val="en-IL"/>
        </w:rPr>
        <w:t>in the household's territory</w:t>
      </w:r>
      <w:r>
        <w:rPr>
          <w:lang w:val="en-IL"/>
        </w:rPr>
        <w:t xml:space="preserve"> (</w:t>
      </w:r>
      <w:r w:rsidRPr="0034113E">
        <w:t>its extent set by that year's rainfall in the basin above the patch</w:t>
      </w:r>
      <w:r>
        <w:t>)</w:t>
      </w:r>
      <w:r>
        <w:rPr>
          <w:lang w:val="en-IL"/>
        </w:rPr>
        <w:t xml:space="preserve">, it </w:t>
      </w:r>
      <w:r w:rsidRPr="002D01A9">
        <w:rPr>
          <w:lang w:val="en-IL"/>
        </w:rPr>
        <w:t>substitute</w:t>
      </w:r>
      <w:r>
        <w:rPr>
          <w:lang w:val="en-IL"/>
        </w:rPr>
        <w:t xml:space="preserve">s </w:t>
      </w:r>
      <w:r w:rsidRPr="0034113E">
        <w:t>for part of the herd, reducing the livestock need by up to 40%, so households on better farmland need fewer animals to get by</w:t>
      </w:r>
      <w:r>
        <w:t xml:space="preserve"> </w:t>
      </w:r>
      <w:r>
        <w:rPr>
          <w:lang w:val="en-IL"/>
        </w:rPr>
        <w:t xml:space="preserve">(compare Rosen &amp; Finkelstein, 1992; </w:t>
      </w:r>
      <w:r w:rsidRPr="00027A1F">
        <w:t>Günther et al., 2021</w:t>
      </w:r>
      <w:r>
        <w:t xml:space="preserve"> who modelled similar systems)</w:t>
      </w:r>
      <w:r w:rsidRPr="002D01A9">
        <w:rPr>
          <w:lang w:val="en-IL"/>
        </w:rPr>
        <w:t>.</w:t>
      </w:r>
    </w:p>
    <w:p w14:paraId="18A98E2C" w14:textId="77777777" w:rsidR="00254BEA" w:rsidRPr="00C631B6" w:rsidRDefault="00254BEA" w:rsidP="00254BEA">
      <w:pPr>
        <w:spacing w:line="360" w:lineRule="auto"/>
        <w:rPr>
          <w:lang w:val="en-IL"/>
        </w:rPr>
      </w:pPr>
      <w:r w:rsidRPr="00EC44DB">
        <w:lastRenderedPageBreak/>
        <w:t>The herd yields surplus in two ways, and how much turns first on how many animals a household keeps in hand. Beyond the bare subsistence </w:t>
      </w:r>
      <w:r w:rsidRPr="00EC44DB">
        <w:rPr>
          <w:i/>
          <w:iCs/>
        </w:rPr>
        <w:t>Need</w:t>
      </w:r>
      <w:r w:rsidRPr="00EC44DB">
        <w:t> (defined above), it holds a working herd</w:t>
      </w:r>
      <w:r w:rsidRPr="00C631B6">
        <w:rPr>
          <w:lang w:val="en-IL"/>
        </w:rPr>
        <w:t>:</w:t>
      </w:r>
    </w:p>
    <w:p w14:paraId="3BBFFD09" w14:textId="77777777" w:rsidR="00254BEA" w:rsidRPr="00C631B6" w:rsidRDefault="00254BEA" w:rsidP="00254BEA">
      <w:pPr>
        <w:spacing w:line="360" w:lineRule="auto"/>
        <w:rPr>
          <w:lang w:val="en-IL"/>
        </w:rPr>
      </w:pPr>
      <m:oMathPara>
        <m:oMath>
          <m:r>
            <w:rPr>
              <w:rFonts w:ascii="Cambria Math" w:hAnsi="Cambria Math"/>
              <w:lang w:val="en-IL"/>
            </w:rPr>
            <m:t>Working herd = 1.5 × Need × (1 + 0.3×s)</m:t>
          </m:r>
        </m:oMath>
      </m:oMathPara>
    </w:p>
    <w:p w14:paraId="4F5B0DF2" w14:textId="77777777" w:rsidR="00254BEA" w:rsidRPr="00C631B6" w:rsidRDefault="00254BEA" w:rsidP="00254BEA">
      <w:pPr>
        <w:spacing w:line="360" w:lineRule="auto"/>
        <w:rPr>
          <w:lang w:val="en-IL"/>
        </w:rPr>
      </w:pPr>
      <w:r w:rsidRPr="00C631B6">
        <w:rPr>
          <w:lang w:val="en-IL"/>
        </w:rPr>
        <w:t>where 1.5 is a buffer against a bad year and </w:t>
      </w:r>
      <w:r w:rsidRPr="00C631B6">
        <w:rPr>
          <w:i/>
          <w:iCs/>
          <w:lang w:val="en-IL"/>
        </w:rPr>
        <w:t>s</w:t>
      </w:r>
      <w:r w:rsidRPr="00C631B6">
        <w:rPr>
          <w:lang w:val="en-IL"/>
        </w:rPr>
        <w:t xml:space="preserve"> is a stress ratio, the degree to which the herd exceeds the local carrying capacity. </w:t>
      </w:r>
    </w:p>
    <w:p w14:paraId="7332E849" w14:textId="77777777" w:rsidR="00254BEA" w:rsidRPr="00C631B6" w:rsidRDefault="00254BEA" w:rsidP="00254BEA">
      <w:pPr>
        <w:spacing w:line="360" w:lineRule="auto"/>
        <w:rPr>
          <w:lang w:val="en-IL"/>
        </w:rPr>
      </w:pPr>
      <w:r w:rsidRPr="00C631B6">
        <w:rPr>
          <w:lang w:val="en-IL"/>
        </w:rPr>
        <w:t>Surplus is then drawn through two channels. The first is</w:t>
      </w:r>
      <w:r>
        <w:rPr>
          <w:lang w:val="en-IL"/>
        </w:rPr>
        <w:t xml:space="preserve"> through</w:t>
      </w:r>
      <w:r w:rsidRPr="00C631B6">
        <w:rPr>
          <w:lang w:val="en-IL"/>
        </w:rPr>
        <w:t xml:space="preserve"> </w:t>
      </w:r>
      <w:r>
        <w:rPr>
          <w:lang w:val="en-IL"/>
        </w:rPr>
        <w:t>secondary products</w:t>
      </w:r>
      <w:r w:rsidRPr="00C631B6">
        <w:rPr>
          <w:lang w:val="en-IL"/>
        </w:rPr>
        <w:t>:</w:t>
      </w:r>
    </w:p>
    <w:p w14:paraId="03061D87" w14:textId="77777777" w:rsidR="00254BEA" w:rsidRPr="00C631B6" w:rsidRDefault="00254BEA" w:rsidP="00254BEA">
      <w:pPr>
        <w:spacing w:line="360" w:lineRule="auto"/>
        <w:rPr>
          <w:lang w:val="en-IL"/>
        </w:rPr>
      </w:pPr>
      <m:oMathPara>
        <m:oMath>
          <m:sSub>
            <m:sSubPr>
              <m:ctrlPr>
                <w:rPr>
                  <w:rFonts w:ascii="Cambria Math" w:hAnsi="Cambria Math"/>
                  <w:i/>
                  <w:lang w:val="en-IL"/>
                </w:rPr>
              </m:ctrlPr>
            </m:sSubPr>
            <m:e>
              <m:r>
                <w:rPr>
                  <w:rFonts w:ascii="Cambria Math" w:hAnsi="Cambria Math"/>
                  <w:lang w:val="en-IL"/>
                </w:rPr>
                <m:t>S</m:t>
              </m:r>
            </m:e>
            <m:sub>
              <m:r>
                <w:rPr>
                  <w:rFonts w:ascii="Cambria Math" w:hAnsi="Cambria Math"/>
                  <w:lang w:val="en-IL"/>
                </w:rPr>
                <m:t>products</m:t>
              </m:r>
            </m:sub>
          </m:sSub>
          <m:r>
            <w:rPr>
              <w:rFonts w:ascii="Cambria Math" w:hAnsi="Cambria Math"/>
              <w:lang w:val="en-IL"/>
            </w:rPr>
            <m:t xml:space="preserve"> = 0.15 × </m:t>
          </m:r>
          <m:sSub>
            <m:sSubPr>
              <m:ctrlPr>
                <w:rPr>
                  <w:rFonts w:ascii="Cambria Math" w:hAnsi="Cambria Math"/>
                  <w:i/>
                  <w:lang w:val="en-IL"/>
                </w:rPr>
              </m:ctrlPr>
            </m:sSubPr>
            <m:e>
              <m:r>
                <w:rPr>
                  <w:rFonts w:ascii="Cambria Math" w:hAnsi="Cambria Math"/>
                  <w:lang w:val="en-IL"/>
                </w:rPr>
                <m:t>H</m:t>
              </m:r>
            </m:e>
            <m:sub>
              <m:r>
                <w:rPr>
                  <w:rFonts w:ascii="Cambria Math" w:hAnsi="Cambria Math"/>
                  <w:lang w:val="en-IL"/>
                </w:rPr>
                <m:t>productive</m:t>
              </m:r>
            </m:sub>
          </m:sSub>
        </m:oMath>
      </m:oMathPara>
    </w:p>
    <w:p w14:paraId="1CA771D4" w14:textId="77777777" w:rsidR="00254BEA" w:rsidRPr="00C631B6" w:rsidRDefault="00254BEA" w:rsidP="00254BEA">
      <w:pPr>
        <w:spacing w:line="360" w:lineRule="auto"/>
        <w:rPr>
          <w:lang w:val="en-IL"/>
        </w:rPr>
      </w:pPr>
      <w:r w:rsidRPr="00C631B6">
        <w:rPr>
          <w:lang w:val="en-IL"/>
        </w:rPr>
        <w:t>where </w:t>
      </w:r>
      <w:r w:rsidRPr="00C631B6">
        <w:rPr>
          <w:i/>
          <w:iCs/>
          <w:lang w:val="en-IL"/>
        </w:rPr>
        <w:t>H</w:t>
      </w:r>
      <w:r w:rsidRPr="00C631B6">
        <w:rPr>
          <w:i/>
          <w:iCs/>
          <w:vertAlign w:val="subscript"/>
          <w:lang w:val="en-IL"/>
        </w:rPr>
        <w:t>productive</w:t>
      </w:r>
      <w:r w:rsidRPr="00C631B6">
        <w:rPr>
          <w:lang w:val="en-IL"/>
        </w:rPr>
        <w:t xml:space="preserve"> is the </w:t>
      </w:r>
      <w:r w:rsidRPr="00EC44DB">
        <w:t>milk- and wool-yielding part of the herd</w:t>
      </w:r>
      <w:r w:rsidRPr="00EC44DB">
        <w:rPr>
          <w:lang w:val="en-IL"/>
        </w:rPr>
        <w:t xml:space="preserve"> </w:t>
      </w:r>
      <w:r w:rsidRPr="00C631B6">
        <w:rPr>
          <w:lang w:val="en-IL"/>
        </w:rPr>
        <w:t xml:space="preserve">(those beyond the subsistence core), and 0.15 is a </w:t>
      </w:r>
      <w:r>
        <w:rPr>
          <w:lang w:val="en-IL"/>
        </w:rPr>
        <w:t xml:space="preserve">fixed </w:t>
      </w:r>
      <w:r w:rsidRPr="00C631B6">
        <w:rPr>
          <w:lang w:val="en-IL"/>
        </w:rPr>
        <w:t>yield rate</w:t>
      </w:r>
      <w:r>
        <w:rPr>
          <w:lang w:val="en-IL"/>
        </w:rPr>
        <w:t>, adopted for simplicity</w:t>
      </w:r>
      <w:r w:rsidRPr="00C631B6">
        <w:rPr>
          <w:lang w:val="en-IL"/>
        </w:rPr>
        <w:t xml:space="preserve">. The second </w:t>
      </w:r>
      <w:r>
        <w:rPr>
          <w:lang w:val="en-IL"/>
        </w:rPr>
        <w:t xml:space="preserve">channel </w:t>
      </w:r>
      <w:r w:rsidRPr="00C631B6">
        <w:rPr>
          <w:lang w:val="en-IL"/>
        </w:rPr>
        <w:t xml:space="preserve">is </w:t>
      </w:r>
      <w:r>
        <w:rPr>
          <w:lang w:val="en-IL"/>
        </w:rPr>
        <w:t>through</w:t>
      </w:r>
      <w:r w:rsidRPr="00C631B6">
        <w:rPr>
          <w:lang w:val="en-IL"/>
        </w:rPr>
        <w:t xml:space="preserve"> culling of </w:t>
      </w:r>
      <w:r>
        <w:rPr>
          <w:lang w:val="en-IL"/>
        </w:rPr>
        <w:t>livestock</w:t>
      </w:r>
      <w:r w:rsidRPr="00C631B6">
        <w:rPr>
          <w:lang w:val="en-IL"/>
        </w:rPr>
        <w:t>:</w:t>
      </w:r>
    </w:p>
    <w:p w14:paraId="5EC684D1" w14:textId="77777777" w:rsidR="00254BEA" w:rsidRPr="00C631B6" w:rsidRDefault="00254BEA" w:rsidP="00254BEA">
      <w:pPr>
        <w:spacing w:line="360" w:lineRule="auto"/>
        <w:rPr>
          <w:lang w:val="en-IL"/>
        </w:rPr>
      </w:pPr>
      <m:oMathPara>
        <m:oMath>
          <m:sSub>
            <m:sSubPr>
              <m:ctrlPr>
                <w:rPr>
                  <w:rFonts w:ascii="Cambria Math" w:hAnsi="Cambria Math"/>
                  <w:i/>
                  <w:lang w:val="en-IL"/>
                </w:rPr>
              </m:ctrlPr>
            </m:sSubPr>
            <m:e>
              <m:r>
                <w:rPr>
                  <w:rFonts w:ascii="Cambria Math" w:hAnsi="Cambria Math"/>
                  <w:lang w:val="en-IL"/>
                </w:rPr>
                <m:t>S</m:t>
              </m:r>
            </m:e>
            <m:sub>
              <m:r>
                <w:rPr>
                  <w:rFonts w:ascii="Cambria Math" w:hAnsi="Cambria Math"/>
                  <w:lang w:val="en-IL"/>
                </w:rPr>
                <m:t>culling</m:t>
              </m:r>
            </m:sub>
          </m:sSub>
          <m:r>
            <w:rPr>
              <w:rFonts w:ascii="Cambria Math" w:hAnsi="Cambria Math"/>
              <w:lang w:val="en-IL"/>
            </w:rPr>
            <m:t>= 0.35 × 0.8 × (H - Working herd)</m:t>
          </m:r>
        </m:oMath>
      </m:oMathPara>
    </w:p>
    <w:p w14:paraId="00E23C9E" w14:textId="77777777" w:rsidR="00254BEA" w:rsidRDefault="00254BEA" w:rsidP="00254BEA">
      <w:pPr>
        <w:spacing w:line="360" w:lineRule="auto"/>
        <w:rPr>
          <w:lang w:val="en-IL"/>
        </w:rPr>
      </w:pPr>
      <w:r w:rsidRPr="00C631B6">
        <w:rPr>
          <w:lang w:val="en-IL"/>
        </w:rPr>
        <w:t>Where</w:t>
      </w:r>
      <w:r>
        <w:rPr>
          <w:lang w:val="en-IL"/>
        </w:rPr>
        <w:t xml:space="preserve"> </w:t>
      </w:r>
      <w:r w:rsidRPr="00EC44DB">
        <w:rPr>
          <w:i/>
          <w:iCs/>
        </w:rPr>
        <w:t>H</w:t>
      </w:r>
      <w:r w:rsidRPr="00EC44DB">
        <w:t> is the current herd</w:t>
      </w:r>
      <w:r>
        <w:t xml:space="preserve"> and</w:t>
      </w:r>
      <w:r w:rsidRPr="00C631B6">
        <w:rPr>
          <w:lang w:val="en-IL"/>
        </w:rPr>
        <w:t> </w:t>
      </w:r>
      <w:r>
        <w:rPr>
          <w:lang w:val="en-IL"/>
        </w:rPr>
        <w:t>(</w:t>
      </w:r>
      <w:r w:rsidRPr="00EC44DB">
        <w:rPr>
          <w:i/>
          <w:iCs/>
          <w:lang w:val="en-IL"/>
        </w:rPr>
        <w:t>H − Working herd</w:t>
      </w:r>
      <w:r>
        <w:rPr>
          <w:lang w:val="en-IL"/>
        </w:rPr>
        <w:t>)</w:t>
      </w:r>
      <w:r w:rsidRPr="00C631B6">
        <w:rPr>
          <w:lang w:val="en-IL"/>
        </w:rPr>
        <w:t xml:space="preserve"> is the excess above what the household keeps, of which 80% is culled and each culled animal converts to 0.35 surplus units. The culled </w:t>
      </w:r>
      <w:r>
        <w:rPr>
          <w:lang w:val="en-IL"/>
        </w:rPr>
        <w:t>livestock</w:t>
      </w:r>
      <w:r w:rsidRPr="00C631B6">
        <w:rPr>
          <w:lang w:val="en-IL"/>
        </w:rPr>
        <w:t xml:space="preserve"> </w:t>
      </w:r>
      <w:r>
        <w:rPr>
          <w:lang w:val="en-IL"/>
        </w:rPr>
        <w:t xml:space="preserve">are subtracted from </w:t>
      </w:r>
      <w:r w:rsidRPr="00C631B6">
        <w:rPr>
          <w:lang w:val="en-IL"/>
        </w:rPr>
        <w:t>the herd. The year's generated surplus is the sum</w:t>
      </w:r>
      <w:r>
        <w:rPr>
          <w:lang w:val="en-IL"/>
        </w:rPr>
        <w:t>:</w:t>
      </w:r>
    </w:p>
    <w:p w14:paraId="023C2217" w14:textId="77777777" w:rsidR="00254BEA" w:rsidRPr="00C631B6" w:rsidRDefault="00254BEA" w:rsidP="00254BEA">
      <w:pPr>
        <w:spacing w:line="360" w:lineRule="auto"/>
        <w:rPr>
          <w:rFonts w:eastAsiaTheme="minorEastAsia"/>
          <w:iCs/>
          <w:lang w:val="en-IL"/>
        </w:rPr>
      </w:pPr>
      <m:oMathPara>
        <m:oMath>
          <m:r>
            <w:rPr>
              <w:rFonts w:ascii="Cambria Math" w:hAnsi="Cambria Math"/>
              <w:lang w:val="en-IL"/>
            </w:rPr>
            <m:t>Yearl</m:t>
          </m:r>
          <m:sSub>
            <m:sSubPr>
              <m:ctrlPr>
                <w:rPr>
                  <w:rFonts w:ascii="Cambria Math" w:hAnsi="Cambria Math"/>
                  <w:i/>
                  <w:iCs/>
                  <w:lang w:val="en-IL"/>
                </w:rPr>
              </m:ctrlPr>
            </m:sSubPr>
            <m:e>
              <m:r>
                <w:rPr>
                  <w:rFonts w:ascii="Cambria Math" w:hAnsi="Cambria Math"/>
                  <w:lang w:val="en-IL"/>
                </w:rPr>
                <m:t>y</m:t>
              </m:r>
            </m:e>
            <m:sub>
              <m:r>
                <w:rPr>
                  <w:rFonts w:ascii="Cambria Math" w:hAnsi="Cambria Math"/>
                  <w:lang w:val="en-IL"/>
                </w:rPr>
                <m:t>Surplus</m:t>
              </m:r>
            </m:sub>
          </m:sSub>
          <m:r>
            <w:rPr>
              <w:rFonts w:ascii="Cambria Math" w:hAnsi="Cambria Math"/>
              <w:lang w:val="en-IL"/>
            </w:rPr>
            <m:t xml:space="preserve">= </m:t>
          </m:r>
          <m:sSub>
            <m:sSubPr>
              <m:ctrlPr>
                <w:rPr>
                  <w:rFonts w:ascii="Cambria Math" w:hAnsi="Cambria Math"/>
                  <w:i/>
                  <w:iCs/>
                  <w:lang w:val="en-IL"/>
                </w:rPr>
              </m:ctrlPr>
            </m:sSubPr>
            <m:e>
              <m:r>
                <w:rPr>
                  <w:rFonts w:ascii="Cambria Math" w:hAnsi="Cambria Math"/>
                  <w:lang w:val="en-IL"/>
                </w:rPr>
                <m:t>S</m:t>
              </m:r>
            </m:e>
            <m:sub>
              <m:r>
                <w:rPr>
                  <w:rFonts w:ascii="Cambria Math" w:hAnsi="Cambria Math"/>
                  <w:lang w:val="en-IL"/>
                </w:rPr>
                <m:t>products</m:t>
              </m:r>
            </m:sub>
          </m:sSub>
          <m:r>
            <w:rPr>
              <w:rFonts w:ascii="Cambria Math" w:hAnsi="Cambria Math"/>
              <w:lang w:val="en-IL"/>
            </w:rPr>
            <m:t xml:space="preserve"> + </m:t>
          </m:r>
          <m:sSub>
            <m:sSubPr>
              <m:ctrlPr>
                <w:rPr>
                  <w:rFonts w:ascii="Cambria Math" w:hAnsi="Cambria Math"/>
                  <w:i/>
                  <w:iCs/>
                  <w:lang w:val="en-IL"/>
                </w:rPr>
              </m:ctrlPr>
            </m:sSubPr>
            <m:e>
              <m:r>
                <w:rPr>
                  <w:rFonts w:ascii="Cambria Math" w:hAnsi="Cambria Math"/>
                  <w:lang w:val="en-IL"/>
                </w:rPr>
                <m:t>S</m:t>
              </m:r>
            </m:e>
            <m:sub>
              <m:r>
                <w:rPr>
                  <w:rFonts w:ascii="Cambria Math" w:hAnsi="Cambria Math"/>
                  <w:lang w:val="en-IL"/>
                </w:rPr>
                <m:t>culling</m:t>
              </m:r>
            </m:sub>
          </m:sSub>
        </m:oMath>
      </m:oMathPara>
    </w:p>
    <w:p w14:paraId="57F471AB" w14:textId="77777777" w:rsidR="00254BEA" w:rsidRPr="00EC44DB" w:rsidRDefault="00254BEA" w:rsidP="00254BEA">
      <w:pPr>
        <w:spacing w:line="360" w:lineRule="auto"/>
        <w:rPr>
          <w:rFonts w:eastAsiaTheme="minorEastAsia"/>
          <w:iCs/>
          <w:lang w:val="en-IL"/>
        </w:rPr>
      </w:pPr>
      <w:r w:rsidRPr="00EC44DB">
        <w:rPr>
          <w:rFonts w:eastAsiaTheme="minorEastAsia"/>
          <w:iCs/>
          <w:lang w:val="en-IL"/>
        </w:rPr>
        <w:t>Surplus</w:t>
      </w:r>
      <w:r>
        <w:rPr>
          <w:rFonts w:eastAsiaTheme="minorEastAsia"/>
          <w:iCs/>
          <w:lang w:val="en-IL"/>
        </w:rPr>
        <w:t>, this model’s simplified representation of capital,</w:t>
      </w:r>
      <w:r w:rsidRPr="00EC44DB">
        <w:rPr>
          <w:rFonts w:eastAsiaTheme="minorEastAsia"/>
          <w:iCs/>
          <w:lang w:val="en-IL"/>
        </w:rPr>
        <w:t xml:space="preserve"> </w:t>
      </w:r>
      <w:r w:rsidRPr="00F06EDA">
        <w:rPr>
          <w:rFonts w:eastAsiaTheme="minorEastAsia"/>
          <w:iCs/>
        </w:rPr>
        <w:t>accumulates and decays</w:t>
      </w:r>
      <w:r>
        <w:rPr>
          <w:rFonts w:eastAsiaTheme="minorEastAsia"/>
          <w:iCs/>
        </w:rPr>
        <w:t xml:space="preserve"> </w:t>
      </w:r>
      <w:r>
        <w:rPr>
          <w:rFonts w:eastAsiaTheme="minorEastAsia"/>
          <w:iCs/>
          <w:lang w:val="en-IL"/>
        </w:rPr>
        <w:t>through time</w:t>
      </w:r>
      <w:r w:rsidRPr="00EC44DB">
        <w:rPr>
          <w:rFonts w:eastAsiaTheme="minorEastAsia"/>
          <w:iCs/>
          <w:lang w:val="en-IL"/>
        </w:rPr>
        <w:t>. Each year it is drawn down by consumption and by loss</w:t>
      </w:r>
      <w:r>
        <w:rPr>
          <w:rFonts w:eastAsiaTheme="minorEastAsia"/>
          <w:iCs/>
          <w:lang w:val="en-IL"/>
        </w:rPr>
        <w:t>, limiting the amount of surplus that can be accumulated</w:t>
      </w:r>
      <w:r w:rsidRPr="00EC44DB">
        <w:rPr>
          <w:rFonts w:eastAsiaTheme="minorEastAsia"/>
          <w:iCs/>
          <w:lang w:val="en-IL"/>
        </w:rPr>
        <w:t>. The year's balance is:</w:t>
      </w:r>
    </w:p>
    <w:p w14:paraId="57B9A3FE" w14:textId="77777777" w:rsidR="00254BEA" w:rsidRPr="00EC44DB" w:rsidRDefault="00254BEA" w:rsidP="00254BEA">
      <w:pPr>
        <w:spacing w:line="360" w:lineRule="auto"/>
        <w:rPr>
          <w:rFonts w:eastAsiaTheme="minorEastAsia"/>
          <w:iCs/>
          <w:lang w:val="en-IL"/>
        </w:rPr>
      </w:pPr>
      <m:oMathPara>
        <m:oMath>
          <m:r>
            <w:rPr>
              <w:rFonts w:ascii="Cambria Math" w:eastAsiaTheme="minorEastAsia" w:hAnsi="Cambria Math"/>
              <w:lang w:val="en-IL"/>
            </w:rPr>
            <m:t>Tota</m:t>
          </m:r>
          <m:sSub>
            <m:sSubPr>
              <m:ctrlPr>
                <w:rPr>
                  <w:rFonts w:ascii="Cambria Math" w:eastAsiaTheme="minorEastAsia" w:hAnsi="Cambria Math"/>
                  <w:i/>
                  <w:iCs/>
                  <w:lang w:val="en-IL"/>
                </w:rPr>
              </m:ctrlPr>
            </m:sSubPr>
            <m:e>
              <m:r>
                <w:rPr>
                  <w:rFonts w:ascii="Cambria Math" w:eastAsiaTheme="minorEastAsia" w:hAnsi="Cambria Math"/>
                  <w:lang w:val="en-IL"/>
                </w:rPr>
                <m:t>l</m:t>
              </m:r>
            </m:e>
            <m:sub>
              <m:r>
                <w:rPr>
                  <w:rFonts w:ascii="Cambria Math" w:eastAsiaTheme="minorEastAsia" w:hAnsi="Cambria Math"/>
                  <w:lang w:val="en-IL"/>
                </w:rPr>
                <m:t>Surplus</m:t>
              </m:r>
            </m:sub>
          </m:sSub>
          <m:r>
            <w:rPr>
              <w:rFonts w:ascii="Cambria Math" w:eastAsiaTheme="minorEastAsia" w:hAnsi="Cambria Math"/>
              <w:lang w:val="en-IL"/>
            </w:rPr>
            <m:t>= 0.7 × Surplu</m:t>
          </m:r>
          <m:sSub>
            <m:sSubPr>
              <m:ctrlPr>
                <w:rPr>
                  <w:rFonts w:ascii="Cambria Math" w:eastAsiaTheme="minorEastAsia" w:hAnsi="Cambria Math"/>
                  <w:i/>
                  <w:iCs/>
                  <w:lang w:val="en-IL"/>
                </w:rPr>
              </m:ctrlPr>
            </m:sSubPr>
            <m:e>
              <m:r>
                <w:rPr>
                  <w:rFonts w:ascii="Cambria Math" w:eastAsiaTheme="minorEastAsia" w:hAnsi="Cambria Math"/>
                  <w:lang w:val="en-IL"/>
                </w:rPr>
                <m:t>s</m:t>
              </m:r>
            </m:e>
            <m:sub>
              <m:r>
                <w:rPr>
                  <w:rFonts w:ascii="Cambria Math" w:eastAsiaTheme="minorEastAsia" w:hAnsi="Cambria Math"/>
                  <w:lang w:val="en-IL"/>
                </w:rPr>
                <m:t>prev</m:t>
              </m:r>
            </m:sub>
          </m:sSub>
          <m:r>
            <w:rPr>
              <w:rFonts w:ascii="Cambria Math" w:eastAsiaTheme="minorEastAsia" w:hAnsi="Cambria Math"/>
              <w:lang w:val="en-IL"/>
            </w:rPr>
            <m:t xml:space="preserve"> + </m:t>
          </m:r>
          <m:r>
            <w:rPr>
              <w:rFonts w:ascii="Cambria Math" w:hAnsi="Cambria Math"/>
              <w:lang w:val="en-IL"/>
            </w:rPr>
            <m:t>Yearl</m:t>
          </m:r>
          <m:sSub>
            <m:sSubPr>
              <m:ctrlPr>
                <w:rPr>
                  <w:rFonts w:ascii="Cambria Math" w:hAnsi="Cambria Math"/>
                  <w:i/>
                  <w:iCs/>
                  <w:lang w:val="en-IL"/>
                </w:rPr>
              </m:ctrlPr>
            </m:sSubPr>
            <m:e>
              <m:r>
                <w:rPr>
                  <w:rFonts w:ascii="Cambria Math" w:hAnsi="Cambria Math"/>
                  <w:lang w:val="en-IL"/>
                </w:rPr>
                <m:t>y</m:t>
              </m:r>
            </m:e>
            <m:sub>
              <m:r>
                <w:rPr>
                  <w:rFonts w:ascii="Cambria Math" w:hAnsi="Cambria Math"/>
                  <w:lang w:val="en-IL"/>
                </w:rPr>
                <m:t>Surplus</m:t>
              </m:r>
            </m:sub>
          </m:sSub>
          <m:r>
            <w:rPr>
              <w:rFonts w:ascii="Cambria Math" w:eastAsiaTheme="minorEastAsia" w:hAnsi="Cambria Math"/>
              <w:lang w:val="en-IL"/>
            </w:rPr>
            <m:t>- Consumption</m:t>
          </m:r>
        </m:oMath>
      </m:oMathPara>
    </w:p>
    <w:p w14:paraId="07D523F7" w14:textId="77777777" w:rsidR="00254BEA" w:rsidRPr="007406E1" w:rsidRDefault="00254BEA" w:rsidP="00254BEA">
      <w:pPr>
        <w:spacing w:line="360" w:lineRule="auto"/>
        <w:rPr>
          <w:rFonts w:eastAsiaTheme="minorEastAsia"/>
          <w:iCs/>
          <w:lang w:val="en-IL"/>
        </w:rPr>
      </w:pPr>
      <w:r w:rsidRPr="00EC44DB">
        <w:rPr>
          <w:rFonts w:eastAsiaTheme="minorEastAsia"/>
          <w:iCs/>
          <w:lang w:val="en-IL"/>
        </w:rPr>
        <w:t>where </w:t>
      </w:r>
      <w:r w:rsidRPr="00EC44DB">
        <w:rPr>
          <w:rFonts w:eastAsiaTheme="minorEastAsia"/>
          <w:i/>
          <w:iCs/>
          <w:lang w:val="en-IL"/>
        </w:rPr>
        <w:t>Surplus</w:t>
      </w:r>
      <w:r w:rsidRPr="00EC44DB">
        <w:rPr>
          <w:rFonts w:eastAsiaTheme="minorEastAsia"/>
          <w:i/>
          <w:iCs/>
          <w:vertAlign w:val="subscript"/>
          <w:lang w:val="en-IL"/>
        </w:rPr>
        <w:t>prev</w:t>
      </w:r>
      <w:r w:rsidRPr="00EC44DB">
        <w:rPr>
          <w:rFonts w:eastAsiaTheme="minorEastAsia"/>
          <w:iCs/>
          <w:lang w:val="en-IL"/>
        </w:rPr>
        <w:t xml:space="preserve"> is the previous year's holding, carried over at 0.7 </w:t>
      </w:r>
      <w:r w:rsidRPr="00F06EDA">
        <w:rPr>
          <w:rFonts w:eastAsiaTheme="minorEastAsia"/>
          <w:iCs/>
        </w:rPr>
        <w:t>reflecting an assumed 30% annual loss</w:t>
      </w:r>
      <w:r>
        <w:rPr>
          <w:rFonts w:eastAsiaTheme="minorEastAsia"/>
          <w:iCs/>
        </w:rPr>
        <w:t xml:space="preserve"> </w:t>
      </w:r>
      <w:r w:rsidRPr="00EC44DB">
        <w:rPr>
          <w:rFonts w:eastAsiaTheme="minorEastAsia"/>
          <w:iCs/>
          <w:lang w:val="en-IL"/>
        </w:rPr>
        <w:t>to spoilage and sharing; </w:t>
      </w:r>
      <w:r w:rsidRPr="00EC44DB">
        <w:rPr>
          <w:rFonts w:eastAsiaTheme="minorEastAsia"/>
          <w:i/>
          <w:iCs/>
          <w:lang w:val="en-IL"/>
        </w:rPr>
        <w:t>Yearly</w:t>
      </w:r>
      <w:r w:rsidRPr="00EC44DB">
        <w:rPr>
          <w:rFonts w:eastAsiaTheme="minorEastAsia"/>
          <w:i/>
          <w:iCs/>
          <w:vertAlign w:val="subscript"/>
          <w:lang w:val="en-IL"/>
        </w:rPr>
        <w:t>Surplus</w:t>
      </w:r>
      <w:r>
        <w:rPr>
          <w:rFonts w:eastAsiaTheme="minorEastAsia"/>
          <w:i/>
          <w:iCs/>
          <w:lang w:val="en-IL"/>
        </w:rPr>
        <w:t xml:space="preserve"> </w:t>
      </w:r>
      <w:r w:rsidRPr="00EC44DB">
        <w:rPr>
          <w:rFonts w:eastAsiaTheme="minorEastAsia"/>
          <w:iCs/>
          <w:lang w:val="en-IL"/>
        </w:rPr>
        <w:t>is the year's surplus from the herd (above); and </w:t>
      </w:r>
      <w:r w:rsidRPr="00EC44DB">
        <w:rPr>
          <w:rFonts w:eastAsiaTheme="minorEastAsia"/>
          <w:i/>
          <w:iCs/>
          <w:lang w:val="en-IL"/>
        </w:rPr>
        <w:t>Consumption</w:t>
      </w:r>
      <w:r w:rsidRPr="00EC44DB">
        <w:rPr>
          <w:rFonts w:eastAsiaTheme="minorEastAsia"/>
          <w:iCs/>
          <w:lang w:val="en-IL"/>
        </w:rPr>
        <w:t xml:space="preserve"> is the household's </w:t>
      </w:r>
      <w:r>
        <w:rPr>
          <w:rFonts w:eastAsiaTheme="minorEastAsia"/>
          <w:iCs/>
          <w:lang w:val="en-IL"/>
        </w:rPr>
        <w:t>yearly use of this abstract resource</w:t>
      </w:r>
      <w:r w:rsidRPr="00EC44DB">
        <w:rPr>
          <w:rFonts w:eastAsiaTheme="minorEastAsia"/>
          <w:iCs/>
          <w:lang w:val="en-IL"/>
        </w:rPr>
        <w:t>, set at 1.2 units per person (</w:t>
      </w:r>
      <w:r w:rsidRPr="00EC44DB">
        <w:rPr>
          <w:rFonts w:eastAsiaTheme="minorEastAsia"/>
          <w:i/>
          <w:iCs/>
          <w:lang w:val="en-IL"/>
        </w:rPr>
        <w:t>Consumption</w:t>
      </w:r>
      <w:r w:rsidRPr="00EC44DB">
        <w:rPr>
          <w:rFonts w:eastAsiaTheme="minorEastAsia"/>
          <w:iCs/>
          <w:lang w:val="en-IL"/>
        </w:rPr>
        <w:t> = 1.2 × </w:t>
      </w:r>
      <w:r w:rsidRPr="00EC44DB">
        <w:rPr>
          <w:rFonts w:eastAsiaTheme="minorEastAsia"/>
          <w:i/>
          <w:iCs/>
          <w:lang w:val="en-IL"/>
        </w:rPr>
        <w:t>M</w:t>
      </w:r>
      <w:r w:rsidRPr="00EC44DB">
        <w:rPr>
          <w:rFonts w:eastAsiaTheme="minorEastAsia"/>
          <w:iCs/>
          <w:lang w:val="en-IL"/>
        </w:rPr>
        <w:t xml:space="preserve">). </w:t>
      </w:r>
      <w:r>
        <w:rPr>
          <w:rFonts w:eastAsiaTheme="minorEastAsia"/>
          <w:iCs/>
          <w:lang w:val="en-IL"/>
        </w:rPr>
        <w:t>In similar fashion to herd demographics, l</w:t>
      </w:r>
      <w:r w:rsidRPr="00EC44DB">
        <w:rPr>
          <w:rFonts w:eastAsiaTheme="minorEastAsia"/>
          <w:iCs/>
          <w:lang w:val="en-IL"/>
        </w:rPr>
        <w:t xml:space="preserve">arge holdings are </w:t>
      </w:r>
      <w:r>
        <w:rPr>
          <w:rFonts w:eastAsiaTheme="minorEastAsia"/>
          <w:iCs/>
          <w:lang w:val="en-IL"/>
        </w:rPr>
        <w:t>reduced</w:t>
      </w:r>
      <w:r w:rsidRPr="00EC44DB">
        <w:rPr>
          <w:rFonts w:eastAsiaTheme="minorEastAsia"/>
          <w:iCs/>
          <w:lang w:val="en-IL"/>
        </w:rPr>
        <w:t xml:space="preserve"> further: above 100 units a household loses an additional 5–25% a year, rising with the amount held</w:t>
      </w:r>
      <w:r>
        <w:rPr>
          <w:rFonts w:eastAsiaTheme="minorEastAsia"/>
          <w:iCs/>
          <w:lang w:val="en-IL"/>
        </w:rPr>
        <w:t>.</w:t>
      </w:r>
      <w:r w:rsidRPr="00EC44DB">
        <w:rPr>
          <w:rFonts w:eastAsiaTheme="minorEastAsia"/>
          <w:iCs/>
          <w:lang w:val="en-IL"/>
        </w:rPr>
        <w:t xml:space="preserve"> </w:t>
      </w:r>
      <w:r>
        <w:rPr>
          <w:rFonts w:eastAsiaTheme="minorEastAsia"/>
          <w:iCs/>
          <w:lang w:val="en-IL"/>
        </w:rPr>
        <w:t xml:space="preserve">This </w:t>
      </w:r>
      <w:r w:rsidRPr="00EC44DB">
        <w:rPr>
          <w:rFonts w:eastAsiaTheme="minorEastAsia"/>
          <w:iCs/>
          <w:lang w:val="en-IL"/>
        </w:rPr>
        <w:t>represent</w:t>
      </w:r>
      <w:r>
        <w:rPr>
          <w:rFonts w:eastAsiaTheme="minorEastAsia"/>
          <w:iCs/>
          <w:lang w:val="en-IL"/>
        </w:rPr>
        <w:t>s</w:t>
      </w:r>
      <w:r w:rsidRPr="00EC44DB">
        <w:rPr>
          <w:rFonts w:eastAsiaTheme="minorEastAsia"/>
          <w:iCs/>
          <w:lang w:val="en-IL"/>
        </w:rPr>
        <w:t xml:space="preserve"> the difficulty of storing and the social pressure to redistribute. A hard ceiling of 200 + 2.5 × </w:t>
      </w:r>
      <w:r w:rsidRPr="00EC44DB">
        <w:rPr>
          <w:rFonts w:eastAsiaTheme="minorEastAsia"/>
          <w:i/>
          <w:iCs/>
          <w:lang w:val="en-IL"/>
        </w:rPr>
        <w:t>M</w:t>
      </w:r>
      <w:r w:rsidRPr="00EC44DB">
        <w:rPr>
          <w:rFonts w:eastAsiaTheme="minorEastAsia"/>
          <w:iCs/>
          <w:lang w:val="en-IL"/>
        </w:rPr>
        <w:t xml:space="preserve"> caps the total. Together </w:t>
      </w:r>
      <w:r w:rsidRPr="00EC44DB">
        <w:rPr>
          <w:rFonts w:eastAsiaTheme="minorEastAsia"/>
          <w:iCs/>
          <w:lang w:val="en-IL"/>
        </w:rPr>
        <w:lastRenderedPageBreak/>
        <w:t xml:space="preserve">these keep surplus a bounded, responsive measure of prosperity, the quantity that governs </w:t>
      </w:r>
      <w:r>
        <w:rPr>
          <w:rFonts w:eastAsiaTheme="minorEastAsia"/>
          <w:iCs/>
          <w:lang w:val="en-IL"/>
        </w:rPr>
        <w:t xml:space="preserve">in part </w:t>
      </w:r>
      <w:r w:rsidRPr="00EC44DB">
        <w:rPr>
          <w:rFonts w:eastAsiaTheme="minorEastAsia"/>
          <w:iCs/>
          <w:lang w:val="en-IL"/>
        </w:rPr>
        <w:t>whether a household can invest in an enclosed compound (§5.3.3).</w:t>
      </w:r>
    </w:p>
    <w:p w14:paraId="16D1624C" w14:textId="77777777" w:rsidR="00254BEA" w:rsidRPr="00027A1F" w:rsidRDefault="00254BEA" w:rsidP="00254BEA">
      <w:pPr>
        <w:pStyle w:val="Heading3"/>
      </w:pPr>
      <w:bookmarkStart w:id="12" w:name="_Toc234839345"/>
      <w:r>
        <w:t>5</w:t>
      </w:r>
      <w:r w:rsidRPr="00027A1F">
        <w:t>.3.3 Prosperity-Based Enclosure Construction</w:t>
      </w:r>
      <w:bookmarkEnd w:id="12"/>
    </w:p>
    <w:p w14:paraId="79B4AD7C" w14:textId="77777777" w:rsidR="00254BEA" w:rsidRDefault="00254BEA" w:rsidP="00254BEA">
      <w:pPr>
        <w:spacing w:line="360" w:lineRule="auto"/>
        <w:rPr>
          <w:lang w:val="en-IL"/>
        </w:rPr>
      </w:pPr>
      <w:r w:rsidRPr="00464200">
        <w:rPr>
          <w:lang w:val="en-IL"/>
        </w:rPr>
        <w:t>As set out in §5.1, the enclosed compounds are read here not as fortresses or seats of authority but as communal infrastructure</w:t>
      </w:r>
      <w:r>
        <w:rPr>
          <w:lang w:val="en-IL"/>
        </w:rPr>
        <w:t>.</w:t>
      </w:r>
      <w:r w:rsidRPr="00464200">
        <w:rPr>
          <w:lang w:val="en-IL"/>
        </w:rPr>
        <w:t xml:space="preserve"> Building one is therefore treated as a </w:t>
      </w:r>
      <w:r>
        <w:t>n</w:t>
      </w:r>
      <w:r w:rsidRPr="00464200">
        <w:t>on-essential</w:t>
      </w:r>
      <w:r w:rsidRPr="00464200">
        <w:rPr>
          <w:lang w:val="en-IL"/>
        </w:rPr>
        <w:t xml:space="preserve"> investment</w:t>
      </w:r>
      <w:r>
        <w:rPr>
          <w:lang w:val="en-IL"/>
        </w:rPr>
        <w:t xml:space="preserve"> </w:t>
      </w:r>
      <w:r w:rsidRPr="00274482">
        <w:t>(</w:t>
      </w:r>
      <w:r>
        <w:t>Figure 5.5</w:t>
      </w:r>
      <w:r w:rsidRPr="00274482">
        <w:t>)</w:t>
      </w:r>
      <w:r w:rsidRPr="00464200">
        <w:rPr>
          <w:lang w:val="en-IL"/>
        </w:rPr>
        <w:t xml:space="preserve">. A household commits part of its surplus to a permanent structure only when it is both prosperous enough to spare the resources and </w:t>
      </w:r>
      <w:r>
        <w:rPr>
          <w:lang w:val="en-IL"/>
        </w:rPr>
        <w:t>is in an area attractive</w:t>
      </w:r>
      <w:r w:rsidRPr="00464200">
        <w:rPr>
          <w:lang w:val="en-IL"/>
        </w:rPr>
        <w:t xml:space="preserve"> enough to be worth anchoring to</w:t>
      </w:r>
      <w:r>
        <w:rPr>
          <w:lang w:val="en-IL"/>
        </w:rPr>
        <w:t>.</w:t>
      </w:r>
      <w:r w:rsidRPr="00464200">
        <w:rPr>
          <w:lang w:val="en-IL"/>
        </w:rPr>
        <w:t xml:space="preserve"> </w:t>
      </w:r>
      <w:r>
        <w:rPr>
          <w:lang w:val="en-IL"/>
        </w:rPr>
        <w:t>A</w:t>
      </w:r>
      <w:r w:rsidRPr="00464200">
        <w:rPr>
          <w:lang w:val="en-IL"/>
        </w:rPr>
        <w:t xml:space="preserve"> household that is wealthy but </w:t>
      </w:r>
      <w:r>
        <w:rPr>
          <w:lang w:val="en-IL"/>
        </w:rPr>
        <w:t>positioned</w:t>
      </w:r>
      <w:r w:rsidRPr="00464200">
        <w:rPr>
          <w:lang w:val="en-IL"/>
        </w:rPr>
        <w:t xml:space="preserve"> </w:t>
      </w:r>
      <w:r w:rsidRPr="00154D6C">
        <w:t>in a poor environment</w:t>
      </w:r>
      <w:r w:rsidRPr="00464200">
        <w:rPr>
          <w:lang w:val="en-IL"/>
        </w:rPr>
        <w:t xml:space="preserve">, or </w:t>
      </w:r>
      <w:r>
        <w:rPr>
          <w:lang w:val="en-IL"/>
        </w:rPr>
        <w:t>one</w:t>
      </w:r>
      <w:r w:rsidRPr="00464200">
        <w:rPr>
          <w:lang w:val="en-IL"/>
        </w:rPr>
        <w:t xml:space="preserve"> placed </w:t>
      </w:r>
      <w:r>
        <w:rPr>
          <w:lang w:val="en-IL"/>
        </w:rPr>
        <w:t xml:space="preserve">in good environment </w:t>
      </w:r>
      <w:r w:rsidRPr="00464200">
        <w:rPr>
          <w:lang w:val="en-IL"/>
        </w:rPr>
        <w:t>but poor</w:t>
      </w:r>
      <w:r>
        <w:rPr>
          <w:lang w:val="en-IL"/>
        </w:rPr>
        <w:t xml:space="preserve"> in surplus and manpower</w:t>
      </w:r>
      <w:r w:rsidRPr="00464200">
        <w:rPr>
          <w:lang w:val="en-IL"/>
        </w:rPr>
        <w:t xml:space="preserve">, </w:t>
      </w:r>
      <w:r>
        <w:rPr>
          <w:lang w:val="en-IL"/>
        </w:rPr>
        <w:t>will</w:t>
      </w:r>
      <w:r w:rsidRPr="00464200">
        <w:rPr>
          <w:lang w:val="en-IL"/>
        </w:rPr>
        <w:t xml:space="preserve"> not </w:t>
      </w:r>
      <w:r>
        <w:rPr>
          <w:lang w:val="en-IL"/>
        </w:rPr>
        <w:t>consider this option</w:t>
      </w:r>
      <w:r w:rsidRPr="00464200">
        <w:rPr>
          <w:lang w:val="en-IL"/>
        </w:rPr>
        <w:t>. The model joins these two conditions in a single prosperity index</w:t>
      </w:r>
      <w:r>
        <w:rPr>
          <w:lang w:val="en-IL"/>
        </w:rPr>
        <w:t>:</w:t>
      </w:r>
    </w:p>
    <w:p w14:paraId="237070E0" w14:textId="77777777" w:rsidR="00254BEA" w:rsidRPr="00464200" w:rsidRDefault="00254BEA" w:rsidP="00254BEA">
      <w:pPr>
        <w:spacing w:line="360" w:lineRule="auto"/>
        <w:rPr>
          <w:lang w:val="en-IL"/>
        </w:rPr>
      </w:pPr>
      <m:oMathPara>
        <m:oMath>
          <m:r>
            <w:rPr>
              <w:rFonts w:ascii="Cambria Math" w:hAnsi="Cambria Math"/>
              <w:lang w:val="en-IL"/>
            </w:rPr>
            <m:t>Prosperit</m:t>
          </m:r>
          <m:sSub>
            <m:sSubPr>
              <m:ctrlPr>
                <w:rPr>
                  <w:rFonts w:ascii="Cambria Math" w:hAnsi="Cambria Math"/>
                  <w:i/>
                  <w:lang w:val="en-IL"/>
                </w:rPr>
              </m:ctrlPr>
            </m:sSubPr>
            <m:e>
              <m:r>
                <w:rPr>
                  <w:rFonts w:ascii="Cambria Math" w:hAnsi="Cambria Math"/>
                  <w:lang w:val="en-IL"/>
                </w:rPr>
                <m:t>y</m:t>
              </m:r>
            </m:e>
            <m:sub>
              <m:r>
                <w:rPr>
                  <w:rFonts w:ascii="Cambria Math" w:hAnsi="Cambria Math"/>
                  <w:lang w:val="en-IL"/>
                </w:rPr>
                <m:t>inedx</m:t>
              </m:r>
            </m:sub>
          </m:sSub>
          <m:r>
            <w:rPr>
              <w:rFonts w:ascii="Cambria Math" w:hAnsi="Cambria Math"/>
              <w:lang w:val="en-IL"/>
            </w:rPr>
            <m:t>=</m:t>
          </m:r>
          <m:f>
            <m:fPr>
              <m:ctrlPr>
                <w:rPr>
                  <w:rFonts w:ascii="Cambria Math" w:hAnsi="Cambria Math"/>
                  <w:i/>
                  <w:lang w:val="en-IL"/>
                </w:rPr>
              </m:ctrlPr>
            </m:fPr>
            <m:num>
              <m:r>
                <w:rPr>
                  <w:rFonts w:ascii="Cambria Math" w:hAnsi="Cambria Math"/>
                  <w:lang w:val="en-IL"/>
                </w:rPr>
                <m:t>Surplus</m:t>
              </m:r>
            </m:num>
            <m:den>
              <m:r>
                <w:rPr>
                  <w:rFonts w:ascii="Cambria Math" w:hAnsi="Cambria Math"/>
                  <w:lang w:val="en-IL"/>
                </w:rPr>
                <m:t>2×manpower</m:t>
              </m:r>
            </m:den>
          </m:f>
          <m:r>
            <w:rPr>
              <w:rFonts w:ascii="Cambria Math" w:hAnsi="Cambria Math"/>
              <w:lang w:val="en-IL"/>
            </w:rPr>
            <m:t xml:space="preserve"> ×Q</m:t>
          </m:r>
        </m:oMath>
      </m:oMathPara>
    </w:p>
    <w:p w14:paraId="2BA6FA8C" w14:textId="77777777" w:rsidR="00254BEA" w:rsidRPr="00464200" w:rsidRDefault="00254BEA" w:rsidP="00254BEA">
      <w:pPr>
        <w:spacing w:line="360" w:lineRule="auto"/>
        <w:rPr>
          <w:lang w:val="en-IL"/>
        </w:rPr>
      </w:pPr>
      <w:r w:rsidRPr="00464200">
        <w:rPr>
          <w:lang w:val="en-IL"/>
        </w:rPr>
        <w:t>where </w:t>
      </w:r>
      <w:r w:rsidRPr="00464200">
        <w:rPr>
          <w:i/>
          <w:iCs/>
          <w:lang w:val="en-IL"/>
        </w:rPr>
        <w:t>Surplus</w:t>
      </w:r>
      <w:r w:rsidRPr="00464200">
        <w:rPr>
          <w:lang w:val="en-IL"/>
        </w:rPr>
        <w:t> is the household's stored wealth (§5.3.2);  and </w:t>
      </w:r>
      <w:r w:rsidRPr="00464200">
        <w:rPr>
          <w:i/>
          <w:iCs/>
          <w:lang w:val="en-IL"/>
        </w:rPr>
        <w:t>Q</w:t>
      </w:r>
      <w:r w:rsidRPr="00464200">
        <w:rPr>
          <w:lang w:val="en-IL"/>
        </w:rPr>
        <w:t xml:space="preserve"> is the mean suitability of cells within </w:t>
      </w:r>
      <w:r>
        <w:rPr>
          <w:lang w:val="en-IL"/>
        </w:rPr>
        <w:t>~</w:t>
      </w:r>
      <w:r w:rsidRPr="00464200">
        <w:rPr>
          <w:lang w:val="en-IL"/>
        </w:rPr>
        <w:t xml:space="preserve">5 km of the </w:t>
      </w:r>
      <w:r>
        <w:rPr>
          <w:lang w:val="en-IL"/>
        </w:rPr>
        <w:t>en</w:t>
      </w:r>
      <w:r w:rsidRPr="00464200">
        <w:rPr>
          <w:lang w:val="en-IL"/>
        </w:rPr>
        <w:t>camp</w:t>
      </w:r>
      <w:r>
        <w:rPr>
          <w:lang w:val="en-IL"/>
        </w:rPr>
        <w:t>ment</w:t>
      </w:r>
      <w:r w:rsidRPr="00464200">
        <w:rPr>
          <w:lang w:val="en-IL"/>
        </w:rPr>
        <w:t xml:space="preserve"> </w:t>
      </w:r>
      <w:r w:rsidRPr="000F017E">
        <w:t>rescaled to run from 0 (least suitable environment) to 1 (most suitable).</w:t>
      </w:r>
      <w:r>
        <w:t xml:space="preserve"> </w:t>
      </w:r>
      <w:r>
        <w:rPr>
          <w:lang w:val="en-IL"/>
        </w:rPr>
        <w:t xml:space="preserve">This equation design necessitates both surplus to manpower and environmental quality to </w:t>
      </w:r>
      <w:r w:rsidRPr="00464200">
        <w:rPr>
          <w:lang w:val="en-IL"/>
        </w:rPr>
        <w:t xml:space="preserve">be </w:t>
      </w:r>
      <w:r>
        <w:rPr>
          <w:lang w:val="en-IL"/>
        </w:rPr>
        <w:t>sufficient.</w:t>
      </w:r>
      <w:r w:rsidRPr="00464200">
        <w:rPr>
          <w:lang w:val="en-IL"/>
        </w:rPr>
        <w:t xml:space="preserve"> A household counts as prosperous, and becomes eligible to build or reuse a compound, once this index exceeds 0.6, and only from the fifth year onward</w:t>
      </w:r>
      <w:r>
        <w:rPr>
          <w:lang w:val="en-IL"/>
        </w:rPr>
        <w:t xml:space="preserve"> (</w:t>
      </w:r>
      <w:r w:rsidRPr="00464200">
        <w:rPr>
          <w:lang w:val="en-IL"/>
        </w:rPr>
        <w:t xml:space="preserve">when it has had time to accumulate surplus and </w:t>
      </w:r>
      <w:r>
        <w:rPr>
          <w:lang w:val="en-IL"/>
        </w:rPr>
        <w:t>attach</w:t>
      </w:r>
      <w:r w:rsidRPr="00464200">
        <w:rPr>
          <w:lang w:val="en-IL"/>
        </w:rPr>
        <w:t xml:space="preserve"> to a </w:t>
      </w:r>
      <w:r>
        <w:rPr>
          <w:lang w:val="en-IL"/>
        </w:rPr>
        <w:t xml:space="preserve">broad </w:t>
      </w:r>
      <w:r w:rsidRPr="00464200">
        <w:rPr>
          <w:lang w:val="en-IL"/>
        </w:rPr>
        <w:t>territory</w:t>
      </w:r>
      <w:r>
        <w:rPr>
          <w:lang w:val="en-IL"/>
        </w:rPr>
        <w:t>).</w:t>
      </w:r>
      <w:r w:rsidRPr="00464200">
        <w:rPr>
          <w:lang w:val="en-IL"/>
        </w:rPr>
        <w:t xml:space="preserve"> These thresholds, like the others in this section, were set during model construction as plausible working values; they stand in for a process the archaeological record cannot specify and are deliberately kept simple.</w:t>
      </w:r>
    </w:p>
    <w:p w14:paraId="3FE6970A" w14:textId="77777777" w:rsidR="00254BEA" w:rsidRPr="000F017E" w:rsidRDefault="00254BEA" w:rsidP="00254BEA">
      <w:pPr>
        <w:spacing w:line="360" w:lineRule="auto"/>
        <w:rPr>
          <w:lang w:val="en-IL"/>
        </w:rPr>
      </w:pPr>
      <w:r w:rsidRPr="000F017E">
        <w:rPr>
          <w:lang w:val="en-IL"/>
        </w:rPr>
        <w:t>Prosperous households start by looking for an existing, unoccupied enclosed compound to reuse, since this costs far less than raising a new one. The search begins with the household's own enclosed compounds; those built within the previous 35 years. It then extends to enclosed compounds raised by other households within the last 25 years, which are regarded as a lesser choice. Reuse is possible only when the household holds at least 15 manpower and a surplus of 10, enough not to drive it into crisis (§5.3.4). In practice it draws just 10 manpower and 6 surplus units. A household that finds nothing to reuse turns instead to constructing one. Th</w:t>
      </w:r>
      <w:r>
        <w:rPr>
          <w:lang w:val="en-IL"/>
        </w:rPr>
        <w:t>ough</w:t>
      </w:r>
      <w:r w:rsidRPr="000F017E">
        <w:rPr>
          <w:lang w:val="en-IL"/>
        </w:rPr>
        <w:t xml:space="preserve"> construction demands markedly </w:t>
      </w:r>
      <w:r w:rsidRPr="000F017E">
        <w:rPr>
          <w:lang w:val="en-IL"/>
        </w:rPr>
        <w:lastRenderedPageBreak/>
        <w:t>greater resources. New construction requires a prosperity index above 0.8, at least 30 manpower, and a surplus of 30, three times the reuse floor. It is the larger commitment, costing 20 manpower and 25 surplus units. For a new build, the household selects a location above the average environmental quality of its territory. After reuse or construction, the labourers return to the herds, and the household recovers 90% of the manpower it committed.</w:t>
      </w:r>
    </w:p>
    <w:p w14:paraId="0C3D2DBB" w14:textId="77777777" w:rsidR="00254BEA" w:rsidRPr="00F7595D" w:rsidRDefault="00254BEA" w:rsidP="00254BEA">
      <w:pPr>
        <w:spacing w:line="360" w:lineRule="auto"/>
        <w:rPr>
          <w:lang w:val="en-IL"/>
        </w:rPr>
      </w:pPr>
      <w:r w:rsidRPr="004B5AE2">
        <w:t>The effect of reusing or constructing an enclosed compound</w:t>
      </w:r>
      <w:r>
        <w:t xml:space="preserve"> is manifested </w:t>
      </w:r>
      <w:r w:rsidRPr="000F017E">
        <w:t>in the shared record of past occupation. That record feeds back into the suitability of the landscape and pulls households toward places already used</w:t>
      </w:r>
      <w:r>
        <w:t>, as set out in</w:t>
      </w:r>
      <w:r w:rsidRPr="000F017E">
        <w:t xml:space="preserve"> §5.3.1</w:t>
      </w:r>
      <w:r>
        <w:t xml:space="preserve"> for built infrastructure</w:t>
      </w:r>
      <w:r w:rsidRPr="000F017E">
        <w:t xml:space="preserve">. An enclosed compound carries far more weight in this record than an ordinary camp. </w:t>
      </w:r>
      <w:r>
        <w:t>Consequently, it</w:t>
      </w:r>
      <w:r w:rsidRPr="000F017E">
        <w:t xml:space="preserve"> becomes a lasting focus of activity in the surrounding area. The household that </w:t>
      </w:r>
      <w:r>
        <w:t>built</w:t>
      </w:r>
      <w:r w:rsidRPr="000F017E">
        <w:t xml:space="preserve"> it is drawn back to reuse it in later years, and </w:t>
      </w:r>
      <w:r>
        <w:t>others</w:t>
      </w:r>
      <w:r w:rsidRPr="000F017E">
        <w:t xml:space="preserve"> </w:t>
      </w:r>
      <w:r>
        <w:t>may use</w:t>
      </w:r>
      <w:r w:rsidRPr="000F017E">
        <w:t xml:space="preserve"> to it as well, though</w:t>
      </w:r>
      <w:r>
        <w:t xml:space="preserve"> this is</w:t>
      </w:r>
      <w:r w:rsidRPr="000F017E">
        <w:t xml:space="preserve"> less </w:t>
      </w:r>
      <w:r>
        <w:t>probable</w:t>
      </w:r>
      <w:r w:rsidRPr="000F017E">
        <w:t xml:space="preserve">. </w:t>
      </w:r>
      <w:r>
        <w:t>This mechanism leads a</w:t>
      </w:r>
      <w:r w:rsidRPr="000F017E">
        <w:t xml:space="preserve">ctivity </w:t>
      </w:r>
      <w:r>
        <w:t xml:space="preserve">to </w:t>
      </w:r>
      <w:r w:rsidRPr="000F017E">
        <w:t xml:space="preserve">gather around standing </w:t>
      </w:r>
      <w:r>
        <w:t xml:space="preserve">enclosed </w:t>
      </w:r>
      <w:r w:rsidRPr="000F017E">
        <w:t xml:space="preserve">compounds, </w:t>
      </w:r>
      <w:r>
        <w:t>further affecting</w:t>
      </w:r>
      <w:r w:rsidRPr="000F017E">
        <w:t xml:space="preserve"> the palimpsest </w:t>
      </w:r>
      <w:r>
        <w:t xml:space="preserve">pattern </w:t>
      </w:r>
      <w:r w:rsidRPr="000F017E">
        <w:t xml:space="preserve">(§5.2.4). </w:t>
      </w:r>
    </w:p>
    <w:p w14:paraId="22102345" w14:textId="77777777" w:rsidR="00254BEA" w:rsidRPr="00027A1F" w:rsidRDefault="00254BEA" w:rsidP="00254BEA">
      <w:pPr>
        <w:pStyle w:val="Heading3"/>
      </w:pPr>
      <w:bookmarkStart w:id="13" w:name="_Toc234839346"/>
      <w:r>
        <w:t>5</w:t>
      </w:r>
      <w:r w:rsidRPr="00027A1F">
        <w:t>.3.</w:t>
      </w:r>
      <w:r>
        <w:t>4</w:t>
      </w:r>
      <w:r w:rsidRPr="00027A1F">
        <w:t xml:space="preserve"> Crisis Response and Survival Strategies</w:t>
      </w:r>
      <w:bookmarkEnd w:id="13"/>
    </w:p>
    <w:p w14:paraId="6025DAB7" w14:textId="77777777" w:rsidR="00254BEA" w:rsidRDefault="00254BEA" w:rsidP="00254BEA">
      <w:pPr>
        <w:spacing w:line="360" w:lineRule="auto"/>
      </w:pPr>
      <w:r w:rsidRPr="0024100E">
        <w:t xml:space="preserve">When a household's resources run low, it enters a crisis. The surplus it has built up in better years, its accumulated capital from herding, farming, and trade (§5.3.2), serves as the reserve it now draws on. Some years empty that reserve faster than the </w:t>
      </w:r>
      <w:r>
        <w:t>agents</w:t>
      </w:r>
      <w:r w:rsidRPr="0024100E">
        <w:t xml:space="preserve"> can refill it</w:t>
      </w:r>
      <w:r>
        <w:t>.</w:t>
      </w:r>
      <w:r w:rsidRPr="0024100E">
        <w:t xml:space="preserve"> </w:t>
      </w:r>
      <w:r>
        <w:t>W</w:t>
      </w:r>
      <w:r w:rsidRPr="0024100E">
        <w:t xml:space="preserve">hen rainfall is poor the pasture contracts and the herd stop growing (§5.3.2), so little new surplus is produced, while consumption and storage losses continue to </w:t>
      </w:r>
      <w:r>
        <w:t>exhaust</w:t>
      </w:r>
      <w:r w:rsidRPr="0024100E">
        <w:t xml:space="preserve"> the reserve. A run of such years pushes the household into a survival crisis. The model triggers the crisis when surplus falls below 10 units, an </w:t>
      </w:r>
      <w:r>
        <w:t>tentative</w:t>
      </w:r>
      <w:r w:rsidRPr="0024100E">
        <w:t xml:space="preserve"> floor beneath which a household can no longer sustain itself within the model's simplified system. To rebuild the reserve the household turns to its herd, selling animals to bring it back above the floor.</w:t>
      </w:r>
    </w:p>
    <w:p w14:paraId="274497B7" w14:textId="77777777" w:rsidR="00254BEA" w:rsidRDefault="00254BEA" w:rsidP="00254BEA">
      <w:pPr>
        <w:spacing w:line="360" w:lineRule="auto"/>
      </w:pPr>
      <w:r w:rsidRPr="00467CB0">
        <w:t xml:space="preserve">The herd is the household's only liquid asset in the model; thus, it can be converted into surplus and back at a fixed rate of 0.3 units per animal. During crisis, the household can choose to sell livestock to close the gap between its surplus and the 10-unit threshold. This 0.3 return sits below the 0.35 a household realises from orderly culling in a normal year (§5.3.2), reflecting a sale under pressure. This selling is limited by a minimum </w:t>
      </w:r>
      <w:r w:rsidRPr="00467CB0">
        <w:lastRenderedPageBreak/>
        <w:t>reserve of 18 animals per person, so a household does not fall below its subsistence needs (§5.3.2). The reverse conversion may occur in easier times. A household holding more than 80 surplus units with a herd still relatively small (below 600 livestock) can convert part of its capital to livestock, spending up to 20% of its surplus (at most 40 units). While this is not a crisis response, it is its mirror image: a secure household rebuilding productive capacity rather than </w:t>
      </w:r>
      <w:r>
        <w:t>consuming</w:t>
      </w:r>
      <w:r w:rsidRPr="00467CB0">
        <w:t xml:space="preserve"> </w:t>
      </w:r>
      <w:r>
        <w:t>all the</w:t>
      </w:r>
      <w:r w:rsidRPr="00467CB0">
        <w:t xml:space="preserve"> herd down to survive.</w:t>
      </w:r>
    </w:p>
    <w:p w14:paraId="0D7D1D47" w14:textId="77777777" w:rsidR="00254BEA" w:rsidRPr="00027A1F" w:rsidRDefault="00254BEA" w:rsidP="00254BEA">
      <w:pPr>
        <w:spacing w:line="360" w:lineRule="auto"/>
        <w:rPr>
          <w:rtl/>
        </w:rPr>
      </w:pPr>
      <w:r w:rsidRPr="0084001C">
        <w:t>When a household cannot meet the survival threshold, it fails. The survival threshold requires a household to have a surplus of zero or more, a herd of at least 15 animals, and manpower above zero. If any of these criteria is not met, the household is no longer functional and is removed from the simulation. Whatever manpower, surplus, and livestock it holds pass to a new replacement household, formed at the end of the year. This new household starts with a fresh herd of about 900 goats on top of the inherited remainder, representing in a very simplified way the remnants of an expired household seeding a new one. Replacement is one-for-one, so the number of households stays constant across the run, in keeping with the model's constant-population assumption (§5.1). This turnover may be uneven throughout the simulation, and can cluster after runs of poor years that push several households into crisis at once. The households that endure, meanwhile, rebuild through ordinary herd growth, which is fastest when a herd is small (§5.3.2), so the surviving population recovers as conditions ease.</w:t>
      </w:r>
    </w:p>
    <w:p w14:paraId="13D8DF73" w14:textId="77777777" w:rsidR="00254BEA" w:rsidRPr="00027A1F" w:rsidRDefault="00254BEA" w:rsidP="00254BEA">
      <w:pPr>
        <w:pStyle w:val="Heading2"/>
      </w:pPr>
      <w:bookmarkStart w:id="14" w:name="_Toc234839347"/>
      <w:r>
        <w:t>5</w:t>
      </w:r>
      <w:r w:rsidRPr="00027A1F">
        <w:t>.</w:t>
      </w:r>
      <w:r>
        <w:t>4</w:t>
      </w:r>
      <w:r w:rsidRPr="00027A1F">
        <w:t xml:space="preserve"> </w:t>
      </w:r>
      <w:r w:rsidRPr="002F3EA6">
        <w:t>The Simulation Run</w:t>
      </w:r>
      <w:bookmarkEnd w:id="14"/>
    </w:p>
    <w:p w14:paraId="0200EA2A" w14:textId="77777777" w:rsidR="00254BEA" w:rsidRPr="002F3EA6" w:rsidRDefault="00254BEA" w:rsidP="00254BEA">
      <w:pPr>
        <w:spacing w:line="360" w:lineRule="auto"/>
        <w:rPr>
          <w:lang w:val="en-IL"/>
        </w:rPr>
      </w:pPr>
      <w:r w:rsidRPr="002F3EA6">
        <w:rPr>
          <w:lang w:val="en-IL"/>
        </w:rPr>
        <w:t xml:space="preserve">The previous two sections set out the model's components (§5.2) and the decisions </w:t>
      </w:r>
      <w:r>
        <w:rPr>
          <w:lang w:val="en-IL"/>
        </w:rPr>
        <w:t xml:space="preserve">and processes </w:t>
      </w:r>
      <w:r w:rsidRPr="002F3EA6">
        <w:rPr>
          <w:lang w:val="en-IL"/>
        </w:rPr>
        <w:t xml:space="preserve">that </w:t>
      </w:r>
      <w:r>
        <w:rPr>
          <w:lang w:val="en-IL"/>
        </w:rPr>
        <w:t xml:space="preserve">advance it </w:t>
      </w:r>
      <w:r w:rsidRPr="002F3EA6">
        <w:rPr>
          <w:lang w:val="en-IL"/>
        </w:rPr>
        <w:t xml:space="preserve">(§5.3); </w:t>
      </w:r>
      <w:r>
        <w:rPr>
          <w:lang w:val="en-IL"/>
        </w:rPr>
        <w:t xml:space="preserve">here I describe </w:t>
      </w:r>
      <w:r w:rsidRPr="002F3EA6">
        <w:rPr>
          <w:lang w:val="en-IL"/>
        </w:rPr>
        <w:t xml:space="preserve">how they run together. A simulation </w:t>
      </w:r>
      <w:r>
        <w:rPr>
          <w:lang w:val="en-IL"/>
        </w:rPr>
        <w:t xml:space="preserve">run </w:t>
      </w:r>
      <w:r w:rsidRPr="002F3EA6">
        <w:rPr>
          <w:lang w:val="en-IL"/>
        </w:rPr>
        <w:t xml:space="preserve">begins </w:t>
      </w:r>
      <w:r>
        <w:rPr>
          <w:lang w:val="en-IL"/>
        </w:rPr>
        <w:t xml:space="preserve">by setting the </w:t>
      </w:r>
      <w:r w:rsidRPr="002F3EA6">
        <w:rPr>
          <w:lang w:val="en-IL"/>
        </w:rPr>
        <w:t>initial conditions (§5.2.4)</w:t>
      </w:r>
      <w:r>
        <w:rPr>
          <w:lang w:val="en-IL"/>
        </w:rPr>
        <w:t>,</w:t>
      </w:r>
      <w:r w:rsidRPr="002F3EA6">
        <w:rPr>
          <w:lang w:val="en-IL"/>
        </w:rPr>
        <w:t xml:space="preserve"> advanc</w:t>
      </w:r>
      <w:r>
        <w:rPr>
          <w:lang w:val="en-IL"/>
        </w:rPr>
        <w:t>ing</w:t>
      </w:r>
      <w:r w:rsidRPr="002F3EA6">
        <w:rPr>
          <w:lang w:val="en-IL"/>
        </w:rPr>
        <w:t xml:space="preserve"> </w:t>
      </w:r>
      <w:r>
        <w:rPr>
          <w:lang w:val="en-IL"/>
        </w:rPr>
        <w:t>a</w:t>
      </w:r>
      <w:r w:rsidRPr="002F3EA6">
        <w:rPr>
          <w:lang w:val="en-IL"/>
        </w:rPr>
        <w:t xml:space="preserve"> year at a time</w:t>
      </w:r>
      <w:r w:rsidRPr="00BF6B3F">
        <w:t>,</w:t>
      </w:r>
      <w:r w:rsidRPr="00BF6B3F">
        <w:rPr>
          <w:lang w:val="en-IL"/>
        </w:rPr>
        <w:t xml:space="preserve"> repeating the annual cycle for a set number of years, 75 in the calibration and validation runs </w:t>
      </w:r>
      <w:r w:rsidRPr="002F3EA6">
        <w:rPr>
          <w:lang w:val="en-IL"/>
        </w:rPr>
        <w:t>(</w:t>
      </w:r>
      <w:r>
        <w:rPr>
          <w:lang w:val="en-IL"/>
        </w:rPr>
        <w:t>Figure 5.6</w:t>
      </w:r>
      <w:r w:rsidRPr="002F3EA6">
        <w:rPr>
          <w:lang w:val="en-IL"/>
        </w:rPr>
        <w:t xml:space="preserve">). Each year the households act in </w:t>
      </w:r>
      <w:r>
        <w:rPr>
          <w:lang w:val="en-IL"/>
        </w:rPr>
        <w:t xml:space="preserve">random order (as not to give advantage to any specific household), </w:t>
      </w:r>
      <w:r w:rsidRPr="002F3EA6">
        <w:rPr>
          <w:lang w:val="en-IL"/>
        </w:rPr>
        <w:t xml:space="preserve">and the environment is then </w:t>
      </w:r>
      <w:r>
        <w:rPr>
          <w:lang w:val="en-IL"/>
        </w:rPr>
        <w:t xml:space="preserve">updated to </w:t>
      </w:r>
      <w:r w:rsidRPr="00BF6B3F">
        <w:t>set up the next</w:t>
      </w:r>
      <w:r>
        <w:t xml:space="preserve"> year</w:t>
      </w:r>
      <w:r>
        <w:rPr>
          <w:lang w:val="en-IL"/>
        </w:rPr>
        <w:t>.</w:t>
      </w:r>
      <w:r w:rsidRPr="00BF6B3F">
        <w:rPr>
          <w:lang w:val="en-IL"/>
        </w:rPr>
        <w:t xml:space="preserve"> Over the full run of 75 years, the occupation pattern emerges from the interaction between the households and their environment</w:t>
      </w:r>
      <w:r>
        <w:rPr>
          <w:lang w:val="en-IL"/>
        </w:rPr>
        <w:t xml:space="preserve"> </w:t>
      </w:r>
      <w:r w:rsidRPr="002F3EA6">
        <w:rPr>
          <w:lang w:val="en-IL"/>
        </w:rPr>
        <w:t>(§5.1).</w:t>
      </w:r>
    </w:p>
    <w:p w14:paraId="78240740" w14:textId="77777777" w:rsidR="00254BEA" w:rsidRPr="002F3EA6" w:rsidRDefault="00254BEA" w:rsidP="00254BEA">
      <w:pPr>
        <w:spacing w:line="360" w:lineRule="auto"/>
        <w:rPr>
          <w:lang w:val="en-IL"/>
        </w:rPr>
      </w:pPr>
      <w:r w:rsidRPr="0080029C">
        <w:t>Within a year</w:t>
      </w:r>
      <w:r>
        <w:t xml:space="preserve"> cycle (Figure 5.3)</w:t>
      </w:r>
      <w:r w:rsidRPr="0080029C">
        <w:t xml:space="preserve"> the households act one after another, in a random order. First, each household selects a camp</w:t>
      </w:r>
      <w:r>
        <w:t xml:space="preserve">, sets its territory and disperses the nuclear families </w:t>
      </w:r>
      <w:r>
        <w:lastRenderedPageBreak/>
        <w:t>within it</w:t>
      </w:r>
      <w:r w:rsidRPr="0080029C">
        <w:t xml:space="preserve"> (§5.3.1); then it works through the following behaviours and processes: the herd updates (grows or contracts) and surplus is calculated (§5.3.2); then it decides whether to reuse or build an enclosed compound (§5.3.3); and, should its reserve fall short, it responds to crisis (§5.3.4). The ecological and archaeological imprint each household leaves is recorded for the environmental accounting that follows</w:t>
      </w:r>
      <w:r>
        <w:t xml:space="preserve"> </w:t>
      </w:r>
      <w:r>
        <w:rPr>
          <w:lang w:val="en-IL"/>
        </w:rPr>
        <w:t>(Figure 5.7)</w:t>
      </w:r>
      <w:r w:rsidRPr="0080029C">
        <w:t>.</w:t>
      </w:r>
    </w:p>
    <w:p w14:paraId="193712B9" w14:textId="77777777" w:rsidR="00254BEA" w:rsidRPr="002F3EA6" w:rsidRDefault="00254BEA" w:rsidP="00254BEA">
      <w:pPr>
        <w:spacing w:line="360" w:lineRule="auto"/>
        <w:rPr>
          <w:lang w:val="en-IL"/>
        </w:rPr>
      </w:pPr>
      <w:r>
        <w:rPr>
          <w:lang w:val="en-IL"/>
        </w:rPr>
        <w:t>The transition to a new year starts by the model updating the environment</w:t>
      </w:r>
      <w:r w:rsidRPr="002F3EA6">
        <w:rPr>
          <w:lang w:val="en-IL"/>
        </w:rPr>
        <w:t xml:space="preserve">. </w:t>
      </w:r>
      <w:r>
        <w:rPr>
          <w:lang w:val="en-IL"/>
        </w:rPr>
        <w:t xml:space="preserve">First, </w:t>
      </w:r>
      <w:r w:rsidRPr="002F3EA6">
        <w:rPr>
          <w:lang w:val="en-IL"/>
        </w:rPr>
        <w:t xml:space="preserve">it draws a fresh annual rainfall from the record and recomputes </w:t>
      </w:r>
      <w:r w:rsidRPr="007234A7">
        <w:t>the resources that depend on it</w:t>
      </w:r>
      <w:r w:rsidRPr="002F3EA6">
        <w:rPr>
          <w:lang w:val="en-IL"/>
        </w:rPr>
        <w:t xml:space="preserve">, </w:t>
      </w:r>
      <w:r>
        <w:rPr>
          <w:lang w:val="en-IL"/>
        </w:rPr>
        <w:t xml:space="preserve">then it </w:t>
      </w:r>
      <w:r w:rsidRPr="002F3EA6">
        <w:rPr>
          <w:lang w:val="en-IL"/>
        </w:rPr>
        <w:t>folds the year's occupation into the accumulating degradation</w:t>
      </w:r>
      <w:r>
        <w:rPr>
          <w:lang w:val="en-IL"/>
        </w:rPr>
        <w:t xml:space="preserve"> and reuse potential</w:t>
      </w:r>
      <w:r w:rsidRPr="002F3EA6">
        <w:rPr>
          <w:lang w:val="en-IL"/>
        </w:rPr>
        <w:t>, and recalculates each cell's suitability.</w:t>
      </w:r>
      <w:r>
        <w:rPr>
          <w:lang w:val="en-IL"/>
        </w:rPr>
        <w:t xml:space="preserve"> This </w:t>
      </w:r>
      <w:r w:rsidRPr="007234A7">
        <w:t>hands off to</w:t>
      </w:r>
      <w:r>
        <w:t xml:space="preserve"> </w:t>
      </w:r>
      <w:r>
        <w:rPr>
          <w:lang w:val="en-IL"/>
        </w:rPr>
        <w:t xml:space="preserve">a new yearly cycle (Figure 5.3). </w:t>
      </w:r>
      <w:r w:rsidRPr="002F3EA6">
        <w:rPr>
          <w:lang w:val="en-IL"/>
        </w:rPr>
        <w:t>The cycle repeats until the final year, which closes without a further transition.</w:t>
      </w:r>
    </w:p>
    <w:p w14:paraId="70D5FFF9" w14:textId="77777777" w:rsidR="00254BEA" w:rsidRDefault="00254BEA" w:rsidP="00254BEA">
      <w:pPr>
        <w:pStyle w:val="Heading2"/>
      </w:pPr>
      <w:bookmarkStart w:id="15" w:name="_Toc234839348"/>
      <w:r>
        <w:t>5.5</w:t>
      </w:r>
      <w:r w:rsidRPr="00027A1F">
        <w:t xml:space="preserve"> Model Calibration and Validation</w:t>
      </w:r>
      <w:bookmarkEnd w:id="15"/>
    </w:p>
    <w:p w14:paraId="5CC9D935" w14:textId="77777777" w:rsidR="00254BEA" w:rsidRPr="0028646C" w:rsidRDefault="00254BEA" w:rsidP="00254BEA">
      <w:pPr>
        <w:spacing w:line="360" w:lineRule="auto"/>
      </w:pPr>
      <w:r w:rsidRPr="00AF332E">
        <w:t>This section details the calibration and validation of the model against the archaeological record. Calibration, in this context, is defined as narrowing the model's free parameters to a plausible range, using an external data source, rather than assuming them (Romanowska et al., 2021). The seven environmental weights (Section 5.2.1.2) are varied until the combination is found whose simulated record best reproduces the observed Iron Age IIA one, according to two independent patterns (described below). Validation then tests how closely that best combination reproduces those patterns.</w:t>
      </w:r>
    </w:p>
    <w:p w14:paraId="469EB9DE" w14:textId="77777777" w:rsidR="00254BEA" w:rsidRPr="00027A1F" w:rsidRDefault="00254BEA" w:rsidP="00254BEA">
      <w:pPr>
        <w:pStyle w:val="Heading3"/>
      </w:pPr>
      <w:bookmarkStart w:id="16" w:name="_Toc234839349"/>
      <w:r>
        <w:t>5.5</w:t>
      </w:r>
      <w:r w:rsidRPr="00027A1F">
        <w:t>.1 Calibration Strategy</w:t>
      </w:r>
      <w:r>
        <w:t xml:space="preserve"> and Rationale</w:t>
      </w:r>
      <w:bookmarkEnd w:id="16"/>
    </w:p>
    <w:p w14:paraId="524D5DE7" w14:textId="77777777" w:rsidR="00254BEA" w:rsidRPr="009149AD" w:rsidRDefault="00254BEA" w:rsidP="00254BEA">
      <w:pPr>
        <w:spacing w:line="360" w:lineRule="auto"/>
        <w:rPr>
          <w:lang w:val="en-IL"/>
        </w:rPr>
      </w:pPr>
      <w:r w:rsidRPr="009149AD">
        <w:rPr>
          <w:lang w:val="en-IL"/>
        </w:rPr>
        <w:t>The model, following Pattern-Oriented Modelling (POM) framework, employs a multi-criteria calibration process especially fit for agent-based models where emergent system-level spatial patterns form the target of calibration (Grimm et al., 2005; Gallagher et al., 2021). This approach addresses a fundamental challenge in demonstrating the plausibility of the palimpsest model: showing that the simulated household decisions about camp placement, resource management, and enclosure construction drive the emergence of the archaeological patterns observed in the Iron Age IIA Negev Highlands.</w:t>
      </w:r>
    </w:p>
    <w:p w14:paraId="7D18421A" w14:textId="77777777" w:rsidR="00254BEA" w:rsidRPr="009149AD" w:rsidRDefault="00254BEA" w:rsidP="00254BEA">
      <w:pPr>
        <w:spacing w:line="360" w:lineRule="auto"/>
        <w:rPr>
          <w:lang w:val="en-IL"/>
        </w:rPr>
      </w:pPr>
      <w:r w:rsidRPr="009149AD">
        <w:rPr>
          <w:lang w:val="en-IL"/>
        </w:rPr>
        <w:t xml:space="preserve">Calibrating a pattern-oriented model requires identifying parameter combinations that enable the above-described processes and behaviours to simultaneously reproduce both the regional spatial pattern (regardless of site types) and the enclosed compounds </w:t>
      </w:r>
      <w:r w:rsidRPr="009149AD">
        <w:rPr>
          <w:lang w:val="en-IL"/>
        </w:rPr>
        <w:lastRenderedPageBreak/>
        <w:t>to other sites ratio (site-type ratio henceforth). This multi-pattern matching is aimed at reducing equifinality - while many parameter sets might match either the regional spatial pattern or the site-type ratio, far fewer also generate both. Accordingly, calibration aspires to find parameter values combination that led to similar patterns consistently.</w:t>
      </w:r>
    </w:p>
    <w:p w14:paraId="26ACE1D3" w14:textId="77777777" w:rsidR="00254BEA" w:rsidRPr="009149AD" w:rsidRDefault="00254BEA" w:rsidP="00254BEA">
      <w:pPr>
        <w:spacing w:line="360" w:lineRule="auto"/>
        <w:rPr>
          <w:lang w:val="en-IL"/>
        </w:rPr>
      </w:pPr>
      <w:r w:rsidRPr="009149AD">
        <w:rPr>
          <w:lang w:val="en-IL"/>
        </w:rPr>
        <w:t>Based on the rational above, the calibration examined the similarity of the model results to the real archaeological record through the following evaluation functions: (i) spatial distribution of all sites measured through standard deviational ellipse overlap; and (ii) site-type ratios (both are defined and quantified in Section 5.5.3). These patterns were selected for their diagnostic power while avoiding metrics that score the prediction of exact site locations (such as Root Mean Square Error, common in other models). Since the model is not built to predict individual site locations, such a metric would be inappropriate. The standard deviational ellipse instead captures where activity concentrates and along what axis it spreads. This allows the two distributions to be compared at the regional scale without penalising the model for the location of any individual site. The site-type ratio addresses a key prediction of the model, that enclosed compounds are an expression of accumulated surplus rather than a functionally separate category (Section 5.1). It therefore tests whether the model's decision-making and enclosure construction and reuse rules (Section 5.3.3) generate them at frequencies resembling the observed ones.</w:t>
      </w:r>
    </w:p>
    <w:p w14:paraId="5160113A" w14:textId="77777777" w:rsidR="00254BEA" w:rsidRPr="009149AD" w:rsidRDefault="00254BEA" w:rsidP="00254BEA">
      <w:pPr>
        <w:pStyle w:val="Heading3"/>
        <w:rPr>
          <w:lang w:val="en-IL"/>
        </w:rPr>
      </w:pPr>
      <w:bookmarkStart w:id="17" w:name="_Toc234839350"/>
      <w:r>
        <w:t>5.5</w:t>
      </w:r>
      <w:r w:rsidRPr="00027A1F">
        <w:t xml:space="preserve">.2 </w:t>
      </w:r>
      <w:r w:rsidRPr="009149AD">
        <w:rPr>
          <w:lang w:val="en-IL"/>
        </w:rPr>
        <w:t>The Calibration Procedure</w:t>
      </w:r>
      <w:bookmarkEnd w:id="17"/>
    </w:p>
    <w:p w14:paraId="6D81B309" w14:textId="77777777" w:rsidR="00254BEA" w:rsidRDefault="00254BEA" w:rsidP="00254BEA">
      <w:pPr>
        <w:spacing w:line="360" w:lineRule="auto"/>
        <w:rPr>
          <w:lang w:val="en-IL"/>
        </w:rPr>
      </w:pPr>
      <w:r w:rsidRPr="009149AD">
        <w:rPr>
          <w:lang w:val="en-IL"/>
        </w:rPr>
        <w:t>Calibration focused exclusively on the seven environmental suitability weights mentioned in Section 5.2.1.2. These weights determine how strongly each environmental variable influences household behaviour, making them the primary drivers of the emergent spatial patterns. Other model parameters remained fixed based on archaeological evidence, ethnographic analogues, or practical considerations of model development as detailed in sections 5.2 and 5.3. Fixing these parameters focuses calibration on the environmental preference structure while acknowledging that multiple aspects of household behaviour rest on tentative values independent of the specific Negev Highlands case.</w:t>
      </w:r>
    </w:p>
    <w:p w14:paraId="23BE5FBA" w14:textId="77777777" w:rsidR="00254BEA" w:rsidRDefault="00254BEA" w:rsidP="00254BEA">
      <w:pPr>
        <w:spacing w:line="360" w:lineRule="auto"/>
        <w:rPr>
          <w:lang w:val="en-IL"/>
        </w:rPr>
      </w:pPr>
      <w:r w:rsidRPr="009149AD">
        <w:rPr>
          <w:lang w:val="en-IL"/>
        </w:rPr>
        <w:lastRenderedPageBreak/>
        <w:t xml:space="preserve">Spatial similarity is evaluated by the overlap of standard deviational ellipses fitted to the simulated and observed site distributions. A standard deviational ellipse summarises a scatter of points by an ellipse centred on their mean, with its two perpendicular axes scaled to the spread of the points (here, two standard deviations) along the directions of greatest and least dispersion; its size, elongation, and orientation together describe where points concentrate and along what axis they are drawn out (Yuill, 1971). Comparing the two ellipses therefore compares the spread and orientation of the two distributions directly, without assuming the sites follow any particular statistical form. The overlap of the two ellipses is quantified by the Intersection over Union (IoU): </w:t>
      </w:r>
    </w:p>
    <w:p w14:paraId="596B14FF" w14:textId="77777777" w:rsidR="00254BEA" w:rsidRDefault="00254BEA" w:rsidP="00254BEA">
      <w:pPr>
        <w:spacing w:line="360" w:lineRule="auto"/>
        <w:rPr>
          <w:lang w:val="en-IL"/>
        </w:rPr>
      </w:pPr>
      <m:oMathPara>
        <m:oMath>
          <m:r>
            <w:rPr>
              <w:rFonts w:ascii="Cambria Math" w:hAnsi="Cambria Math"/>
            </w:rPr>
            <m:t>IoU=</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overlap</m:t>
                  </m:r>
                </m:sub>
              </m:sSub>
              <m:ctrlPr>
                <w:rPr>
                  <w:rFonts w:ascii="Cambria Math" w:hAnsi="Cambria Math"/>
                  <w:i/>
                </w:rPr>
              </m:ctrlPr>
            </m:num>
            <m:den>
              <m:sSub>
                <m:sSubPr>
                  <m:ctrlPr>
                    <w:rPr>
                      <w:rFonts w:ascii="Cambria Math" w:hAnsi="Cambria Math"/>
                    </w:rPr>
                  </m:ctrlPr>
                </m:sSubPr>
                <m:e>
                  <m:r>
                    <w:rPr>
                      <w:rFonts w:ascii="Cambria Math" w:hAnsi="Cambria Math"/>
                    </w:rPr>
                    <m:t>A</m:t>
                  </m:r>
                </m:e>
                <m:sub>
                  <m:r>
                    <w:rPr>
                      <w:rFonts w:ascii="Cambria Math" w:hAnsi="Cambria Math"/>
                    </w:rPr>
                    <m:t>overlap</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symmetric difference</m:t>
                  </m:r>
                </m:sub>
              </m:sSub>
            </m:den>
          </m:f>
        </m:oMath>
      </m:oMathPara>
    </w:p>
    <w:p w14:paraId="7C115DD7" w14:textId="77777777" w:rsidR="00254BEA" w:rsidRDefault="00254BEA" w:rsidP="00254BEA">
      <w:pPr>
        <w:spacing w:line="360" w:lineRule="auto"/>
      </w:pPr>
      <w:r w:rsidRPr="00027A1F">
        <w:t xml:space="preserve">Where </w:t>
      </w:r>
      <m:oMath>
        <m:sSub>
          <m:sSubPr>
            <m:ctrlPr>
              <w:rPr>
                <w:rFonts w:ascii="Cambria Math" w:hAnsi="Cambria Math"/>
                <w:i/>
                <w:iCs/>
              </w:rPr>
            </m:ctrlPr>
          </m:sSubPr>
          <m:e>
            <m:r>
              <w:rPr>
                <w:rFonts w:ascii="Cambria Math" w:hAnsi="Cambria Math"/>
              </w:rPr>
              <m:t>A</m:t>
            </m:r>
          </m:e>
          <m:sub>
            <m:r>
              <w:rPr>
                <w:rFonts w:ascii="Cambria Math" w:hAnsi="Cambria Math"/>
              </w:rPr>
              <m:t>overlap</m:t>
            </m:r>
          </m:sub>
        </m:sSub>
        <m:r>
          <w:rPr>
            <w:rFonts w:ascii="Cambria Math" w:hAnsi="Cambria Math"/>
          </w:rPr>
          <m:t xml:space="preserve"> </m:t>
        </m:r>
      </m:oMath>
      <w:r w:rsidRPr="00027A1F">
        <w:t xml:space="preserve"> represents </w:t>
      </w:r>
      <w:r>
        <w:t xml:space="preserve">overlapping </w:t>
      </w:r>
      <w:r w:rsidRPr="00027A1F">
        <w:t xml:space="preserve">area and </w:t>
      </w:r>
      <m:oMath>
        <m:sSub>
          <m:sSubPr>
            <m:ctrlPr>
              <w:rPr>
                <w:rFonts w:ascii="Cambria Math" w:hAnsi="Cambria Math"/>
                <w:i/>
                <w:iCs/>
              </w:rPr>
            </m:ctrlPr>
          </m:sSubPr>
          <m:e>
            <m:r>
              <w:rPr>
                <w:rFonts w:ascii="Cambria Math" w:hAnsi="Cambria Math"/>
              </w:rPr>
              <m:t>A</m:t>
            </m:r>
          </m:e>
          <m:sub>
            <m:r>
              <w:rPr>
                <w:rFonts w:ascii="Cambria Math" w:hAnsi="Cambria Math"/>
              </w:rPr>
              <m:t xml:space="preserve">symmetric difference </m:t>
            </m:r>
          </m:sub>
        </m:sSub>
        <m:r>
          <w:rPr>
            <w:rFonts w:ascii="Cambria Math" w:hAnsi="Cambria Math"/>
          </w:rPr>
          <m:t xml:space="preserve"> </m:t>
        </m:r>
      </m:oMath>
      <w:r w:rsidRPr="00027A1F">
        <w:t xml:space="preserve">represents non-overlapping area. The spatial error component is calculated as: </w:t>
      </w:r>
      <m:oMath>
        <m:r>
          <w:rPr>
            <w:rFonts w:ascii="Cambria Math" w:hAnsi="Cambria Math"/>
          </w:rPr>
          <m:t>spatia</m:t>
        </m:r>
        <m:sSub>
          <m:sSubPr>
            <m:ctrlPr>
              <w:rPr>
                <w:rFonts w:ascii="Cambria Math" w:hAnsi="Cambria Math"/>
                <w:i/>
              </w:rPr>
            </m:ctrlPr>
          </m:sSubPr>
          <m:e>
            <m:r>
              <w:rPr>
                <w:rFonts w:ascii="Cambria Math" w:hAnsi="Cambria Math"/>
              </w:rPr>
              <m:t>l</m:t>
            </m:r>
          </m:e>
          <m:sub>
            <m:r>
              <w:rPr>
                <w:rFonts w:ascii="Cambria Math" w:hAnsi="Cambria Math"/>
              </w:rPr>
              <m:t>error</m:t>
            </m:r>
          </m:sub>
        </m:sSub>
        <m:r>
          <w:rPr>
            <w:rFonts w:ascii="Cambria Math" w:hAnsi="Cambria Math"/>
          </w:rPr>
          <m:t>= 1 - IoU,</m:t>
        </m:r>
      </m:oMath>
      <w:r w:rsidRPr="00027A1F">
        <w:t xml:space="preserve"> ranging from 0 (perfect overlap) to 1 (no overlap).</w:t>
      </w:r>
      <w:r>
        <w:t xml:space="preserve"> </w:t>
      </w:r>
    </w:p>
    <w:p w14:paraId="4149EDD4" w14:textId="77777777" w:rsidR="00254BEA" w:rsidRDefault="00254BEA" w:rsidP="00254BEA">
      <w:pPr>
        <w:spacing w:line="360" w:lineRule="auto"/>
        <w:rPr>
          <w:lang w:val="en-IL"/>
        </w:rPr>
      </w:pPr>
      <w:r w:rsidRPr="009149AD">
        <w:rPr>
          <w:lang w:val="en-IL"/>
        </w:rPr>
        <w:t>Site-type similarity is the absolute difference between the simulated and observed proportions of enclosed compounds among all sites</w:t>
      </w:r>
      <w:r>
        <w:rPr>
          <w:lang w:val="en-IL"/>
        </w:rPr>
        <w:t>:</w:t>
      </w:r>
    </w:p>
    <w:p w14:paraId="4C35A712" w14:textId="77777777" w:rsidR="00254BEA" w:rsidRDefault="00254BEA" w:rsidP="00254BEA">
      <w:pPr>
        <w:spacing w:line="360" w:lineRule="auto"/>
        <w:rPr>
          <w:lang w:val="en-IL"/>
        </w:rPr>
      </w:pPr>
      <m:oMathPara>
        <m:oMath>
          <m:r>
            <w:rPr>
              <w:rFonts w:ascii="Cambria Math" w:hAnsi="Cambria Math"/>
            </w:rPr>
            <m:t>rati</m:t>
          </m:r>
          <m:sSub>
            <m:sSubPr>
              <m:ctrlPr>
                <w:rPr>
                  <w:rFonts w:ascii="Cambria Math" w:hAnsi="Cambria Math"/>
                  <w:i/>
                </w:rPr>
              </m:ctrlPr>
            </m:sSubPr>
            <m:e>
              <m:r>
                <w:rPr>
                  <w:rFonts w:ascii="Cambria Math" w:hAnsi="Cambria Math"/>
                </w:rPr>
                <m:t>o</m:t>
              </m:r>
            </m:e>
            <m:sub>
              <m:r>
                <w:rPr>
                  <w:rFonts w:ascii="Cambria Math" w:hAnsi="Cambria Math"/>
                </w:rPr>
                <m:t>error</m:t>
              </m:r>
            </m:sub>
          </m:sSub>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archaeological</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simulated</m:t>
                  </m:r>
                </m:sub>
              </m:sSub>
            </m:e>
          </m:d>
        </m:oMath>
      </m:oMathPara>
    </w:p>
    <w:p w14:paraId="41573B33" w14:textId="77777777" w:rsidR="00254BEA" w:rsidRPr="009149AD" w:rsidRDefault="00254BEA" w:rsidP="00254BEA">
      <w:pPr>
        <w:spacing w:line="360" w:lineRule="auto"/>
        <w:rPr>
          <w:lang w:val="en-IL"/>
        </w:rPr>
      </w:pPr>
      <w:r w:rsidRPr="009149AD">
        <w:rPr>
          <w:lang w:val="en-IL"/>
        </w:rPr>
        <w:t>where p is th</w:t>
      </w:r>
      <w:r>
        <w:rPr>
          <w:lang w:val="en-IL"/>
        </w:rPr>
        <w:t>e site-type</w:t>
      </w:r>
      <w:r w:rsidRPr="009149AD">
        <w:rPr>
          <w:lang w:val="en-IL"/>
        </w:rPr>
        <w:t xml:space="preserve"> proportion. Like the spatial error, it ranges from 0 (identical proportions) to 1 (completely different).</w:t>
      </w:r>
    </w:p>
    <w:p w14:paraId="4A86EF50" w14:textId="77777777" w:rsidR="00254BEA" w:rsidRPr="009149AD" w:rsidRDefault="00254BEA" w:rsidP="00254BEA">
      <w:pPr>
        <w:spacing w:line="360" w:lineRule="auto"/>
        <w:rPr>
          <w:lang w:val="en-IL"/>
        </w:rPr>
      </w:pPr>
      <w:r w:rsidRPr="009149AD">
        <w:rPr>
          <w:lang w:val="en-IL"/>
        </w:rPr>
        <w:t>Each simulation run was scored by a composite objective function that combines the two pattern-similarity measures described above, weighted equally to reflect their complementary diagnostic value:</w:t>
      </w:r>
    </w:p>
    <w:p w14:paraId="3597BD75" w14:textId="77777777" w:rsidR="00254BEA" w:rsidRPr="00027A1F" w:rsidRDefault="00254BEA" w:rsidP="00254BEA">
      <w:pPr>
        <w:spacing w:line="360" w:lineRule="auto"/>
        <w:rPr>
          <w:i/>
          <w:iCs/>
        </w:rPr>
      </w:pPr>
      <m:oMathPara>
        <m:oMath>
          <m:sSub>
            <m:sSubPr>
              <m:ctrlPr>
                <w:rPr>
                  <w:rFonts w:ascii="Cambria Math" w:hAnsi="Cambria Math"/>
                  <w:i/>
                  <w:iCs/>
                </w:rPr>
              </m:ctrlPr>
            </m:sSubPr>
            <m:e>
              <m:r>
                <w:rPr>
                  <w:rFonts w:ascii="Cambria Math" w:hAnsi="Cambria Math"/>
                </w:rPr>
                <m:t>total</m:t>
              </m:r>
            </m:e>
            <m:sub>
              <m:r>
                <w:rPr>
                  <w:rFonts w:ascii="Cambria Math" w:hAnsi="Cambria Math"/>
                </w:rPr>
                <m:t>error</m:t>
              </m:r>
            </m:sub>
          </m:sSub>
          <m:r>
            <w:rPr>
              <w:rFonts w:ascii="Cambria Math" w:hAnsi="Cambria Math"/>
            </w:rPr>
            <m:t>=</m:t>
          </m:r>
          <m:f>
            <m:fPr>
              <m:ctrlPr>
                <w:rPr>
                  <w:rFonts w:ascii="Cambria Math" w:hAnsi="Cambria Math"/>
                  <w:i/>
                  <w:iCs/>
                </w:rPr>
              </m:ctrlPr>
            </m:fPr>
            <m:num>
              <m:d>
                <m:dPr>
                  <m:ctrlPr>
                    <w:rPr>
                      <w:rFonts w:ascii="Cambria Math" w:hAnsi="Cambria Math"/>
                      <w:i/>
                      <w:iCs/>
                    </w:rPr>
                  </m:ctrlPr>
                </m:dPr>
                <m:e>
                  <m:sSub>
                    <m:sSubPr>
                      <m:ctrlPr>
                        <w:rPr>
                          <w:rFonts w:ascii="Cambria Math" w:hAnsi="Cambria Math"/>
                          <w:i/>
                          <w:iCs/>
                        </w:rPr>
                      </m:ctrlPr>
                    </m:sSubPr>
                    <m:e>
                      <m:r>
                        <w:rPr>
                          <w:rFonts w:ascii="Cambria Math" w:hAnsi="Cambria Math"/>
                        </w:rPr>
                        <m:t>spatial</m:t>
                      </m:r>
                    </m:e>
                    <m:sub>
                      <m:r>
                        <w:rPr>
                          <w:rFonts w:ascii="Cambria Math" w:hAnsi="Cambria Math"/>
                        </w:rPr>
                        <m:t>error</m:t>
                      </m:r>
                    </m:sub>
                  </m:sSub>
                  <m:r>
                    <w:rPr>
                      <w:rFonts w:ascii="Cambria Math" w:hAnsi="Cambria Math"/>
                    </w:rPr>
                    <m:t xml:space="preserve">+ </m:t>
                  </m:r>
                  <m:sSub>
                    <m:sSubPr>
                      <m:ctrlPr>
                        <w:rPr>
                          <w:rFonts w:ascii="Cambria Math" w:hAnsi="Cambria Math"/>
                          <w:i/>
                          <w:iCs/>
                        </w:rPr>
                      </m:ctrlPr>
                    </m:sSubPr>
                    <m:e>
                      <m:r>
                        <w:rPr>
                          <w:rFonts w:ascii="Cambria Math" w:hAnsi="Cambria Math"/>
                        </w:rPr>
                        <m:t>ratio</m:t>
                      </m:r>
                    </m:e>
                    <m:sub>
                      <m:r>
                        <w:rPr>
                          <w:rFonts w:ascii="Cambria Math" w:hAnsi="Cambria Math"/>
                        </w:rPr>
                        <m:t>error</m:t>
                      </m:r>
                    </m:sub>
                  </m:sSub>
                </m:e>
              </m:d>
            </m:num>
            <m:den>
              <m:r>
                <w:rPr>
                  <w:rFonts w:ascii="Cambria Math" w:hAnsi="Cambria Math"/>
                </w:rPr>
                <m:t>2</m:t>
              </m:r>
            </m:den>
          </m:f>
        </m:oMath>
      </m:oMathPara>
    </w:p>
    <w:p w14:paraId="194C12D7" w14:textId="77777777" w:rsidR="00254BEA" w:rsidRPr="00846997" w:rsidRDefault="00254BEA" w:rsidP="00254BEA">
      <w:pPr>
        <w:spacing w:line="360" w:lineRule="auto"/>
        <w:rPr>
          <w:lang w:val="en-IL"/>
        </w:rPr>
      </w:pPr>
      <w:r w:rsidRPr="00846997">
        <w:rPr>
          <w:lang w:val="en-IL"/>
        </w:rPr>
        <w:t xml:space="preserve">This </w:t>
      </w:r>
      <m:oMath>
        <m:sSub>
          <m:sSubPr>
            <m:ctrlPr>
              <w:rPr>
                <w:rFonts w:ascii="Cambria Math" w:hAnsi="Cambria Math"/>
                <w:i/>
                <w:iCs/>
              </w:rPr>
            </m:ctrlPr>
          </m:sSubPr>
          <m:e>
            <m:r>
              <w:rPr>
                <w:rFonts w:ascii="Cambria Math" w:hAnsi="Cambria Math"/>
              </w:rPr>
              <m:t>total</m:t>
            </m:r>
          </m:e>
          <m:sub>
            <m:r>
              <w:rPr>
                <w:rFonts w:ascii="Cambria Math" w:hAnsi="Cambria Math"/>
              </w:rPr>
              <m:t>error</m:t>
            </m:r>
          </m:sub>
        </m:sSub>
      </m:oMath>
      <w:r w:rsidRPr="00846997">
        <w:rPr>
          <w:lang w:val="en-IL"/>
        </w:rPr>
        <w:t xml:space="preserve"> is what the calibration seeks to minimise. To account for stochasticity in household decisions and yearly rainfall, each weight combination is run for ten replicate simulations with different random seeds. The ten scores are then averaged, with the mean taken as that combination's score, so a good result reflects consistent performance rather than a single fortunate run.</w:t>
      </w:r>
    </w:p>
    <w:p w14:paraId="167B73B6" w14:textId="77777777" w:rsidR="00254BEA" w:rsidRPr="00846997" w:rsidRDefault="00254BEA" w:rsidP="00254BEA">
      <w:pPr>
        <w:spacing w:line="360" w:lineRule="auto"/>
        <w:rPr>
          <w:lang w:val="en-IL"/>
        </w:rPr>
      </w:pPr>
      <w:r w:rsidRPr="00846997">
        <w:rPr>
          <w:lang w:val="en-IL"/>
        </w:rPr>
        <w:lastRenderedPageBreak/>
        <w:t>Parameter calibration used Optuna (Akiba et al., 2019), a hyperparameter-optimisation framework — the equivalent, in machine learning, of calibration — that efficiently searches large parameter spaces through adaptive sampling. The parameter space is the set of all possible weight combinations, with one axis per calibrated parameter (here seven); each axis may be continuous or, as here, discrete. As set out in Section 5.2.1.2, each weight multiplies its corresponding environmental variable, and the weighted variables are summed to form the suitability raster.</w:t>
      </w:r>
    </w:p>
    <w:p w14:paraId="1912CA09" w14:textId="77777777" w:rsidR="00254BEA" w:rsidRDefault="00254BEA" w:rsidP="00254BEA">
      <w:pPr>
        <w:spacing w:line="360" w:lineRule="auto"/>
        <w:rPr>
          <w:lang w:val="en-IL"/>
        </w:rPr>
      </w:pPr>
      <w:r w:rsidRPr="00846997">
        <w:rPr>
          <w:lang w:val="en-IL"/>
        </w:rPr>
        <w:t>Each of the seven weights was set as a discrete integer from 0 to 7, giving eight ordinal levels of importance per variable. This discretisation serves two purposes. First, it keeps the search space finite: seven continuous weights would span infinitely many combinations, whereas seven weights with eight levels each define a large but finite space of 8⁷ ≈ 2.1 million combinations. Second, the ordinal scale gives an intuitive reading of importance, where 0 excludes a variable, low values (1–2) mark minor influence, moderate values (3–5) intermediate importance, and high values (6–7) a dominant influence. Because the weights express relative importance, they are normalised to sum to 1 before use.</w:t>
      </w:r>
    </w:p>
    <w:p w14:paraId="00DD889A" w14:textId="77777777" w:rsidR="00254BEA" w:rsidRPr="00846997" w:rsidRDefault="00254BEA" w:rsidP="00254BEA">
      <w:pPr>
        <w:spacing w:line="360" w:lineRule="auto"/>
        <w:rPr>
          <w:lang w:val="en-IL"/>
        </w:rPr>
      </w:pPr>
      <w:r w:rsidRPr="00846997">
        <w:rPr>
          <w:lang w:val="en-IL"/>
        </w:rPr>
        <w:t>The calibration used two of Optuna's built-in mechanisms to save computing time. First, a sampler chooses which weight combinations to try, learning from the trials already run and concentrating the search where good scores have already been found (Tree-structured Parzen Estimator, TPE; Watanabe, 2023). Second, a pruner abandons a trial early once its intermediate scores fall behind the better trials so far (MedianPruner; technical details in Appendix 5.3). Formal calibration ran 200 such trials, each comprising ten replicates, preceded by exploratory manual runs used to check that the model behaved sensibly.</w:t>
      </w:r>
    </w:p>
    <w:p w14:paraId="4DCE1A71" w14:textId="77777777" w:rsidR="00254BEA" w:rsidRPr="00846997" w:rsidRDefault="00254BEA" w:rsidP="00254BEA">
      <w:pPr>
        <w:spacing w:line="360" w:lineRule="auto"/>
        <w:rPr>
          <w:lang w:val="en-IL"/>
        </w:rPr>
      </w:pPr>
      <w:r w:rsidRPr="00846997">
        <w:rPr>
          <w:lang w:val="en-IL"/>
        </w:rPr>
        <w:t>Calibration stopped after the predetermined 200 trials rather than on a convergence criterion, a fixed-trial approach driven mainly by computing constraints. The global optimum may therefore remain undiscovered, given the size of the parameter space, an issue revisited in Section 5.5.4.</w:t>
      </w:r>
    </w:p>
    <w:p w14:paraId="76D9381E" w14:textId="77777777" w:rsidR="00254BEA" w:rsidRDefault="00254BEA" w:rsidP="00254BEA">
      <w:pPr>
        <w:pStyle w:val="Heading3"/>
        <w:rPr>
          <w:lang w:val="en-IL"/>
        </w:rPr>
      </w:pPr>
      <w:bookmarkStart w:id="18" w:name="_Toc234839351"/>
      <w:r>
        <w:lastRenderedPageBreak/>
        <w:t>5.5.</w:t>
      </w:r>
      <w:r w:rsidRPr="00027A1F">
        <w:t xml:space="preserve">3 </w:t>
      </w:r>
      <w:r w:rsidRPr="00846997">
        <w:rPr>
          <w:lang w:val="en-IL"/>
        </w:rPr>
        <w:t>Target and Simulated Patterns</w:t>
      </w:r>
      <w:bookmarkEnd w:id="18"/>
    </w:p>
    <w:p w14:paraId="064ABEC1" w14:textId="77777777" w:rsidR="00254BEA" w:rsidRPr="00846997" w:rsidRDefault="00254BEA" w:rsidP="00254BEA">
      <w:pPr>
        <w:spacing w:line="360" w:lineRule="auto"/>
        <w:rPr>
          <w:lang w:val="en-IL"/>
        </w:rPr>
      </w:pPr>
      <w:r w:rsidRPr="00846997">
        <w:rPr>
          <w:lang w:val="en-IL"/>
        </w:rPr>
        <w:t>The observed and simulated records are not symmetrical, a fact that directly shapes what counts as a good match. The archaeological record is an accumulation of seasonal activity across the period, further filtered by differential preservation, variable survey coverage, and post-depositional processes. Some sites may remain undiscovered, though the overall survey coverage (Chapter 2) is taken to be representative. The simulated record, in contrast, is complete, holding every household position and enclosed compound over the run. Calibration therefore aims not for an exact match but for a simulated pattern close enough that the remaining differences could plausibly be attributed to this asymmetry.</w:t>
      </w:r>
    </w:p>
    <w:p w14:paraId="7C849C4B" w14:textId="77777777" w:rsidR="00254BEA" w:rsidRPr="00846997" w:rsidRDefault="00254BEA" w:rsidP="00254BEA">
      <w:pPr>
        <w:spacing w:line="360" w:lineRule="auto"/>
        <w:rPr>
          <w:lang w:val="en-IL"/>
        </w:rPr>
      </w:pPr>
      <w:r w:rsidRPr="00846997">
        <w:rPr>
          <w:lang w:val="en-IL"/>
        </w:rPr>
        <w:t>The simulated record is turned into comparable patterns in two steps. First, each cell accumulates an occupation signal over the run: a household main camp adds 0.5 to its cell each year it is used, and a dispersed nuclear-family camp adds 0.25. Summed across the 75 years, a cell counts as a site once its signal reaches 0.6 (a threshold set by face validation), which takes at least two seasons at a main camp or three nuclear-family stays. A single one-off visit falls below the line, filtering the most ephemeral activity while retaining what would plausibly leave an archaeological trace (Chapter 2). Above the threshold a cell counts as a site whether it was occupied just enough to qualify or intensively for decades, mirroring how the archaeological record is read: a site is recorded by the presence of stone-built structures, regardless of their extent. Second, every cell where an enclosed compound was built is additionally marked as an enclosed-compound site, identified from the model's construction list. The spatial distribution uses all sites together, while the site-type ratio is the number of enclosed-compound sites over the number of other sites.</w:t>
      </w:r>
    </w:p>
    <w:p w14:paraId="066CF391" w14:textId="77777777" w:rsidR="00254BEA" w:rsidRPr="00846997" w:rsidRDefault="00254BEA" w:rsidP="00254BEA">
      <w:pPr>
        <w:spacing w:line="360" w:lineRule="auto"/>
        <w:rPr>
          <w:lang w:val="en-IL"/>
        </w:rPr>
      </w:pPr>
      <w:r w:rsidRPr="00846997">
        <w:rPr>
          <w:b/>
          <w:bCs/>
          <w:lang w:val="en-IL"/>
        </w:rPr>
        <w:t>Calibration targets</w:t>
      </w:r>
      <w:r>
        <w:rPr>
          <w:b/>
          <w:bCs/>
          <w:lang w:val="en-IL"/>
        </w:rPr>
        <w:t>:</w:t>
      </w:r>
    </w:p>
    <w:p w14:paraId="1CC8C124" w14:textId="77777777" w:rsidR="00254BEA" w:rsidRPr="00846997" w:rsidRDefault="00254BEA" w:rsidP="00254BEA">
      <w:pPr>
        <w:pStyle w:val="ListParagraph"/>
        <w:numPr>
          <w:ilvl w:val="0"/>
          <w:numId w:val="28"/>
        </w:numPr>
        <w:spacing w:line="360" w:lineRule="auto"/>
        <w:rPr>
          <w:lang w:val="en-IL"/>
        </w:rPr>
      </w:pPr>
      <w:r w:rsidRPr="00846997">
        <w:rPr>
          <w:b/>
          <w:bCs/>
          <w:lang w:val="en-IL"/>
        </w:rPr>
        <w:t>Spatial distribution.</w:t>
      </w:r>
      <w:r w:rsidRPr="00846997">
        <w:rPr>
          <w:lang w:val="en-IL"/>
        </w:rPr>
        <w:t xml:space="preserve"> The observed spatial distribution's standard deviational ellipse covers 1,585.02 km², with a centroid at 168,369.37 E, 515,592.33 N (ITM grid; Figures 5.1, 5.8), a main axis of 66.68 km and a perpendicular minor axis of 30.26 km, an axis ratio of 2.2:1. This elongation reflects the broadly east-west running concentration of Iron Age IIA activity along the line from Tell el-Qudeirat </w:t>
      </w:r>
      <w:r w:rsidRPr="00846997">
        <w:rPr>
          <w:lang w:val="en-IL"/>
        </w:rPr>
        <w:lastRenderedPageBreak/>
        <w:t>through Ramat Barnea and Ramat Matred to Avedat, diverted slightly northwards (55.66°) due to the presence of sites also in the northeastern parts of the region. This pattern, as already discussed in Chapter 3, correlates with the hypothesised movement corridor toward the Arabah copper production centres. The mean centre and the median centre (168,223.20 E, 512,622.45 N) differ by about 3 km toward the south-southwest, indicating clustering of sites in the southern part of the ellipse. This pattern is the calibration goal, which the simulated distribution is meant to replicate.</w:t>
      </w:r>
    </w:p>
    <w:p w14:paraId="5CA65625" w14:textId="77777777" w:rsidR="00254BEA" w:rsidRPr="00846997" w:rsidRDefault="00254BEA" w:rsidP="00254BEA">
      <w:pPr>
        <w:pStyle w:val="ListParagraph"/>
        <w:numPr>
          <w:ilvl w:val="0"/>
          <w:numId w:val="28"/>
        </w:numPr>
        <w:spacing w:line="360" w:lineRule="auto"/>
        <w:rPr>
          <w:lang w:val="en-IL"/>
        </w:rPr>
      </w:pPr>
      <w:r w:rsidRPr="00846997">
        <w:rPr>
          <w:b/>
          <w:bCs/>
          <w:lang w:val="en-IL"/>
        </w:rPr>
        <w:t>Site-type ratio.</w:t>
      </w:r>
      <w:r w:rsidRPr="00846997">
        <w:rPr>
          <w:lang w:val="en-IL"/>
        </w:rPr>
        <w:t xml:space="preserve"> Of the 462 sites analysed within model boundaries (Section 5.2.1.1), 32 (6.93%) contain enclosed compounds. The remaining 430 (93.07%) have only other architectural forms, including circular structures, rectangular buildings, towers, and four-room houses, singly or in combination; following Chapter 3, five sites with questionable enclosures are counted here among these non-enclosure sites. The observed ratio is therefore about 1:13.4 (enclosed compounds to other sites), the second calibration goal.</w:t>
      </w:r>
    </w:p>
    <w:p w14:paraId="7443C200" w14:textId="77777777" w:rsidR="00254BEA" w:rsidRPr="00027A1F" w:rsidRDefault="00254BEA" w:rsidP="00254BEA">
      <w:pPr>
        <w:pStyle w:val="Heading3"/>
      </w:pPr>
      <w:bookmarkStart w:id="19" w:name="_Toc234839352"/>
      <w:r>
        <w:t>5.5</w:t>
      </w:r>
      <w:r w:rsidRPr="00027A1F">
        <w:t>.4 Validation Results: Model-Data Comparison</w:t>
      </w:r>
      <w:bookmarkEnd w:id="19"/>
      <w:r w:rsidRPr="00027A1F">
        <w:t xml:space="preserve"> </w:t>
      </w:r>
    </w:p>
    <w:p w14:paraId="66765DCD" w14:textId="77777777" w:rsidR="00254BEA" w:rsidRPr="00846997" w:rsidRDefault="00254BEA" w:rsidP="00254BEA">
      <w:pPr>
        <w:spacing w:line="360" w:lineRule="auto"/>
        <w:rPr>
          <w:lang w:val="en-IL"/>
        </w:rPr>
      </w:pPr>
      <w:r w:rsidRPr="00846997">
        <w:rPr>
          <w:lang w:val="en-IL"/>
        </w:rPr>
        <w:t>Of the 200 calibration trials, 143 completed all ten replicates. The remaining 57 were terminated early by the MedianPruner because their intermediate objective-function values were unlikely to improve upon the current best score. All subsequent results derive from the 143 completed trials. During this calibration phase, the highest-performing weight combination achieved a composite objective value of 0.2013. Its specific weight structure is illustrated in Figure 5.9 and is examined alongside the other leading trials below.</w:t>
      </w:r>
    </w:p>
    <w:p w14:paraId="65F97F93" w14:textId="77777777" w:rsidR="00254BEA" w:rsidRPr="00846997" w:rsidRDefault="00254BEA" w:rsidP="00254BEA">
      <w:pPr>
        <w:spacing w:line="360" w:lineRule="auto"/>
        <w:rPr>
          <w:lang w:val="en-IL"/>
        </w:rPr>
      </w:pPr>
      <w:r w:rsidRPr="00846997">
        <w:rPr>
          <w:lang w:val="en-IL"/>
        </w:rPr>
        <w:t xml:space="preserve">To confirm that this result is not an artefact of a single fortunate set of random seeds, the best-scoring combination was re-run for 30 additional replicates. Across these replicates it returned a mean composite score </w:t>
      </w:r>
      <w:r w:rsidRPr="007D0267">
        <w:rPr>
          <w:lang w:val="en-IL"/>
        </w:rPr>
        <w:t xml:space="preserve">of </w:t>
      </w:r>
      <w:r w:rsidRPr="007D0267">
        <w:t>0.213</w:t>
      </w:r>
      <w:r w:rsidRPr="007D0267">
        <w:rPr>
          <w:lang w:val="en-IL"/>
        </w:rPr>
        <w:t xml:space="preserve"> ± 0.021, within 0.011 of the 0.2013 calibration score, confirming that the combination performs consistently</w:t>
      </w:r>
      <w:r w:rsidRPr="00846997">
        <w:rPr>
          <w:lang w:val="en-IL"/>
        </w:rPr>
        <w:t xml:space="preserve"> rather than depending on a lucky seed. How closely it reproduces each of the two calibration goals, the spatial distribution of sites and the site-type ratio, is set out below </w:t>
      </w:r>
      <w:r w:rsidRPr="007D0267">
        <w:rPr>
          <w:lang w:val="en-IL"/>
        </w:rPr>
        <w:t xml:space="preserve">(mean spatial error </w:t>
      </w:r>
      <w:r w:rsidRPr="007D0267">
        <w:t>0.314 ± 0.039</w:t>
      </w:r>
      <w:r w:rsidRPr="007D0267">
        <w:rPr>
          <w:lang w:val="en-IL"/>
        </w:rPr>
        <w:t xml:space="preserve">; mean site-type error </w:t>
      </w:r>
      <w:r w:rsidRPr="007D0267">
        <w:t>0.111 ± 0.021</w:t>
      </w:r>
      <w:r w:rsidRPr="00846997">
        <w:rPr>
          <w:lang w:val="en-IL"/>
        </w:rPr>
        <w:t>).</w:t>
      </w:r>
    </w:p>
    <w:p w14:paraId="2FA01F24" w14:textId="77777777" w:rsidR="00254BEA" w:rsidRPr="00846997" w:rsidRDefault="00254BEA" w:rsidP="00254BEA">
      <w:pPr>
        <w:spacing w:line="360" w:lineRule="auto"/>
        <w:rPr>
          <w:lang w:val="en-IL"/>
        </w:rPr>
      </w:pPr>
      <w:r w:rsidRPr="00846997">
        <w:rPr>
          <w:lang w:val="en-IL"/>
        </w:rPr>
        <w:lastRenderedPageBreak/>
        <w:t xml:space="preserve">Comparing the simulated spatial distribution with the observed one shows close agreement in centre and overall size, with the remaining difference lying in shape. The standard deviational ellipses of the observed Iron Age IIA site distribution and of the best-performing trial (Figure 5.8) overlap substantially across the central Negev Highlands (IoU 0.68); their centroids nearly coincide (about 1.9 km east and 0.8 km south), and their areas are almost equal (1,602.43 km² simulated against 1,585.02 km² observed, Section 5.5.3). The residual lies in orientation and elongation rather than position or size: the observed ellipse is strongly drawn out along the ENE corridor axis (ratio 2.2:1), whereas the simulated one is markedly rounder and less strongly oriented (ratio 1.25:1). The modelled households thus spread more evenly around the core, reaching less far along the corridor and further across it than the surviving record does. This shape mismatch, not any difference in size, drives the bulk of the spatial error. It is consistent with the observed–simulated asymmetry noted above, though it may also reflect the model's own simplifications; </w:t>
      </w:r>
      <w:r>
        <w:rPr>
          <w:lang w:val="en-IL"/>
        </w:rPr>
        <w:t>further discussed</w:t>
      </w:r>
      <w:r w:rsidRPr="00846997">
        <w:rPr>
          <w:lang w:val="en-IL"/>
        </w:rPr>
        <w:t xml:space="preserve"> in Section 5.7.</w:t>
      </w:r>
    </w:p>
    <w:p w14:paraId="2CD781C5" w14:textId="77777777" w:rsidR="00254BEA" w:rsidRPr="00846997" w:rsidRDefault="00254BEA" w:rsidP="00254BEA">
      <w:pPr>
        <w:spacing w:line="360" w:lineRule="auto"/>
        <w:rPr>
          <w:lang w:val="en-IL"/>
        </w:rPr>
      </w:pPr>
      <w:r w:rsidRPr="00846997">
        <w:rPr>
          <w:lang w:val="en-IL"/>
        </w:rPr>
        <w:t>Site-type similarity, the second calibration target, is reproduced less closely than the spatial pattern. In this run the best combination overproduces enclosed compounds: they make up about 17.6% of simulated sites against the observed 6.93% (Section 5.5.3), a simulated ratio near 1:5 versus the observed 1:13.4, roughly 2.4 times as many. This overproduction may reflect prosperity thresholds that admit enclosures more freely than the actual system did, or a site-classification threshold that inflates the count of classified sites.</w:t>
      </w:r>
    </w:p>
    <w:p w14:paraId="629A264D" w14:textId="77777777" w:rsidR="00254BEA" w:rsidRPr="00846997" w:rsidRDefault="00254BEA" w:rsidP="00254BEA">
      <w:pPr>
        <w:spacing w:line="360" w:lineRule="auto"/>
        <w:rPr>
          <w:lang w:val="en-IL"/>
        </w:rPr>
      </w:pPr>
      <w:r w:rsidRPr="00846997">
        <w:rPr>
          <w:lang w:val="en-IL"/>
        </w:rPr>
        <w:t xml:space="preserve">To place the best trial in a broader context and gauge how unique its parameter structure is, the leading cluster of trials was examined together: the 19 trials scoring below 0.21 on the composite objective, all within a hundredth of the best. Across this cluster the weight structure of the best trial proves stable rather than idiosyncratic. Proximity to the Tell el-Qudeirat–Faynan corridor and reuse potential consistently carry the highest weights (mean 0.304 ± 0.005 each), followed by multi-annual resource exhaustion (0.217 ± 0.010), the region's long-term mean rainfall (0.132 ± 0.009), and proximity to permanent water (0.041 ± 0.010). Slope and the current year's rainfall receive zero weight across all 19 trials without exception. The very narrow standard deviations mark this weight structure as a stable attractor in the parameter space, not a single fortunate draw. This </w:t>
      </w:r>
      <w:r w:rsidRPr="00846997">
        <w:rPr>
          <w:lang w:val="en-IL"/>
        </w:rPr>
        <w:lastRenderedPageBreak/>
        <w:t>substantially reduces concern over equifinality for the dominant variables, though the exact proportions within the cluster cannot be pinned down uniquely.</w:t>
      </w:r>
    </w:p>
    <w:p w14:paraId="4EBC399B" w14:textId="77777777" w:rsidR="00254BEA" w:rsidRPr="00027A1F" w:rsidRDefault="00254BEA" w:rsidP="00254BEA">
      <w:pPr>
        <w:pStyle w:val="Heading2"/>
      </w:pPr>
      <w:bookmarkStart w:id="20" w:name="_Toc234839353"/>
      <w:r>
        <w:t>5.6</w:t>
      </w:r>
      <w:r w:rsidRPr="00027A1F">
        <w:t xml:space="preserve"> Sensitivity Analysis</w:t>
      </w:r>
      <w:bookmarkEnd w:id="20"/>
    </w:p>
    <w:p w14:paraId="25FABCC9" w14:textId="77777777" w:rsidR="00254BEA" w:rsidRPr="00027A1F" w:rsidRDefault="00254BEA" w:rsidP="00254BEA">
      <w:pPr>
        <w:spacing w:line="360" w:lineRule="auto"/>
      </w:pPr>
      <w:r w:rsidRPr="007830DE">
        <w:t>The calibration in Section 5.5 tuned only the seven environmental weights; every other setting of the model — how long it runs, how many households it starts with, how territory is handled, and where the cut-off for counting a cell as a site is placed — was fixed beforehand on archaeological, ethnographic, or practical grounds (Sections 5.2–5.3). Sensitivity analysis asks how far the calibrated result depends on those fixed choices, and whether it genuinely reflects the modelled behaviour rather than the settings surrounding it</w:t>
      </w:r>
      <w:r>
        <w:t xml:space="preserve"> (Romanowska et al., 2021)</w:t>
      </w:r>
      <w:r w:rsidRPr="007830DE">
        <w:t xml:space="preserve">. </w:t>
      </w:r>
      <w:r>
        <w:t xml:space="preserve">First, </w:t>
      </w:r>
      <w:r w:rsidRPr="007830DE">
        <w:t>a null-weight baseline test</w:t>
      </w:r>
      <w:r>
        <w:t>s</w:t>
      </w:r>
      <w:r w:rsidRPr="007830DE">
        <w:t xml:space="preserve"> whether the calibrated weights achieve</w:t>
      </w:r>
      <w:r>
        <w:t xml:space="preserve"> statistically better results than equal </w:t>
      </w:r>
      <w:r w:rsidRPr="00C32096">
        <w:t>weighting</w:t>
      </w:r>
      <w:r>
        <w:t>.</w:t>
      </w:r>
      <w:r w:rsidRPr="007830DE">
        <w:t xml:space="preserve"> </w:t>
      </w:r>
      <w:r>
        <w:t>Afterwards, h</w:t>
      </w:r>
      <w:r w:rsidRPr="007830DE">
        <w:t>olding the calibrated weights constant, f</w:t>
      </w:r>
      <w:r>
        <w:t>our</w:t>
      </w:r>
      <w:r w:rsidRPr="007830DE">
        <w:t xml:space="preserve"> choices</w:t>
      </w:r>
      <w:r>
        <w:t xml:space="preserve"> (out of many)</w:t>
      </w:r>
      <w:r w:rsidRPr="007830DE">
        <w:t xml:space="preserve"> are examined: (</w:t>
      </w:r>
      <w:r>
        <w:t>1</w:t>
      </w:r>
      <w:r w:rsidRPr="007830DE">
        <w:t>) the temporal horizon, testing whether the 75-year run length is a stable stopping point; (</w:t>
      </w:r>
      <w:r>
        <w:t>2</w:t>
      </w:r>
      <w:r w:rsidRPr="007830DE">
        <w:t>) the number of household agents; (</w:t>
      </w:r>
      <w:r>
        <w:t>3</w:t>
      </w:r>
      <w:r w:rsidRPr="007830DE">
        <w:t xml:space="preserve">) territorial mobility, comparing the </w:t>
      </w:r>
      <w:r>
        <w:t xml:space="preserve">behaviour </w:t>
      </w:r>
      <w:r w:rsidRPr="007830DE">
        <w:t>described in Section 5.3.1 against households confined to a fixed territory; and (</w:t>
      </w:r>
      <w:r>
        <w:t>4</w:t>
      </w:r>
      <w:r w:rsidRPr="007830DE">
        <w:t>) the site-classification threshold, testing how the number and spread of simulated sites respond to where that cut-off is set. All tests except the null baseline use the calibrated weights of the best-performing trial (Section 5.5.4) and are scored with the same metrics. Full methods, tables, and figures appear in Appendix 5.7; this section reports the principal findings.</w:t>
      </w:r>
    </w:p>
    <w:p w14:paraId="1F293DD1" w14:textId="77777777" w:rsidR="00254BEA" w:rsidRPr="009D49FB" w:rsidRDefault="00254BEA" w:rsidP="00254BEA">
      <w:pPr>
        <w:spacing w:line="360" w:lineRule="auto"/>
        <w:rPr>
          <w:b/>
          <w:bCs/>
        </w:rPr>
      </w:pPr>
      <w:r w:rsidRPr="009D49FB">
        <w:rPr>
          <w:b/>
          <w:bCs/>
        </w:rPr>
        <w:t>Null Weight Baseline</w:t>
      </w:r>
    </w:p>
    <w:p w14:paraId="0C3549C1" w14:textId="77777777" w:rsidR="00254BEA" w:rsidRPr="00027A1F" w:rsidRDefault="00254BEA" w:rsidP="00254BEA">
      <w:pPr>
        <w:spacing w:line="360" w:lineRule="auto"/>
      </w:pPr>
      <w:r w:rsidRPr="00C32096">
        <w:t xml:space="preserve">The point of this baseline is to check that the calibrated weights </w:t>
      </w:r>
      <w:r>
        <w:t>perform better than</w:t>
      </w:r>
      <w:r w:rsidRPr="00C32096">
        <w:t xml:space="preserve"> arbitrary</w:t>
      </w:r>
      <w:r>
        <w:t xml:space="preserve"> ones.</w:t>
      </w:r>
      <w:r w:rsidRPr="00C32096">
        <w:t xml:space="preserve"> </w:t>
      </w:r>
      <w:r>
        <w:t>I</w:t>
      </w:r>
      <w:r w:rsidRPr="00C32096">
        <w:t>f giving every variable equal importance matched the calibrated result, the optimisation would have found nothing worth keeping. Thirty iterations with all seven weights set equal (1/7 ≈ 0.143 each) yielded a mean composite error of 0.318 (95% confidence interval 0.309–0.328). The best calibrated trial, at 0.201, falls entirely below that distribution</w:t>
      </w:r>
      <w:r>
        <w:t xml:space="preserve"> with</w:t>
      </w:r>
      <w:r w:rsidRPr="00C32096">
        <w:t xml:space="preserve"> a 36.7% reduction in error (Figure A5.1)</w:t>
      </w:r>
      <w:r>
        <w:t>,</w:t>
      </w:r>
      <w:r w:rsidRPr="00C32096">
        <w:t xml:space="preserve"> confirming that the calibrated weight structure captures a genuine signal that </w:t>
      </w:r>
      <w:r>
        <w:t xml:space="preserve">this baseline </w:t>
      </w:r>
      <w:r w:rsidRPr="00C32096">
        <w:t>cannot reproduce.</w:t>
      </w:r>
    </w:p>
    <w:p w14:paraId="735B27E2" w14:textId="77777777" w:rsidR="00254BEA" w:rsidRPr="009D49FB" w:rsidRDefault="00254BEA" w:rsidP="00254BEA">
      <w:pPr>
        <w:spacing w:line="360" w:lineRule="auto"/>
        <w:rPr>
          <w:b/>
          <w:bCs/>
        </w:rPr>
      </w:pPr>
      <w:r w:rsidRPr="009D49FB">
        <w:rPr>
          <w:b/>
          <w:bCs/>
        </w:rPr>
        <w:t>Temporal Horizon</w:t>
      </w:r>
      <w:r>
        <w:rPr>
          <w:b/>
          <w:bCs/>
        </w:rPr>
        <w:t xml:space="preserve"> and</w:t>
      </w:r>
      <w:r w:rsidRPr="009D49FB">
        <w:rPr>
          <w:b/>
          <w:bCs/>
        </w:rPr>
        <w:t xml:space="preserve"> Population Size</w:t>
      </w:r>
    </w:p>
    <w:p w14:paraId="0B1600D7" w14:textId="77777777" w:rsidR="00254BEA" w:rsidRPr="00027A1F" w:rsidRDefault="00254BEA" w:rsidP="00254BEA">
      <w:pPr>
        <w:spacing w:line="360" w:lineRule="auto"/>
      </w:pPr>
      <w:r w:rsidRPr="00852736">
        <w:lastRenderedPageBreak/>
        <w:t xml:space="preserve">These two tests ask whether the 75-year, nine-agent baseline was set too conservatively — whether running the simulation longer, or starting it with more households, would reproduce the record more closely. The </w:t>
      </w:r>
      <w:r>
        <w:t xml:space="preserve">length of the simulation </w:t>
      </w:r>
      <w:r w:rsidRPr="00852736">
        <w:t>was tested by extending a single run to 150 years and evaluating it at ten-year checkpoints</w:t>
      </w:r>
      <w:r>
        <w:t>.</w:t>
      </w:r>
      <w:r w:rsidRPr="00852736">
        <w:t xml:space="preserve"> </w:t>
      </w:r>
      <w:r>
        <w:t>T</w:t>
      </w:r>
      <w:r w:rsidRPr="00852736">
        <w:t xml:space="preserve">he population </w:t>
      </w:r>
      <w:r>
        <w:t xml:space="preserve">was tested </w:t>
      </w:r>
      <w:r w:rsidRPr="00852736">
        <w:t xml:space="preserve">by running five, fifteen, and twenty households against the nine-household baseline, five replicates each. On the composite score, the longer horizon and the larger populations both appear to help, each lowering the error relative to the </w:t>
      </w:r>
      <w:r>
        <w:t>calibration results (Section 5.5.4)</w:t>
      </w:r>
      <w:r w:rsidRPr="00852736">
        <w:t xml:space="preserve">. Yet a visual inspection raises the concern that the improvement </w:t>
      </w:r>
      <w:r>
        <w:t>stems from</w:t>
      </w:r>
      <w:r w:rsidRPr="00852736">
        <w:t xml:space="preserve"> the way the patterns are evaluated. At longer durations and higher agent counts, simulated activity spreads until it covers large parts of the region (</w:t>
      </w:r>
      <w:r w:rsidRPr="00B23D2F">
        <w:t>Appendix 5.7, Figures A5.2–A5.5</w:t>
      </w:r>
      <w:r w:rsidRPr="00852736">
        <w:t xml:space="preserve">), a distribution that is not realistic whatever its score. The cause, I suspect, lies in the spatial distribution metric: ellipse overlap does not account for the number of sites produced, so the more cells that register activity across the </w:t>
      </w:r>
      <w:r>
        <w:t>area of the observed ellipse</w:t>
      </w:r>
      <w:r w:rsidRPr="00852736">
        <w:t>, the greater the overlap and the better the score. The better scores at 150 years and at 15–20 households therefore cannot be read as genuine improvements. Reducing the population to five households failed from the opposite direction, generating too few sites to match the regional spread</w:t>
      </w:r>
      <w:r>
        <w:t>.</w:t>
      </w:r>
      <w:r w:rsidRPr="00852736">
        <w:t xml:space="preserve"> </w:t>
      </w:r>
      <w:r>
        <w:t xml:space="preserve">Therefore, </w:t>
      </w:r>
      <w:r w:rsidRPr="00852736">
        <w:t xml:space="preserve">the nine-agent, 75-year configuration </w:t>
      </w:r>
      <w:r w:rsidRPr="00B23D2F">
        <w:t>remains a sound choice</w:t>
      </w:r>
      <w:r w:rsidRPr="00852736">
        <w:t>. These results</w:t>
      </w:r>
      <w:r>
        <w:t xml:space="preserve"> suggest that the demographics </w:t>
      </w:r>
      <w:r w:rsidRPr="00852736">
        <w:t>and activity intensity</w:t>
      </w:r>
      <w:r>
        <w:t>, held</w:t>
      </w:r>
      <w:r w:rsidRPr="00852736">
        <w:t xml:space="preserve"> constant across all years, </w:t>
      </w:r>
      <w:r>
        <w:t xml:space="preserve">may be oversimplified; </w:t>
      </w:r>
      <w:r w:rsidRPr="00852736">
        <w:t xml:space="preserve">whereas demographic and behavioural </w:t>
      </w:r>
      <w:r>
        <w:t xml:space="preserve">are </w:t>
      </w:r>
      <w:r w:rsidRPr="00852736">
        <w:t>likely</w:t>
      </w:r>
      <w:r>
        <w:t xml:space="preserve"> to change over the period</w:t>
      </w:r>
      <w:r w:rsidRPr="00852736">
        <w:t xml:space="preserve">, and incorporating </w:t>
      </w:r>
      <w:r>
        <w:t>those</w:t>
      </w:r>
      <w:r w:rsidRPr="00852736">
        <w:t xml:space="preserve"> would be a natural direction for future work.</w:t>
      </w:r>
    </w:p>
    <w:p w14:paraId="662AF5C5" w14:textId="77777777" w:rsidR="00254BEA" w:rsidRPr="009D49FB" w:rsidRDefault="00254BEA" w:rsidP="00254BEA">
      <w:pPr>
        <w:spacing w:line="360" w:lineRule="auto"/>
        <w:rPr>
          <w:b/>
          <w:bCs/>
        </w:rPr>
      </w:pPr>
      <w:r w:rsidRPr="009D49FB">
        <w:rPr>
          <w:b/>
          <w:bCs/>
        </w:rPr>
        <w:t>Territory Flexibility</w:t>
      </w:r>
    </w:p>
    <w:p w14:paraId="19237337" w14:textId="77777777" w:rsidR="00254BEA" w:rsidRDefault="00254BEA" w:rsidP="00254BEA">
      <w:pPr>
        <w:spacing w:line="360" w:lineRule="auto"/>
        <w:rPr>
          <w:lang w:val="en-US"/>
        </w:rPr>
      </w:pPr>
      <w:r w:rsidRPr="00B23D2F">
        <w:t xml:space="preserve">This test isolates the contribution of the </w:t>
      </w:r>
      <w:r>
        <w:t>region-wide</w:t>
      </w:r>
      <w:r w:rsidRPr="00B23D2F">
        <w:t xml:space="preserve"> repositioning described in Section 5.3.1. In th</w:t>
      </w:r>
      <w:r>
        <w:t>is</w:t>
      </w:r>
      <w:r w:rsidRPr="00B23D2F">
        <w:t xml:space="preserve"> fixed-territory mode, households kept the territory they were first assigned and could move freely </w:t>
      </w:r>
      <w:r>
        <w:t xml:space="preserve">only </w:t>
      </w:r>
      <w:r w:rsidRPr="00B23D2F">
        <w:t>within it. The two modes scored close on average (mean error ~0.25 fixed versus ~0.2</w:t>
      </w:r>
      <w:r>
        <w:t>1</w:t>
      </w:r>
      <w:r w:rsidRPr="00B23D2F">
        <w:t xml:space="preserve"> flexible), which is unsurprising, since the fixed mode removes only </w:t>
      </w:r>
      <w:r>
        <w:t xml:space="preserve">region-wide </w:t>
      </w:r>
      <w:r w:rsidRPr="00B23D2F">
        <w:t>move</w:t>
      </w:r>
      <w:r>
        <w:t>s</w:t>
      </w:r>
      <w:r w:rsidRPr="00B23D2F">
        <w:t xml:space="preserve"> while retaining </w:t>
      </w:r>
      <w:r>
        <w:t xml:space="preserve">small-scale </w:t>
      </w:r>
      <w:r w:rsidRPr="00B23D2F">
        <w:t>movement inside the territory. The clearer difference is in consistency</w:t>
      </w:r>
      <w:r>
        <w:t>;</w:t>
      </w:r>
      <w:r w:rsidRPr="00B23D2F">
        <w:t xml:space="preserve"> the fixed mode was far more variable, with one run reaching 0.41 (Figure A5.6). That spread reflects its dependence on the initial placement — with no </w:t>
      </w:r>
      <w:r>
        <w:t xml:space="preserve">region-wide </w:t>
      </w:r>
      <w:r w:rsidRPr="00B23D2F">
        <w:t xml:space="preserve">repositioning, a household </w:t>
      </w:r>
      <w:r>
        <w:t xml:space="preserve">located in </w:t>
      </w:r>
      <w:r w:rsidRPr="00B23D2F">
        <w:t xml:space="preserve">poor ground </w:t>
      </w:r>
      <w:r w:rsidRPr="00BF0A9A">
        <w:t>cannot relocate to seek better, and remains confined to ground it would otherwise have abandoned</w:t>
      </w:r>
      <w:r w:rsidRPr="00B23D2F">
        <w:t xml:space="preserve">. </w:t>
      </w:r>
      <w:r>
        <w:lastRenderedPageBreak/>
        <w:t xml:space="preserve">Region-wide </w:t>
      </w:r>
      <w:r w:rsidRPr="00B23D2F">
        <w:t>repositioning, by contrast, lets households respond each year to a</w:t>
      </w:r>
      <w:r>
        <w:t>n</w:t>
      </w:r>
      <w:r w:rsidRPr="00B23D2F">
        <w:t xml:space="preserve"> </w:t>
      </w:r>
      <w:r>
        <w:t xml:space="preserve">environment </w:t>
      </w:r>
      <w:r w:rsidRPr="00B23D2F">
        <w:t>degraded by accumulated occupation or thinned by a poor rainfall year, which yields</w:t>
      </w:r>
      <w:r>
        <w:t xml:space="preserve"> a</w:t>
      </w:r>
      <w:r w:rsidRPr="00B23D2F">
        <w:t xml:space="preserve"> lower and more stable score. The mechanism is thus best understood as a stabilising one.</w:t>
      </w:r>
    </w:p>
    <w:p w14:paraId="0007C6FF" w14:textId="77777777" w:rsidR="00254BEA" w:rsidRPr="002453C3" w:rsidRDefault="00254BEA" w:rsidP="00254BEA">
      <w:pPr>
        <w:spacing w:line="360" w:lineRule="auto"/>
        <w:rPr>
          <w:b/>
          <w:bCs/>
          <w:lang w:val="en-IL"/>
        </w:rPr>
      </w:pPr>
      <w:r w:rsidRPr="002453C3">
        <w:rPr>
          <w:b/>
          <w:bCs/>
          <w:lang w:val="en-IL"/>
        </w:rPr>
        <w:t>Site-Classification Threshold</w:t>
      </w:r>
    </w:p>
    <w:p w14:paraId="4569D916" w14:textId="77777777" w:rsidR="00254BEA" w:rsidRDefault="00254BEA" w:rsidP="00254BEA">
      <w:pPr>
        <w:spacing w:line="360" w:lineRule="auto"/>
      </w:pPr>
      <w:r w:rsidRPr="007A27DB">
        <w:t xml:space="preserve">The final test concerns the 0.6 </w:t>
      </w:r>
      <w:r>
        <w:t>threshold</w:t>
      </w:r>
      <w:r w:rsidRPr="007A27DB">
        <w:t xml:space="preserve"> that turns the simulated occupation surface into discrete sites (Section 5.5.3). Because that value was set by face validation rather than derived, the </w:t>
      </w:r>
      <w:r>
        <w:t>threshold</w:t>
      </w:r>
      <w:r w:rsidRPr="007A27DB">
        <w:t xml:space="preserve"> was </w:t>
      </w:r>
      <w:r>
        <w:t xml:space="preserve">varied </w:t>
      </w:r>
      <w:r w:rsidRPr="007A27DB">
        <w:t xml:space="preserve">from 0.1 to 1.0, on a single run's output, to see how far the two calibration targets depend on it. The number of sites proved highly sensitive to it: the 245 sites at 0.6 rise to 1,236 at 0.3–0.5 and to nearly 6,000 at 0.1–0.2 as more ephemeral </w:t>
      </w:r>
      <w:r>
        <w:t xml:space="preserve">visited </w:t>
      </w:r>
      <w:r w:rsidRPr="007A27DB">
        <w:t xml:space="preserve">cells </w:t>
      </w:r>
      <w:r>
        <w:t>are counted</w:t>
      </w:r>
      <w:r w:rsidRPr="007A27DB">
        <w:t xml:space="preserve">; it falls to just 73 at 0.8–1.0. The site-type ratio was affected markedly as well, since enclosed compounds are counted from a construction list, regardless of occupation intensity, while every other site must clear the set threshold. As the </w:t>
      </w:r>
      <w:r>
        <w:t>threshold</w:t>
      </w:r>
      <w:r w:rsidRPr="007A27DB">
        <w:t xml:space="preserve"> rises and </w:t>
      </w:r>
      <w:r>
        <w:t xml:space="preserve">more </w:t>
      </w:r>
      <w:r w:rsidRPr="007A27DB">
        <w:t>cells drop away, the enclosed compound share therefore climbs: from under 1% at the lowest levels, through 16.7% at 0.6, to 56% at the highest. The observed share of 6.93% is not replicated at any level of this discretisation, falling between the 0.5 (3.3%) and 0.6 (16.7%) settings. The underproduction of 'other' sites seen in the calibration (Section 5.5.4) thus stems partly from this threshold</w:t>
      </w:r>
      <w:r>
        <w:t>.</w:t>
      </w:r>
      <w:r w:rsidRPr="007A27DB">
        <w:t xml:space="preserve"> </w:t>
      </w:r>
      <w:r>
        <w:t>A</w:t>
      </w:r>
      <w:r w:rsidRPr="007A27DB">
        <w:t xml:space="preserve">lthough the spatial overlap improves at lower </w:t>
      </w:r>
      <w:r>
        <w:t>threshold</w:t>
      </w:r>
      <w:r w:rsidRPr="007A27DB">
        <w:t>s, it does so only by inflating the site</w:t>
      </w:r>
      <w:r>
        <w:t>s</w:t>
      </w:r>
      <w:r w:rsidRPr="007A27DB">
        <w:t xml:space="preserve"> to archaeologically implausible levels, as with the temporal-horizon and population tests above. A more refined classification rule, for example one that counts an ordinary site on the same evidential footing as an enclosed compound, where recurrent occupation implies a surviving built feature rather than a summed-intensity value merely exceeding a </w:t>
      </w:r>
      <w:r>
        <w:t>threshold</w:t>
      </w:r>
      <w:r w:rsidRPr="007A27DB">
        <w:t>, is a clear direction for future work.</w:t>
      </w:r>
    </w:p>
    <w:p w14:paraId="08BA0088" w14:textId="77777777" w:rsidR="00254BEA" w:rsidRPr="002453C3" w:rsidRDefault="00254BEA" w:rsidP="00254BEA">
      <w:pPr>
        <w:spacing w:line="360" w:lineRule="auto"/>
        <w:rPr>
          <w:lang w:val="en-IL"/>
        </w:rPr>
      </w:pPr>
    </w:p>
    <w:p w14:paraId="62B312DB" w14:textId="77777777" w:rsidR="00254BEA" w:rsidRDefault="00254BEA" w:rsidP="00254BEA">
      <w:pPr>
        <w:pStyle w:val="Heading2"/>
      </w:pPr>
      <w:bookmarkStart w:id="21" w:name="_Toc234839354"/>
      <w:r>
        <w:t>5.7</w:t>
      </w:r>
      <w:commentRangeStart w:id="22"/>
      <w:r>
        <w:t xml:space="preserve"> </w:t>
      </w:r>
      <w:commentRangeEnd w:id="22"/>
      <w:r>
        <w:rPr>
          <w:rStyle w:val="CommentReference"/>
          <w:sz w:val="32"/>
          <w:szCs w:val="32"/>
        </w:rPr>
        <w:commentReference w:id="22"/>
      </w:r>
      <w:r>
        <w:t>Discussion</w:t>
      </w:r>
      <w:bookmarkEnd w:id="21"/>
    </w:p>
    <w:p w14:paraId="0AE75745" w14:textId="77777777" w:rsidR="00254BEA" w:rsidRDefault="00254BEA" w:rsidP="00254BEA">
      <w:pPr>
        <w:spacing w:line="360" w:lineRule="auto"/>
      </w:pPr>
      <w:r>
        <w:t>At the start of this chapter (</w:t>
      </w:r>
      <w:r w:rsidRPr="003F0024">
        <w:t>Section 5.1</w:t>
      </w:r>
      <w:r>
        <w:t>)</w:t>
      </w:r>
      <w:r w:rsidRPr="003F0024">
        <w:t xml:space="preserve"> </w:t>
      </w:r>
      <w:r>
        <w:t xml:space="preserve">I </w:t>
      </w:r>
      <w:r w:rsidRPr="003F0024">
        <w:t xml:space="preserve">asked whether the local, everyday decisions of mobile pastoral households could, without </w:t>
      </w:r>
      <w:r>
        <w:t xml:space="preserve">top-down </w:t>
      </w:r>
      <w:r w:rsidRPr="003F0024">
        <w:t xml:space="preserve">direction, generate a record like that of the Iron Age IIA Negev Highlands. </w:t>
      </w:r>
      <w:r w:rsidRPr="00535690">
        <w:t xml:space="preserve">The simulated activity under the calibrated weights gathers in the same parts of the region as the actual sites, at a comparable centre </w:t>
      </w:r>
      <w:r w:rsidRPr="00535690">
        <w:lastRenderedPageBreak/>
        <w:t xml:space="preserve">and extent, within the fixed placement area the model is allowed to occupy (Section 5.5.4). This distribution emerges from the households' own local rules, reflecting the bottom-up processes the palimpsest model hypothesises. The sensitivity analysis points the same way. Region-wide repositioning gave a lower and more consistent fit than confining households to fixed territories, so the annual movement at the core of the palimpsest reading is what stabilises the pattern (Section 5.6). Longer runs and larger populations did not reproduce the record more closely. They only spread activity more widely across the region (Section 5.6). The nine-household, 75-year configuration is therefore a sound basis for the sufficiency claim, </w:t>
      </w:r>
      <w:r w:rsidRPr="003F0024">
        <w:t xml:space="preserve">though </w:t>
      </w:r>
      <w:r>
        <w:t>some limitations and room for improvement do exist</w:t>
      </w:r>
      <w:r w:rsidRPr="003F0024">
        <w:t>.</w:t>
      </w:r>
    </w:p>
    <w:p w14:paraId="680BA145" w14:textId="77777777" w:rsidR="00254BEA" w:rsidRPr="00A40FFA" w:rsidRDefault="00254BEA" w:rsidP="00254BEA">
      <w:pPr>
        <w:spacing w:line="360" w:lineRule="auto"/>
        <w:rPr>
          <w:lang w:val="en-IL"/>
        </w:rPr>
      </w:pPr>
      <w:r w:rsidRPr="001669AF">
        <w:rPr>
          <w:lang w:val="en-IL"/>
        </w:rPr>
        <w:t xml:space="preserve">That palimpsest is built into the model through the households' yearly choice of where to camp (Section 5.3.1), yet the way it accumulates shows a few informative trends. In a sample run, enclosure building </w:t>
      </w:r>
      <w:r>
        <w:rPr>
          <w:lang w:val="en-IL"/>
        </w:rPr>
        <w:t xml:space="preserve">proved to </w:t>
      </w:r>
      <w:r w:rsidRPr="001669AF">
        <w:rPr>
          <w:lang w:val="en-IL"/>
        </w:rPr>
        <w:t xml:space="preserve">come fast: 26 of the 41 compounds built over the run go up within the opening 25 years. Once </w:t>
      </w:r>
      <w:r>
        <w:rPr>
          <w:lang w:val="en-IL"/>
        </w:rPr>
        <w:t xml:space="preserve">the region reaches a relative saturation of such </w:t>
      </w:r>
      <w:r w:rsidRPr="001669AF">
        <w:rPr>
          <w:lang w:val="en-IL"/>
        </w:rPr>
        <w:t xml:space="preserve">structures, </w:t>
      </w:r>
      <w:r>
        <w:rPr>
          <w:lang w:val="en-IL"/>
        </w:rPr>
        <w:t xml:space="preserve">and as </w:t>
      </w:r>
      <w:r w:rsidRPr="001669AF">
        <w:rPr>
          <w:lang w:val="en-IL"/>
        </w:rPr>
        <w:t xml:space="preserve">reuse costs less than building anew, only five new compounds appear in the final 35 years (Figure 5.10). The 41 compounds </w:t>
      </w:r>
      <w:r>
        <w:rPr>
          <w:lang w:val="en-IL"/>
        </w:rPr>
        <w:t>accumulate</w:t>
      </w:r>
      <w:r w:rsidRPr="001669AF">
        <w:rPr>
          <w:lang w:val="en-IL"/>
        </w:rPr>
        <w:t xml:space="preserve"> 519 visits between them, a mean of 12.7 each and 44 at the most reused. Early investment thus becomes a lasting attraction, reinforced with each return.</w:t>
      </w:r>
      <w:r>
        <w:rPr>
          <w:lang w:val="en-IL"/>
        </w:rPr>
        <w:t xml:space="preserve"> </w:t>
      </w:r>
      <w:r w:rsidRPr="001669AF">
        <w:rPr>
          <w:lang w:val="en-IL"/>
        </w:rPr>
        <w:t xml:space="preserve">The same </w:t>
      </w:r>
      <w:r>
        <w:rPr>
          <w:lang w:val="en-IL"/>
        </w:rPr>
        <w:t xml:space="preserve">trajectory is observed in </w:t>
      </w:r>
      <w:r w:rsidRPr="001669AF">
        <w:rPr>
          <w:lang w:val="en-IL"/>
        </w:rPr>
        <w:t xml:space="preserve">ordinary occupation. Most cells that were used hold only one or two visits and never reach the threshold that counts a cell as a site (Section 5.5.3); fewer cross it, and of those only a handful are revisited far above it (Figure 5.11). </w:t>
      </w:r>
      <w:r>
        <w:rPr>
          <w:lang w:val="en-IL"/>
        </w:rPr>
        <w:t>Hence, the simulated record</w:t>
      </w:r>
      <w:r w:rsidRPr="001669AF">
        <w:rPr>
          <w:lang w:val="en-IL"/>
        </w:rPr>
        <w:t xml:space="preserve"> </w:t>
      </w:r>
      <w:r>
        <w:rPr>
          <w:lang w:val="en-IL"/>
        </w:rPr>
        <w:t>can be seen as reflecting</w:t>
      </w:r>
      <w:r w:rsidRPr="001669AF">
        <w:rPr>
          <w:lang w:val="en-IL"/>
        </w:rPr>
        <w:t xml:space="preserve"> a range of </w:t>
      </w:r>
      <w:r>
        <w:rPr>
          <w:lang w:val="en-IL"/>
        </w:rPr>
        <w:t xml:space="preserve">human </w:t>
      </w:r>
      <w:r w:rsidRPr="001669AF">
        <w:rPr>
          <w:lang w:val="en-IL"/>
        </w:rPr>
        <w:t xml:space="preserve">activity, from ephemeral traces to a few </w:t>
      </w:r>
      <w:r>
        <w:rPr>
          <w:lang w:val="en-IL"/>
        </w:rPr>
        <w:t xml:space="preserve">repeatedly visited </w:t>
      </w:r>
      <w:r w:rsidRPr="001669AF">
        <w:rPr>
          <w:lang w:val="en-IL"/>
        </w:rPr>
        <w:t xml:space="preserve">cores, which can be correlated to some extent with the </w:t>
      </w:r>
      <w:r w:rsidRPr="001D08CF">
        <w:t>intra-site variation documented in Chapter 4</w:t>
      </w:r>
      <w:r w:rsidRPr="001D08CF">
        <w:rPr>
          <w:lang w:val="en-IL"/>
        </w:rPr>
        <w:t xml:space="preserve"> </w:t>
      </w:r>
      <w:r>
        <w:rPr>
          <w:lang w:val="en-IL"/>
        </w:rPr>
        <w:t>(see Chapter 6)</w:t>
      </w:r>
      <w:r w:rsidRPr="001669AF">
        <w:rPr>
          <w:lang w:val="en-IL"/>
        </w:rPr>
        <w:t>.</w:t>
      </w:r>
    </w:p>
    <w:p w14:paraId="2136BE8B" w14:textId="77777777" w:rsidR="00254BEA" w:rsidRDefault="00254BEA" w:rsidP="00254BEA">
      <w:pPr>
        <w:spacing w:line="360" w:lineRule="auto"/>
      </w:pPr>
      <w:r w:rsidRPr="00C17B91">
        <w:t xml:space="preserve">The calibration identified proximity to the Tell el-Qudeirat–Faynan corridor and reuse potential as the two most influential variables (Section 5.5.4). The convergence of the point-pattern analysis (Chapter 3) and the calibrated ABM, both assigning corridor proximity high importance, is telling, and is taken up in Chapter 6. The substantial weight also given to reuse potential is best understood, as discussed above, as a kind of positive feedback loop, in which repeated visits and standing structures weighed heavily on </w:t>
      </w:r>
      <w:r w:rsidRPr="00C17B91">
        <w:lastRenderedPageBreak/>
        <w:t xml:space="preserve">households' decisions, perhaps reflecting both tradition and the energy saved by reusing existing </w:t>
      </w:r>
      <w:r>
        <w:t>infrastructure</w:t>
      </w:r>
      <w:r w:rsidRPr="00C17B91">
        <w:t>.</w:t>
      </w:r>
      <w:r>
        <w:t xml:space="preserve"> </w:t>
      </w:r>
    </w:p>
    <w:p w14:paraId="4C38923E" w14:textId="77777777" w:rsidR="00254BEA" w:rsidRDefault="00254BEA" w:rsidP="00254BEA">
      <w:pPr>
        <w:spacing w:line="360" w:lineRule="auto"/>
      </w:pPr>
      <w:r>
        <w:t>T</w:t>
      </w:r>
      <w:r w:rsidRPr="00891428">
        <w:t>he low weights bear on the interpretation as much as the high ones. Proximity to permanent water fell to near zero, matching Chapter 3's finding of no significant attraction to permanent water (p = 0.619) and pointing again to groups not tied to fixed springs. Slope also received no weight, for either of two reasons: it may parallel the limited relevance of slope found in Chapter 3, or it may be structural, the steepest cells, those scoring below 1 on the fuzzy slope suitability, being excluded before the weighted summation, so that the slopes left vary little. The current year's rainfall likewise received zero weight, read here as a limitation of how rainfall was represented rather than as evidence that rainfall did not matter. The modern rainfall record was applied in random yearly order, which most plausibly does not resemble the sequences of the Iron Age IIA closely enough to have carried real influence. A further possibility is that the derivatives of rainfall, the pasture and cultivation it drives, would have been more informative terms to calibrate than rainfall itself.</w:t>
      </w:r>
    </w:p>
    <w:p w14:paraId="314F33C2" w14:textId="77777777" w:rsidR="00254BEA" w:rsidRDefault="00254BEA" w:rsidP="00254BEA">
      <w:pPr>
        <w:spacing w:line="360" w:lineRule="auto"/>
        <w:rPr>
          <w:rFonts w:ascii="Aptos" w:eastAsiaTheme="minorEastAsia" w:hAnsi="Aptos"/>
          <w:kern w:val="0"/>
          <w:szCs w:val="24"/>
          <w:lang w:bidi="ar-SA"/>
          <w14:ligatures w14:val="none"/>
        </w:rPr>
      </w:pPr>
      <w:r w:rsidRPr="0027797B">
        <w:t xml:space="preserve">The model falls short in a few aspects. The main gap </w:t>
      </w:r>
      <w:r>
        <w:t>between the simulated record and the observed one is the shape</w:t>
      </w:r>
      <w:r w:rsidRPr="0027797B">
        <w:t xml:space="preserve"> </w:t>
      </w:r>
      <w:r>
        <w:t>of the simulated distribution.</w:t>
      </w:r>
      <w:r w:rsidRPr="0027797B">
        <w:t xml:space="preserve"> </w:t>
      </w:r>
      <w:r>
        <w:t>T</w:t>
      </w:r>
      <w:r w:rsidRPr="0027797B">
        <w:t xml:space="preserve">he model spreads activity too evenly around the </w:t>
      </w:r>
      <w:r>
        <w:t>region</w:t>
      </w:r>
      <w:r w:rsidRPr="0027797B">
        <w:t xml:space="preserve">, producing a rounder </w:t>
      </w:r>
      <w:r>
        <w:t>ellipse</w:t>
      </w:r>
      <w:r w:rsidRPr="0027797B">
        <w:t xml:space="preserve"> than the corridor-aligned elongat</w:t>
      </w:r>
      <w:r>
        <w:t xml:space="preserve">ed one </w:t>
      </w:r>
      <w:r w:rsidRPr="0027797B">
        <w:t>(Section 5.5.4). It also builds enclosed compounds too readily, at roughly 2.4 times their observed share, and produces correspondingly few o</w:t>
      </w:r>
      <w:r>
        <w:t>ther</w:t>
      </w:r>
      <w:r w:rsidRPr="0027797B">
        <w:t xml:space="preserve"> sites</w:t>
      </w:r>
      <w:r>
        <w:t>.</w:t>
      </w:r>
      <w:r w:rsidRPr="0027797B">
        <w:t xml:space="preserve"> </w:t>
      </w:r>
      <w:r>
        <w:t>T</w:t>
      </w:r>
      <w:r w:rsidRPr="0027797B">
        <w:t>he sensitivity analysis shows that part of this imbalance follows from the site-classification threshold rather than from the building behaviour itself (Section 5.6)</w:t>
      </w:r>
      <w:r w:rsidRPr="00580FE8">
        <w:t xml:space="preserve"> , hinting at a possible avenue for future improvement</w:t>
      </w:r>
      <w:r w:rsidRPr="0027797B">
        <w:t>. None</w:t>
      </w:r>
      <w:r>
        <w:t>theless,</w:t>
      </w:r>
      <w:r w:rsidRPr="0027797B">
        <w:t xml:space="preserve"> the calibrated model </w:t>
      </w:r>
      <w:r>
        <w:t xml:space="preserve">presents </w:t>
      </w:r>
      <w:r w:rsidRPr="0027797B">
        <w:t xml:space="preserve">a pattern </w:t>
      </w:r>
      <w:r>
        <w:t xml:space="preserve">closely </w:t>
      </w:r>
      <w:r w:rsidRPr="0027797B">
        <w:t>reproduc</w:t>
      </w:r>
      <w:r>
        <w:t>ing the target one.</w:t>
      </w:r>
      <w:r w:rsidRPr="0027797B">
        <w:t xml:space="preserve"> </w:t>
      </w:r>
      <w:r>
        <w:t>I</w:t>
      </w:r>
      <w:r w:rsidRPr="0027797B">
        <w:t xml:space="preserve">t shows that the modelled </w:t>
      </w:r>
      <w:r>
        <w:t xml:space="preserve">local </w:t>
      </w:r>
      <w:r w:rsidRPr="0027797B">
        <w:t xml:space="preserve">behaviours are a plausible way to generate </w:t>
      </w:r>
      <w:r>
        <w:t xml:space="preserve">such patterns, though </w:t>
      </w:r>
      <w:r w:rsidRPr="0027797B">
        <w:t xml:space="preserve">equifinal alternatives remain open. Tightening the site-type ratio, penalising over-dispersion in the objective function, and reconsidering how rainfall enters the model are the clearest routes to improvement. </w:t>
      </w:r>
    </w:p>
    <w:p w14:paraId="46816E25" w14:textId="77777777" w:rsidR="00254BEA" w:rsidRDefault="00254BEA" w:rsidP="00254BEA">
      <w:pPr>
        <w:jc w:val="left"/>
        <w:rPr>
          <w:rFonts w:ascii="Aptos" w:eastAsiaTheme="minorEastAsia" w:hAnsi="Aptos"/>
          <w:kern w:val="0"/>
          <w:szCs w:val="24"/>
          <w:lang w:bidi="ar-SA"/>
          <w14:ligatures w14:val="none"/>
        </w:rPr>
      </w:pPr>
      <w:r>
        <w:rPr>
          <w:rFonts w:ascii="Aptos" w:eastAsiaTheme="minorEastAsia" w:hAnsi="Aptos"/>
          <w:kern w:val="0"/>
          <w:szCs w:val="24"/>
          <w:lang w:bidi="ar-SA"/>
          <w14:ligatures w14:val="none"/>
        </w:rPr>
        <w:br w:type="page"/>
      </w:r>
    </w:p>
    <w:p w14:paraId="6E6B6505" w14:textId="77777777" w:rsidR="00254BEA" w:rsidRDefault="00254BEA" w:rsidP="00254BEA">
      <w:r>
        <w:lastRenderedPageBreak/>
        <w:t>C</w:t>
      </w:r>
    </w:p>
    <w:p w14:paraId="2EB5171A" w14:textId="77777777" w:rsidR="00707506" w:rsidRDefault="00707506"/>
    <w:sectPr w:rsidR="00707506" w:rsidSect="00DA70A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Owner" w:date="2026-06-30T09:56:00Z" w:initials="O">
    <w:p w14:paraId="290F5A04" w14:textId="77777777" w:rsidR="00254BEA" w:rsidRPr="00027A1F" w:rsidRDefault="00254BEA">
      <w:pPr>
        <w:pStyle w:val="CommentText"/>
        <w:rPr>
          <w:rtl/>
        </w:rPr>
      </w:pPr>
      <w:r w:rsidRPr="00027A1F">
        <w:rPr>
          <w:rStyle w:val="CommentReference"/>
        </w:rPr>
        <w:annotationRef/>
      </w:r>
      <w:r w:rsidRPr="00027A1F">
        <w:rPr>
          <w:rFonts w:hint="cs"/>
          <w:rtl/>
        </w:rPr>
        <w:t>חסר בחלק הזה לפחות פסקה אחת נוספת שמסבירה, במלים פשוטות להדיוטות (כלומר לאנשים שלא מבינים במודלים) מהו מודל מבוסס-סוכנים וכיצד הוא עובד</w:t>
      </w:r>
    </w:p>
  </w:comment>
  <w:comment w:id="4" w:author="Owner" w:date="2026-06-25T16:48:00Z" w:initials="O">
    <w:p w14:paraId="4CFD2631" w14:textId="77777777" w:rsidR="00254BEA" w:rsidRPr="00027A1F" w:rsidRDefault="00254BEA">
      <w:pPr>
        <w:pStyle w:val="CommentText"/>
        <w:rPr>
          <w:rtl/>
        </w:rPr>
      </w:pPr>
      <w:r w:rsidRPr="00027A1F">
        <w:rPr>
          <w:rStyle w:val="CommentReference"/>
        </w:rPr>
        <w:annotationRef/>
      </w:r>
      <w:r w:rsidRPr="00027A1F">
        <w:rPr>
          <w:rFonts w:hint="cs"/>
          <w:rtl/>
        </w:rPr>
        <w:t xml:space="preserve">עד לנקודה הזו עוד לא הובא הסבר פשוט וקולע מה המודל מנסה לעשות. יש תחושה שאתה כאילו כותב לעצמך (במובן שאתה רץ קדימה וחושב שכולם מבינים לאן אתה חותר) </w:t>
      </w:r>
      <w:r w:rsidRPr="00027A1F">
        <w:rPr>
          <w:rtl/>
        </w:rPr>
        <w:t>–</w:t>
      </w:r>
      <w:r w:rsidRPr="00027A1F">
        <w:rPr>
          <w:rFonts w:hint="cs"/>
          <w:rtl/>
        </w:rPr>
        <w:t xml:space="preserve"> אבל צריך בחלק הראשון להבהיר מה תפקידו של המודל, כיצד בקווים כלליים הוא עושנה זאת, ולהביא את ההיפותזות העקרוניות</w:t>
      </w:r>
    </w:p>
  </w:comment>
  <w:comment w:id="22" w:author="Owner" w:date="2026-06-30T17:44:00Z" w:initials="O">
    <w:p w14:paraId="26AEFE5E" w14:textId="77777777" w:rsidR="00254BEA" w:rsidRPr="00027A1F" w:rsidRDefault="00254BEA">
      <w:pPr>
        <w:pStyle w:val="CommentText"/>
      </w:pPr>
      <w:r w:rsidRPr="00027A1F">
        <w:rPr>
          <w:rStyle w:val="CommentReference"/>
        </w:rPr>
        <w:annotationRef/>
      </w:r>
      <w:r w:rsidRPr="00027A1F">
        <w:rPr>
          <w:rFonts w:hint="cs"/>
          <w:rtl/>
        </w:rPr>
        <w:t xml:space="preserve">אני לא רואה הבדלים מהותיים בין סעיף הקליברציה ובין הסעיף הזה </w:t>
      </w:r>
      <w:r w:rsidRPr="00027A1F">
        <w:rPr>
          <w:rtl/>
        </w:rPr>
        <w:t>–</w:t>
      </w:r>
      <w:r w:rsidRPr="00027A1F">
        <w:rPr>
          <w:rFonts w:hint="cs"/>
          <w:rtl/>
        </w:rPr>
        <w:t xml:space="preserve"> ולא ברור לי ההבדל בין קליברציה לתוצאות בהקשר של המודל. אותם היבטים נדונים כאן ושם </w:t>
      </w:r>
      <w:r w:rsidRPr="00027A1F">
        <w:rPr>
          <w:rtl/>
        </w:rPr>
        <w:t>–</w:t>
      </w:r>
      <w:r w:rsidRPr="00027A1F">
        <w:rPr>
          <w:rFonts w:hint="cs"/>
          <w:rtl/>
        </w:rPr>
        <w:t xml:space="preserve"> הפיזור, היררכית המשתנים, היחס בין מתחמים ואתרים, וכו' </w:t>
      </w:r>
      <w:r w:rsidRPr="00027A1F">
        <w:rPr>
          <w:rtl/>
        </w:rPr>
        <w:t>–</w:t>
      </w:r>
      <w:r w:rsidRPr="00027A1F">
        <w:rPr>
          <w:rFonts w:hint="cs"/>
          <w:rtl/>
        </w:rPr>
        <w:t xml:space="preserve"> אז מדוע צריך שני תת-פרקים נפרדים?</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0F5A04" w15:done="1"/>
  <w15:commentEx w15:paraId="4CFD2631" w15:done="1"/>
  <w15:commentEx w15:paraId="26AEFE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2523A9" w16cex:dateUtc="2026-06-30T08:56:00Z"/>
  <w16cex:commentExtensible w16cex:durableId="56AC1466" w16cex:dateUtc="2026-06-25T13:48:00Z"/>
  <w16cex:commentExtensible w16cex:durableId="4B316CBE" w16cex:dateUtc="2026-06-30T1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0F5A04" w16cid:durableId="302523A9"/>
  <w16cid:commentId w16cid:paraId="4CFD2631" w16cid:durableId="56AC1466"/>
  <w16cid:commentId w16cid:paraId="26AEFE5E" w16cid:durableId="4B316CB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9AA"/>
    <w:multiLevelType w:val="multilevel"/>
    <w:tmpl w:val="465ED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B54CC"/>
    <w:multiLevelType w:val="multilevel"/>
    <w:tmpl w:val="A414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432F2"/>
    <w:multiLevelType w:val="multilevel"/>
    <w:tmpl w:val="74624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E36C42"/>
    <w:multiLevelType w:val="multilevel"/>
    <w:tmpl w:val="03AA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63D64"/>
    <w:multiLevelType w:val="multilevel"/>
    <w:tmpl w:val="DBD8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54700"/>
    <w:multiLevelType w:val="multilevel"/>
    <w:tmpl w:val="1F0A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00E6A"/>
    <w:multiLevelType w:val="hybridMultilevel"/>
    <w:tmpl w:val="69E022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EF9686C"/>
    <w:multiLevelType w:val="multilevel"/>
    <w:tmpl w:val="638EC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047E46"/>
    <w:multiLevelType w:val="hybridMultilevel"/>
    <w:tmpl w:val="0FE4F1F6"/>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23401A0D"/>
    <w:multiLevelType w:val="multilevel"/>
    <w:tmpl w:val="5202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813F5"/>
    <w:multiLevelType w:val="hybridMultilevel"/>
    <w:tmpl w:val="967A65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6501556"/>
    <w:multiLevelType w:val="multilevel"/>
    <w:tmpl w:val="4EDC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83A4B"/>
    <w:multiLevelType w:val="hybridMultilevel"/>
    <w:tmpl w:val="6FD2313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2B354259"/>
    <w:multiLevelType w:val="multilevel"/>
    <w:tmpl w:val="1CFE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E1A59"/>
    <w:multiLevelType w:val="hybridMultilevel"/>
    <w:tmpl w:val="213A09B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33AD2113"/>
    <w:multiLevelType w:val="multilevel"/>
    <w:tmpl w:val="13B8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E2913"/>
    <w:multiLevelType w:val="multilevel"/>
    <w:tmpl w:val="CFD2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00852"/>
    <w:multiLevelType w:val="multilevel"/>
    <w:tmpl w:val="A68A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929E1"/>
    <w:multiLevelType w:val="multilevel"/>
    <w:tmpl w:val="D54E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022FA"/>
    <w:multiLevelType w:val="multilevel"/>
    <w:tmpl w:val="0FC41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3E143E"/>
    <w:multiLevelType w:val="multilevel"/>
    <w:tmpl w:val="9E523016"/>
    <w:lvl w:ilvl="0">
      <w:start w:val="5"/>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CFD0013"/>
    <w:multiLevelType w:val="multilevel"/>
    <w:tmpl w:val="0CB0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0115C0"/>
    <w:multiLevelType w:val="multilevel"/>
    <w:tmpl w:val="112C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F7744"/>
    <w:multiLevelType w:val="multilevel"/>
    <w:tmpl w:val="6C96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0516C0"/>
    <w:multiLevelType w:val="multilevel"/>
    <w:tmpl w:val="D320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0D0442"/>
    <w:multiLevelType w:val="multilevel"/>
    <w:tmpl w:val="FB3C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9A01FB"/>
    <w:multiLevelType w:val="multilevel"/>
    <w:tmpl w:val="2C4A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F10ED8"/>
    <w:multiLevelType w:val="multilevel"/>
    <w:tmpl w:val="34E4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E73726"/>
    <w:multiLevelType w:val="multilevel"/>
    <w:tmpl w:val="D33C3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416656"/>
    <w:multiLevelType w:val="multilevel"/>
    <w:tmpl w:val="9FE8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1C7C45"/>
    <w:multiLevelType w:val="hybridMultilevel"/>
    <w:tmpl w:val="6EB46D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C0207A1"/>
    <w:multiLevelType w:val="multilevel"/>
    <w:tmpl w:val="AB3E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D75D4C"/>
    <w:multiLevelType w:val="multilevel"/>
    <w:tmpl w:val="0D6C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7E61DE"/>
    <w:multiLevelType w:val="multilevel"/>
    <w:tmpl w:val="AF5E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CE353A"/>
    <w:multiLevelType w:val="multilevel"/>
    <w:tmpl w:val="7FFA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185D01"/>
    <w:multiLevelType w:val="hybridMultilevel"/>
    <w:tmpl w:val="7E4CC40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6" w15:restartNumberingAfterBreak="0">
    <w:nsid w:val="68AD0836"/>
    <w:multiLevelType w:val="multilevel"/>
    <w:tmpl w:val="7B1A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B33962"/>
    <w:multiLevelType w:val="multilevel"/>
    <w:tmpl w:val="2BC2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84293F"/>
    <w:multiLevelType w:val="multilevel"/>
    <w:tmpl w:val="434E5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D83ED8"/>
    <w:multiLevelType w:val="multilevel"/>
    <w:tmpl w:val="37425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3865B3"/>
    <w:multiLevelType w:val="multilevel"/>
    <w:tmpl w:val="C680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414D1F"/>
    <w:multiLevelType w:val="multilevel"/>
    <w:tmpl w:val="C578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A24743"/>
    <w:multiLevelType w:val="multilevel"/>
    <w:tmpl w:val="2AE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A91306"/>
    <w:multiLevelType w:val="multilevel"/>
    <w:tmpl w:val="F99C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C014B5"/>
    <w:multiLevelType w:val="multilevel"/>
    <w:tmpl w:val="3190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F866E2"/>
    <w:multiLevelType w:val="multilevel"/>
    <w:tmpl w:val="7280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F070D6"/>
    <w:multiLevelType w:val="multilevel"/>
    <w:tmpl w:val="27F8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D75BEA"/>
    <w:multiLevelType w:val="hybridMultilevel"/>
    <w:tmpl w:val="D14CFDC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400256036">
    <w:abstractNumId w:val="21"/>
  </w:num>
  <w:num w:numId="2" w16cid:durableId="1066804487">
    <w:abstractNumId w:val="19"/>
  </w:num>
  <w:num w:numId="3" w16cid:durableId="2026445791">
    <w:abstractNumId w:val="29"/>
  </w:num>
  <w:num w:numId="4" w16cid:durableId="1489786881">
    <w:abstractNumId w:val="3"/>
  </w:num>
  <w:num w:numId="5" w16cid:durableId="331110449">
    <w:abstractNumId w:val="1"/>
  </w:num>
  <w:num w:numId="6" w16cid:durableId="1418744805">
    <w:abstractNumId w:val="24"/>
  </w:num>
  <w:num w:numId="7" w16cid:durableId="1714500051">
    <w:abstractNumId w:val="17"/>
  </w:num>
  <w:num w:numId="8" w16cid:durableId="1571034249">
    <w:abstractNumId w:val="43"/>
  </w:num>
  <w:num w:numId="9" w16cid:durableId="1237590097">
    <w:abstractNumId w:val="16"/>
  </w:num>
  <w:num w:numId="10" w16cid:durableId="2079207150">
    <w:abstractNumId w:val="5"/>
  </w:num>
  <w:num w:numId="11" w16cid:durableId="1573008305">
    <w:abstractNumId w:val="18"/>
  </w:num>
  <w:num w:numId="12" w16cid:durableId="1881547060">
    <w:abstractNumId w:val="36"/>
  </w:num>
  <w:num w:numId="13" w16cid:durableId="219706910">
    <w:abstractNumId w:val="32"/>
  </w:num>
  <w:num w:numId="14" w16cid:durableId="1696155112">
    <w:abstractNumId w:val="37"/>
  </w:num>
  <w:num w:numId="15" w16cid:durableId="479926023">
    <w:abstractNumId w:val="42"/>
  </w:num>
  <w:num w:numId="16" w16cid:durableId="1077440388">
    <w:abstractNumId w:val="39"/>
  </w:num>
  <w:num w:numId="17" w16cid:durableId="1558320234">
    <w:abstractNumId w:val="28"/>
  </w:num>
  <w:num w:numId="18" w16cid:durableId="509032085">
    <w:abstractNumId w:val="12"/>
  </w:num>
  <w:num w:numId="19" w16cid:durableId="854420930">
    <w:abstractNumId w:val="8"/>
  </w:num>
  <w:num w:numId="20" w16cid:durableId="1444420585">
    <w:abstractNumId w:val="35"/>
  </w:num>
  <w:num w:numId="21" w16cid:durableId="1822695827">
    <w:abstractNumId w:val="14"/>
  </w:num>
  <w:num w:numId="22" w16cid:durableId="515075435">
    <w:abstractNumId w:val="47"/>
  </w:num>
  <w:num w:numId="23" w16cid:durableId="1168790578">
    <w:abstractNumId w:val="11"/>
  </w:num>
  <w:num w:numId="24" w16cid:durableId="1429429924">
    <w:abstractNumId w:val="4"/>
  </w:num>
  <w:num w:numId="25" w16cid:durableId="1411777286">
    <w:abstractNumId w:val="10"/>
  </w:num>
  <w:num w:numId="26" w16cid:durableId="1865047176">
    <w:abstractNumId w:val="6"/>
  </w:num>
  <w:num w:numId="27" w16cid:durableId="716666998">
    <w:abstractNumId w:val="33"/>
  </w:num>
  <w:num w:numId="28" w16cid:durableId="1985742182">
    <w:abstractNumId w:val="30"/>
  </w:num>
  <w:num w:numId="29" w16cid:durableId="1709840498">
    <w:abstractNumId w:val="7"/>
  </w:num>
  <w:num w:numId="30" w16cid:durableId="322592138">
    <w:abstractNumId w:val="46"/>
  </w:num>
  <w:num w:numId="31" w16cid:durableId="1294746670">
    <w:abstractNumId w:val="22"/>
  </w:num>
  <w:num w:numId="32" w16cid:durableId="1664966783">
    <w:abstractNumId w:val="34"/>
  </w:num>
  <w:num w:numId="33" w16cid:durableId="1503205355">
    <w:abstractNumId w:val="9"/>
  </w:num>
  <w:num w:numId="34" w16cid:durableId="1451046227">
    <w:abstractNumId w:val="25"/>
  </w:num>
  <w:num w:numId="35" w16cid:durableId="2118868218">
    <w:abstractNumId w:val="44"/>
  </w:num>
  <w:num w:numId="36" w16cid:durableId="508836086">
    <w:abstractNumId w:val="23"/>
  </w:num>
  <w:num w:numId="37" w16cid:durableId="36197859">
    <w:abstractNumId w:val="38"/>
  </w:num>
  <w:num w:numId="38" w16cid:durableId="1531914976">
    <w:abstractNumId w:val="15"/>
  </w:num>
  <w:num w:numId="39" w16cid:durableId="1076323473">
    <w:abstractNumId w:val="0"/>
  </w:num>
  <w:num w:numId="40" w16cid:durableId="142045003">
    <w:abstractNumId w:val="31"/>
  </w:num>
  <w:num w:numId="41" w16cid:durableId="1682661518">
    <w:abstractNumId w:val="27"/>
  </w:num>
  <w:num w:numId="42" w16cid:durableId="756946734">
    <w:abstractNumId w:val="41"/>
  </w:num>
  <w:num w:numId="43" w16cid:durableId="197015334">
    <w:abstractNumId w:val="40"/>
  </w:num>
  <w:num w:numId="44" w16cid:durableId="87311245">
    <w:abstractNumId w:val="45"/>
  </w:num>
  <w:num w:numId="45" w16cid:durableId="362170220">
    <w:abstractNumId w:val="26"/>
  </w:num>
  <w:num w:numId="46" w16cid:durableId="988745810">
    <w:abstractNumId w:val="13"/>
  </w:num>
  <w:num w:numId="47" w16cid:durableId="322701201">
    <w:abstractNumId w:val="2"/>
  </w:num>
  <w:num w:numId="48" w16cid:durableId="312489123">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wner">
    <w15:presenceInfo w15:providerId="None" w15:userId="Own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B6"/>
    <w:rsid w:val="001028BB"/>
    <w:rsid w:val="00254BEA"/>
    <w:rsid w:val="004373B6"/>
    <w:rsid w:val="00440BDE"/>
    <w:rsid w:val="004E0418"/>
    <w:rsid w:val="00707506"/>
    <w:rsid w:val="009F7DD1"/>
    <w:rsid w:val="00DA70A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FB1E39-43AD-4D86-951A-AAFBE88C7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BEA"/>
    <w:pPr>
      <w:spacing w:line="259" w:lineRule="auto"/>
      <w:jc w:val="both"/>
    </w:pPr>
    <w:rPr>
      <w:kern w:val="2"/>
      <w:szCs w:val="22"/>
    </w:rPr>
  </w:style>
  <w:style w:type="paragraph" w:styleId="Heading1">
    <w:name w:val="heading 1"/>
    <w:basedOn w:val="Normal"/>
    <w:next w:val="Normal"/>
    <w:link w:val="Heading1Char"/>
    <w:uiPriority w:val="9"/>
    <w:qFormat/>
    <w:rsid w:val="00437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7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73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73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373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3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73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73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73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373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3B6"/>
    <w:rPr>
      <w:rFonts w:eastAsiaTheme="majorEastAsia" w:cstheme="majorBidi"/>
      <w:color w:val="272727" w:themeColor="text1" w:themeTint="D8"/>
    </w:rPr>
  </w:style>
  <w:style w:type="paragraph" w:styleId="Title">
    <w:name w:val="Title"/>
    <w:basedOn w:val="Normal"/>
    <w:next w:val="Normal"/>
    <w:link w:val="TitleChar"/>
    <w:uiPriority w:val="10"/>
    <w:qFormat/>
    <w:rsid w:val="00437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3B6"/>
    <w:pPr>
      <w:spacing w:before="160"/>
      <w:jc w:val="center"/>
    </w:pPr>
    <w:rPr>
      <w:i/>
      <w:iCs/>
      <w:color w:val="404040" w:themeColor="text1" w:themeTint="BF"/>
    </w:rPr>
  </w:style>
  <w:style w:type="character" w:customStyle="1" w:styleId="QuoteChar">
    <w:name w:val="Quote Char"/>
    <w:basedOn w:val="DefaultParagraphFont"/>
    <w:link w:val="Quote"/>
    <w:uiPriority w:val="29"/>
    <w:rsid w:val="004373B6"/>
    <w:rPr>
      <w:i/>
      <w:iCs/>
      <w:color w:val="404040" w:themeColor="text1" w:themeTint="BF"/>
    </w:rPr>
  </w:style>
  <w:style w:type="paragraph" w:styleId="ListParagraph">
    <w:name w:val="List Paragraph"/>
    <w:basedOn w:val="Normal"/>
    <w:uiPriority w:val="34"/>
    <w:qFormat/>
    <w:rsid w:val="004373B6"/>
    <w:pPr>
      <w:ind w:left="720"/>
      <w:contextualSpacing/>
    </w:pPr>
  </w:style>
  <w:style w:type="character" w:styleId="IntenseEmphasis">
    <w:name w:val="Intense Emphasis"/>
    <w:basedOn w:val="DefaultParagraphFont"/>
    <w:uiPriority w:val="21"/>
    <w:qFormat/>
    <w:rsid w:val="004373B6"/>
    <w:rPr>
      <w:i/>
      <w:iCs/>
      <w:color w:val="0F4761" w:themeColor="accent1" w:themeShade="BF"/>
    </w:rPr>
  </w:style>
  <w:style w:type="paragraph" w:styleId="IntenseQuote">
    <w:name w:val="Intense Quote"/>
    <w:basedOn w:val="Normal"/>
    <w:next w:val="Normal"/>
    <w:link w:val="IntenseQuoteChar"/>
    <w:uiPriority w:val="30"/>
    <w:qFormat/>
    <w:rsid w:val="00437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3B6"/>
    <w:rPr>
      <w:i/>
      <w:iCs/>
      <w:color w:val="0F4761" w:themeColor="accent1" w:themeShade="BF"/>
    </w:rPr>
  </w:style>
  <w:style w:type="character" w:styleId="IntenseReference">
    <w:name w:val="Intense Reference"/>
    <w:basedOn w:val="DefaultParagraphFont"/>
    <w:uiPriority w:val="32"/>
    <w:qFormat/>
    <w:rsid w:val="004373B6"/>
    <w:rPr>
      <w:b/>
      <w:bCs/>
      <w:smallCaps/>
      <w:color w:val="0F4761" w:themeColor="accent1" w:themeShade="BF"/>
      <w:spacing w:val="5"/>
    </w:rPr>
  </w:style>
  <w:style w:type="character" w:styleId="CommentReference">
    <w:name w:val="annotation reference"/>
    <w:basedOn w:val="DefaultParagraphFont"/>
    <w:uiPriority w:val="99"/>
    <w:semiHidden/>
    <w:unhideWhenUsed/>
    <w:rsid w:val="00254BEA"/>
    <w:rPr>
      <w:sz w:val="16"/>
      <w:szCs w:val="16"/>
    </w:rPr>
  </w:style>
  <w:style w:type="paragraph" w:styleId="CommentText">
    <w:name w:val="annotation text"/>
    <w:basedOn w:val="Normal"/>
    <w:link w:val="CommentTextChar"/>
    <w:uiPriority w:val="99"/>
    <w:unhideWhenUsed/>
    <w:rsid w:val="00254BEA"/>
    <w:pPr>
      <w:spacing w:line="240" w:lineRule="auto"/>
    </w:pPr>
    <w:rPr>
      <w:sz w:val="20"/>
      <w:szCs w:val="20"/>
    </w:rPr>
  </w:style>
  <w:style w:type="character" w:customStyle="1" w:styleId="CommentTextChar">
    <w:name w:val="Comment Text Char"/>
    <w:basedOn w:val="DefaultParagraphFont"/>
    <w:link w:val="CommentText"/>
    <w:uiPriority w:val="99"/>
    <w:rsid w:val="00254BEA"/>
    <w:rPr>
      <w:kern w:val="2"/>
      <w:sz w:val="20"/>
      <w:szCs w:val="20"/>
    </w:rPr>
  </w:style>
  <w:style w:type="paragraph" w:styleId="CommentSubject">
    <w:name w:val="annotation subject"/>
    <w:basedOn w:val="CommentText"/>
    <w:next w:val="CommentText"/>
    <w:link w:val="CommentSubjectChar"/>
    <w:uiPriority w:val="99"/>
    <w:semiHidden/>
    <w:unhideWhenUsed/>
    <w:rsid w:val="00254BEA"/>
    <w:rPr>
      <w:b/>
      <w:bCs/>
    </w:rPr>
  </w:style>
  <w:style w:type="character" w:customStyle="1" w:styleId="CommentSubjectChar">
    <w:name w:val="Comment Subject Char"/>
    <w:basedOn w:val="CommentTextChar"/>
    <w:link w:val="CommentSubject"/>
    <w:uiPriority w:val="99"/>
    <w:semiHidden/>
    <w:rsid w:val="00254BEA"/>
    <w:rPr>
      <w:b/>
      <w:bCs/>
      <w:kern w:val="2"/>
      <w:sz w:val="20"/>
      <w:szCs w:val="20"/>
    </w:rPr>
  </w:style>
  <w:style w:type="paragraph" w:styleId="Header">
    <w:name w:val="header"/>
    <w:basedOn w:val="Normal"/>
    <w:link w:val="HeaderChar"/>
    <w:uiPriority w:val="99"/>
    <w:unhideWhenUsed/>
    <w:rsid w:val="00254BEA"/>
    <w:pPr>
      <w:tabs>
        <w:tab w:val="center" w:pos="4513"/>
        <w:tab w:val="right" w:pos="9026"/>
      </w:tabs>
      <w:spacing w:after="0" w:line="240" w:lineRule="auto"/>
    </w:pPr>
    <w:rPr>
      <w:szCs w:val="24"/>
    </w:rPr>
  </w:style>
  <w:style w:type="character" w:customStyle="1" w:styleId="HeaderChar">
    <w:name w:val="Header Char"/>
    <w:basedOn w:val="DefaultParagraphFont"/>
    <w:link w:val="Header"/>
    <w:uiPriority w:val="99"/>
    <w:rsid w:val="00254BEA"/>
    <w:rPr>
      <w:kern w:val="2"/>
    </w:rPr>
  </w:style>
  <w:style w:type="paragraph" w:styleId="Footer">
    <w:name w:val="footer"/>
    <w:basedOn w:val="Normal"/>
    <w:link w:val="FooterChar"/>
    <w:uiPriority w:val="99"/>
    <w:unhideWhenUsed/>
    <w:rsid w:val="00254BEA"/>
    <w:pPr>
      <w:tabs>
        <w:tab w:val="center" w:pos="4513"/>
        <w:tab w:val="right" w:pos="9026"/>
      </w:tabs>
      <w:spacing w:after="0" w:line="240" w:lineRule="auto"/>
    </w:pPr>
    <w:rPr>
      <w:szCs w:val="24"/>
    </w:rPr>
  </w:style>
  <w:style w:type="character" w:customStyle="1" w:styleId="FooterChar">
    <w:name w:val="Footer Char"/>
    <w:basedOn w:val="DefaultParagraphFont"/>
    <w:link w:val="Footer"/>
    <w:uiPriority w:val="99"/>
    <w:rsid w:val="00254BEA"/>
    <w:rPr>
      <w:kern w:val="2"/>
    </w:rPr>
  </w:style>
  <w:style w:type="character" w:styleId="LineNumber">
    <w:name w:val="line number"/>
    <w:basedOn w:val="DefaultParagraphFont"/>
    <w:uiPriority w:val="99"/>
    <w:semiHidden/>
    <w:unhideWhenUsed/>
    <w:rsid w:val="00254BEA"/>
  </w:style>
  <w:style w:type="paragraph" w:styleId="FootnoteText">
    <w:name w:val="footnote text"/>
    <w:basedOn w:val="Normal"/>
    <w:link w:val="FootnoteTextChar"/>
    <w:uiPriority w:val="99"/>
    <w:semiHidden/>
    <w:unhideWhenUsed/>
    <w:rsid w:val="00254BE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54BEA"/>
    <w:rPr>
      <w:kern w:val="2"/>
      <w:sz w:val="20"/>
      <w:szCs w:val="20"/>
    </w:rPr>
  </w:style>
  <w:style w:type="character" w:styleId="FootnoteReference">
    <w:name w:val="footnote reference"/>
    <w:basedOn w:val="DefaultParagraphFont"/>
    <w:uiPriority w:val="99"/>
    <w:semiHidden/>
    <w:unhideWhenUsed/>
    <w:rsid w:val="00254BEA"/>
    <w:rPr>
      <w:vertAlign w:val="superscript"/>
    </w:rPr>
  </w:style>
  <w:style w:type="character" w:styleId="EndnoteReference">
    <w:name w:val="endnote reference"/>
    <w:basedOn w:val="DefaultParagraphFont"/>
    <w:uiPriority w:val="99"/>
    <w:semiHidden/>
    <w:unhideWhenUsed/>
    <w:rsid w:val="00254BEA"/>
    <w:rPr>
      <w:vertAlign w:val="superscript"/>
    </w:rPr>
  </w:style>
  <w:style w:type="paragraph" w:styleId="BodyText">
    <w:name w:val="Body Text"/>
    <w:basedOn w:val="Normal"/>
    <w:link w:val="BodyTextChar"/>
    <w:rsid w:val="00254BEA"/>
    <w:pPr>
      <w:spacing w:before="180" w:after="180"/>
    </w:pPr>
    <w:rPr>
      <w:rFonts w:eastAsiaTheme="minorEastAsia"/>
      <w:kern w:val="0"/>
      <w:lang w:val="en-US" w:bidi="ar-SA"/>
      <w14:ligatures w14:val="none"/>
    </w:rPr>
  </w:style>
  <w:style w:type="character" w:customStyle="1" w:styleId="BodyTextChar">
    <w:name w:val="Body Text Char"/>
    <w:basedOn w:val="DefaultParagraphFont"/>
    <w:link w:val="BodyText"/>
    <w:rsid w:val="00254BEA"/>
    <w:rPr>
      <w:rFonts w:eastAsiaTheme="minorEastAsia"/>
      <w:szCs w:val="22"/>
      <w:lang w:val="en-US" w:bidi="ar-SA"/>
      <w14:ligatures w14:val="none"/>
    </w:rPr>
  </w:style>
  <w:style w:type="paragraph" w:customStyle="1" w:styleId="FirstParagraph">
    <w:name w:val="First Paragraph"/>
    <w:basedOn w:val="BodyText"/>
    <w:next w:val="BodyText"/>
    <w:rsid w:val="00254BEA"/>
  </w:style>
  <w:style w:type="character" w:styleId="Hyperlink">
    <w:name w:val="Hyperlink"/>
    <w:basedOn w:val="DefaultParagraphFont"/>
    <w:uiPriority w:val="99"/>
    <w:rsid w:val="00254BEA"/>
    <w:rPr>
      <w:b/>
      <w:bCs/>
      <w:smallCaps/>
      <w:color w:val="156082" w:themeColor="accent1"/>
    </w:rPr>
  </w:style>
  <w:style w:type="paragraph" w:styleId="Bibliography">
    <w:name w:val="Bibliography"/>
    <w:basedOn w:val="Normal"/>
    <w:next w:val="Normal"/>
    <w:uiPriority w:val="37"/>
    <w:unhideWhenUsed/>
    <w:rsid w:val="00254BEA"/>
  </w:style>
  <w:style w:type="character" w:styleId="UnresolvedMention">
    <w:name w:val="Unresolved Mention"/>
    <w:basedOn w:val="DefaultParagraphFont"/>
    <w:uiPriority w:val="99"/>
    <w:semiHidden/>
    <w:unhideWhenUsed/>
    <w:rsid w:val="00254BEA"/>
    <w:rPr>
      <w:color w:val="605E5C"/>
      <w:shd w:val="clear" w:color="auto" w:fill="E1DFDD"/>
    </w:rPr>
  </w:style>
  <w:style w:type="character" w:styleId="FollowedHyperlink">
    <w:name w:val="FollowedHyperlink"/>
    <w:basedOn w:val="DefaultParagraphFont"/>
    <w:uiPriority w:val="99"/>
    <w:semiHidden/>
    <w:unhideWhenUsed/>
    <w:rsid w:val="00254BEA"/>
    <w:rPr>
      <w:color w:val="96607D" w:themeColor="followedHyperlink"/>
      <w:u w:val="single"/>
    </w:rPr>
  </w:style>
  <w:style w:type="paragraph" w:styleId="Revision">
    <w:name w:val="Revision"/>
    <w:hidden/>
    <w:uiPriority w:val="99"/>
    <w:semiHidden/>
    <w:rsid w:val="00254BEA"/>
    <w:pPr>
      <w:spacing w:after="0" w:line="240" w:lineRule="auto"/>
    </w:pPr>
    <w:rPr>
      <w:kern w:val="2"/>
      <w:szCs w:val="22"/>
      <w:lang w:val="en-IL"/>
    </w:rPr>
  </w:style>
  <w:style w:type="paragraph" w:styleId="NoSpacing">
    <w:name w:val="No Spacing"/>
    <w:link w:val="NoSpacingChar"/>
    <w:uiPriority w:val="1"/>
    <w:qFormat/>
    <w:rsid w:val="00254BEA"/>
    <w:pPr>
      <w:spacing w:after="0" w:line="240" w:lineRule="auto"/>
    </w:pPr>
    <w:rPr>
      <w:rFonts w:eastAsiaTheme="minorEastAsia"/>
      <w:sz w:val="22"/>
      <w:szCs w:val="22"/>
      <w:lang w:val="en-US" w:bidi="ar-SA"/>
      <w14:ligatures w14:val="none"/>
    </w:rPr>
  </w:style>
  <w:style w:type="character" w:customStyle="1" w:styleId="NoSpacingChar">
    <w:name w:val="No Spacing Char"/>
    <w:basedOn w:val="DefaultParagraphFont"/>
    <w:link w:val="NoSpacing"/>
    <w:uiPriority w:val="1"/>
    <w:rsid w:val="00254BEA"/>
    <w:rPr>
      <w:rFonts w:eastAsiaTheme="minorEastAsia"/>
      <w:sz w:val="22"/>
      <w:szCs w:val="22"/>
      <w:lang w:val="en-US" w:bidi="ar-SA"/>
      <w14:ligatures w14:val="none"/>
    </w:rPr>
  </w:style>
  <w:style w:type="paragraph" w:styleId="NormalWeb">
    <w:name w:val="Normal (Web)"/>
    <w:basedOn w:val="Normal"/>
    <w:uiPriority w:val="99"/>
    <w:semiHidden/>
    <w:unhideWhenUsed/>
    <w:rsid w:val="00254BEA"/>
    <w:rPr>
      <w:rFonts w:ascii="Times New Roman" w:hAnsi="Times New Roman" w:cs="Times New Roman"/>
      <w:szCs w:val="24"/>
    </w:rPr>
  </w:style>
  <w:style w:type="character" w:styleId="PlaceholderText">
    <w:name w:val="Placeholder Text"/>
    <w:basedOn w:val="DefaultParagraphFont"/>
    <w:uiPriority w:val="99"/>
    <w:semiHidden/>
    <w:rsid w:val="00254BEA"/>
    <w:rPr>
      <w:color w:val="666666"/>
    </w:rPr>
  </w:style>
  <w:style w:type="paragraph" w:styleId="TOCHeading">
    <w:name w:val="TOC Heading"/>
    <w:basedOn w:val="Heading1"/>
    <w:next w:val="Normal"/>
    <w:uiPriority w:val="39"/>
    <w:unhideWhenUsed/>
    <w:qFormat/>
    <w:rsid w:val="00254BEA"/>
    <w:pPr>
      <w:spacing w:before="240" w:after="0"/>
      <w:outlineLvl w:val="9"/>
    </w:pPr>
    <w:rPr>
      <w:sz w:val="32"/>
      <w:szCs w:val="32"/>
      <w:lang w:val="en-US" w:bidi="ar-SA"/>
      <w14:ligatures w14:val="none"/>
    </w:rPr>
  </w:style>
  <w:style w:type="paragraph" w:styleId="TOC1">
    <w:name w:val="toc 1"/>
    <w:basedOn w:val="Normal"/>
    <w:next w:val="Normal"/>
    <w:autoRedefine/>
    <w:uiPriority w:val="39"/>
    <w:unhideWhenUsed/>
    <w:rsid w:val="00254BEA"/>
    <w:pPr>
      <w:spacing w:before="120" w:after="0"/>
      <w:jc w:val="left"/>
    </w:pPr>
    <w:rPr>
      <w:rFonts w:cs="Times New Roman"/>
      <w:b/>
      <w:bCs/>
      <w:i/>
      <w:iCs/>
      <w:szCs w:val="24"/>
    </w:rPr>
  </w:style>
  <w:style w:type="paragraph" w:styleId="TOC2">
    <w:name w:val="toc 2"/>
    <w:basedOn w:val="Normal"/>
    <w:next w:val="Normal"/>
    <w:autoRedefine/>
    <w:uiPriority w:val="39"/>
    <w:unhideWhenUsed/>
    <w:rsid w:val="00254BEA"/>
    <w:pPr>
      <w:spacing w:before="120" w:after="0"/>
      <w:ind w:left="240"/>
      <w:jc w:val="left"/>
    </w:pPr>
    <w:rPr>
      <w:rFonts w:cs="Times New Roman"/>
      <w:bCs/>
      <w:sz w:val="22"/>
    </w:rPr>
  </w:style>
  <w:style w:type="paragraph" w:styleId="TOC3">
    <w:name w:val="toc 3"/>
    <w:basedOn w:val="Normal"/>
    <w:next w:val="Normal"/>
    <w:autoRedefine/>
    <w:uiPriority w:val="39"/>
    <w:unhideWhenUsed/>
    <w:rsid w:val="00254BEA"/>
    <w:pPr>
      <w:spacing w:after="0"/>
      <w:ind w:left="480"/>
      <w:jc w:val="left"/>
    </w:pPr>
    <w:rPr>
      <w:rFonts w:cs="Times New Roman"/>
      <w:sz w:val="20"/>
      <w:szCs w:val="20"/>
    </w:rPr>
  </w:style>
  <w:style w:type="paragraph" w:styleId="TOC4">
    <w:name w:val="toc 4"/>
    <w:basedOn w:val="Normal"/>
    <w:next w:val="Normal"/>
    <w:autoRedefine/>
    <w:uiPriority w:val="39"/>
    <w:unhideWhenUsed/>
    <w:rsid w:val="00254BEA"/>
    <w:pPr>
      <w:spacing w:after="0"/>
      <w:ind w:left="720"/>
      <w:jc w:val="left"/>
    </w:pPr>
    <w:rPr>
      <w:rFonts w:cs="Times New Roman"/>
      <w:sz w:val="20"/>
      <w:szCs w:val="20"/>
    </w:rPr>
  </w:style>
  <w:style w:type="paragraph" w:styleId="TOC5">
    <w:name w:val="toc 5"/>
    <w:basedOn w:val="Normal"/>
    <w:next w:val="Normal"/>
    <w:autoRedefine/>
    <w:uiPriority w:val="39"/>
    <w:unhideWhenUsed/>
    <w:rsid w:val="00254BEA"/>
    <w:pPr>
      <w:spacing w:after="0"/>
      <w:ind w:left="960"/>
      <w:jc w:val="left"/>
    </w:pPr>
    <w:rPr>
      <w:rFonts w:cs="Times New Roman"/>
      <w:sz w:val="20"/>
      <w:szCs w:val="20"/>
    </w:rPr>
  </w:style>
  <w:style w:type="paragraph" w:styleId="TOC6">
    <w:name w:val="toc 6"/>
    <w:basedOn w:val="Normal"/>
    <w:next w:val="Normal"/>
    <w:autoRedefine/>
    <w:uiPriority w:val="39"/>
    <w:unhideWhenUsed/>
    <w:rsid w:val="00254BEA"/>
    <w:pPr>
      <w:spacing w:after="0"/>
      <w:ind w:left="1200"/>
      <w:jc w:val="left"/>
    </w:pPr>
    <w:rPr>
      <w:rFonts w:cs="Times New Roman"/>
      <w:sz w:val="20"/>
      <w:szCs w:val="20"/>
    </w:rPr>
  </w:style>
  <w:style w:type="paragraph" w:styleId="TOC7">
    <w:name w:val="toc 7"/>
    <w:basedOn w:val="Normal"/>
    <w:next w:val="Normal"/>
    <w:autoRedefine/>
    <w:uiPriority w:val="39"/>
    <w:unhideWhenUsed/>
    <w:rsid w:val="00254BEA"/>
    <w:pPr>
      <w:spacing w:after="0"/>
      <w:ind w:left="1440"/>
      <w:jc w:val="left"/>
    </w:pPr>
    <w:rPr>
      <w:rFonts w:cs="Times New Roman"/>
      <w:sz w:val="20"/>
      <w:szCs w:val="20"/>
    </w:rPr>
  </w:style>
  <w:style w:type="paragraph" w:styleId="TOC8">
    <w:name w:val="toc 8"/>
    <w:basedOn w:val="Normal"/>
    <w:next w:val="Normal"/>
    <w:autoRedefine/>
    <w:uiPriority w:val="39"/>
    <w:unhideWhenUsed/>
    <w:rsid w:val="00254BEA"/>
    <w:pPr>
      <w:spacing w:after="0"/>
      <w:ind w:left="1680"/>
      <w:jc w:val="left"/>
    </w:pPr>
    <w:rPr>
      <w:rFonts w:cs="Times New Roman"/>
      <w:sz w:val="20"/>
      <w:szCs w:val="20"/>
    </w:rPr>
  </w:style>
  <w:style w:type="paragraph" w:styleId="TOC9">
    <w:name w:val="toc 9"/>
    <w:basedOn w:val="Normal"/>
    <w:next w:val="Normal"/>
    <w:autoRedefine/>
    <w:uiPriority w:val="39"/>
    <w:unhideWhenUsed/>
    <w:rsid w:val="00254BEA"/>
    <w:pPr>
      <w:spacing w:after="0"/>
      <w:ind w:left="1920"/>
      <w:jc w:val="left"/>
    </w:pPr>
    <w:rPr>
      <w:rFont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12040</Words>
  <Characters>68632</Characters>
  <Application>Microsoft Office Word</Application>
  <DocSecurity>0</DocSecurity>
  <Lines>571</Lines>
  <Paragraphs>161</Paragraphs>
  <ScaleCrop>false</ScaleCrop>
  <Company/>
  <LinksUpToDate>false</LinksUpToDate>
  <CharactersWithSpaces>80511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Itay lubel</dc:creator>
  <cp:keywords/>
  <dc:description/>
  <cp:lastModifiedBy>Itay lubel</cp:lastModifiedBy>
  <cp:revision>2</cp:revision>
  <dcterms:created xsi:type="dcterms:W3CDTF">2026-07-13T10:07:00Z</dcterms:created>
  <dcterms:modified xsi:type="dcterms:W3CDTF">2026-07-13T10:08:00Z</dcterms:modified>
</cp:coreProperties>
</file>