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164BD">
      <w:bookmarkStart w:id="0" w:name="_GoBack"/>
      <w:bookmarkEnd w:id="0"/>
    </w:p>
    <w:p w14:paraId="16C7B986"/>
    <w:p w14:paraId="6B752C78"/>
    <w:p w14:paraId="3F70B56B"/>
    <w:p w14:paraId="4BEA40A3"/>
    <w:p w14:paraId="6C3AB1D4"/>
    <w:p w14:paraId="0FC07687">
      <w:pPr>
        <w:jc w:val="center"/>
      </w:pPr>
      <w:r>
        <w:rPr>
          <w:rFonts w:ascii="WenQuanYi Micro Hei" w:hAnsi="WenQuanYi Micro Hei" w:eastAsia="WenQuanYi Micro Hei"/>
          <w:b/>
          <w:i w:val="0"/>
          <w:color w:val="1F4E79"/>
          <w:sz w:val="48"/>
        </w:rPr>
        <w:t>统一大数据平台监管报送架构设计</w:t>
      </w:r>
    </w:p>
    <w:p w14:paraId="1C93DABF"/>
    <w:p w14:paraId="76BF62C2">
      <w:pPr>
        <w:jc w:val="center"/>
      </w:pPr>
      <w:r>
        <w:rPr>
          <w:rFonts w:ascii="WenQuanYi Micro Hei" w:hAnsi="WenQuanYi Micro Hei" w:eastAsia="WenQuanYi Micro Hei"/>
          <w:b w:val="0"/>
          <w:i w:val="0"/>
          <w:color w:val="2E75B6"/>
          <w:sz w:val="28"/>
        </w:rPr>
        <w:t>覆盖 YBT / EAST / 1104 / BOP / LVT 五报送</w:t>
      </w:r>
    </w:p>
    <w:p w14:paraId="34A83940">
      <w:pPr>
        <w:jc w:val="center"/>
      </w:pPr>
      <w:r>
        <w:rPr>
          <w:rFonts w:ascii="WenQuanYi Micro Hei" w:hAnsi="WenQuanYi Micro Hei" w:eastAsia="WenQuanYi Micro Hei"/>
          <w:b w:val="0"/>
          <w:i w:val="0"/>
          <w:color w:val="666666"/>
          <w:sz w:val="24"/>
        </w:rPr>
        <w:t>基于 GCP + Collibra + DQ Hub + OpenLineage</w:t>
      </w:r>
    </w:p>
    <w:p w14:paraId="17915540">
      <w:r>
        <w:br w:type="page"/>
      </w:r>
    </w:p>
    <w:p w14:paraId="53FFFE2E">
      <w:r>
        <w:br w:type="page"/>
      </w:r>
    </w:p>
    <w:p w14:paraId="687F2AF4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第一部分：统一数仓分层设计（ODS → DWD → DWS → ADS）</w:t>
      </w:r>
    </w:p>
    <w:p w14:paraId="2467975A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核心原则：ODS 分源、DIM 全局共享、DWD 按业务过程建模（Kimball）、DWS 按监管主题汇总、ADS 按监管机构隔离。</w:t>
      </w:r>
    </w:p>
    <w:p w14:paraId="60A59063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1. ODS（Operational Data Store）— 贴源层</w:t>
      </w:r>
    </w:p>
    <w:p w14:paraId="26F706FA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定位：数仓入口，完整镜像源系统数据，不加业务逻辑，满足监管“数据可追溯、可重跑”。</w:t>
      </w:r>
    </w:p>
    <w:p w14:paraId="43AA74CA">
      <w:pPr>
        <w:spacing w:before="200" w:after="120"/>
      </w:pPr>
      <w:r>
        <w:rPr>
          <w:rFonts w:ascii="WenQuanYi Micro Hei" w:hAnsi="WenQuanYi Micro Hei" w:eastAsia="WenQuanYi Micro Hei"/>
          <w:b/>
          <w:i w:val="0"/>
          <w:color w:val="2E75B6"/>
          <w:sz w:val="24"/>
        </w:rPr>
        <w:t>典型接入源表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13"/>
        <w:gridCol w:w="4513"/>
      </w:tblGrid>
      <w:tr w14:paraId="3C3F894A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1587F21C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源系统</w:t>
            </w:r>
          </w:p>
        </w:tc>
        <w:tc>
          <w:tcPr>
            <w:tcW w:w="2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9DC4100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ODS 表例</w:t>
            </w:r>
          </w:p>
        </w:tc>
        <w:tc>
          <w:tcPr>
            <w:tcW w:w="4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0F8E601A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主要内容</w:t>
            </w:r>
          </w:p>
        </w:tc>
      </w:tr>
      <w:tr w14:paraId="1C2F3D1A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2BEC7D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核心系统</w:t>
            </w:r>
          </w:p>
        </w:tc>
        <w:tc>
          <w:tcPr>
            <w:tcW w:w="2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B2BD8A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ods_core_trans_di</w:t>
            </w:r>
          </w:p>
        </w:tc>
        <w:tc>
          <w:tcPr>
            <w:tcW w:w="4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537F77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存取款交易、账户余额、币种、开/销户日期</w:t>
            </w:r>
          </w:p>
        </w:tc>
      </w:tr>
      <w:tr w14:paraId="6CCF0C44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DBC435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信贷系统</w:t>
            </w:r>
          </w:p>
        </w:tc>
        <w:tc>
          <w:tcPr>
            <w:tcW w:w="2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8BFF58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ods_loan_contract_di</w:t>
            </w:r>
          </w:p>
        </w:tc>
        <w:tc>
          <w:tcPr>
            <w:tcW w:w="4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12C876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借据号、合同金额、期限、利率、担保方式、放款状态</w:t>
            </w:r>
          </w:p>
        </w:tc>
      </w:tr>
      <w:tr w14:paraId="4A7D850D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776A51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国际结算</w:t>
            </w:r>
          </w:p>
        </w:tc>
        <w:tc>
          <w:tcPr>
            <w:tcW w:w="2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CC943E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ods_forex_swift_di</w:t>
            </w:r>
          </w:p>
        </w:tc>
        <w:tc>
          <w:tcPr>
            <w:tcW w:w="4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471F0C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SWIFT 报文解析后的涉外收付款记录</w:t>
            </w:r>
          </w:p>
        </w:tc>
      </w:tr>
      <w:tr w14:paraId="2FF0AE26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D7728C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理财系统</w:t>
            </w:r>
          </w:p>
        </w:tc>
        <w:tc>
          <w:tcPr>
            <w:tcW w:w="2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808911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ods_wealth_hold_di</w:t>
            </w:r>
          </w:p>
        </w:tc>
        <w:tc>
          <w:tcPr>
            <w:tcW w:w="4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DEACDF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产品信息、客户持有份额、净值</w:t>
            </w:r>
          </w:p>
        </w:tc>
      </w:tr>
      <w:tr w14:paraId="487BF103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8948FF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CIF</w:t>
            </w:r>
          </w:p>
        </w:tc>
        <w:tc>
          <w:tcPr>
            <w:tcW w:w="2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F37861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ods_cust_info_df</w:t>
            </w:r>
          </w:p>
        </w:tc>
        <w:tc>
          <w:tcPr>
            <w:tcW w:w="4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74EA8D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客户号、证件类型/号、客户性质、行业代码</w:t>
            </w:r>
          </w:p>
        </w:tc>
      </w:tr>
    </w:tbl>
    <w:p w14:paraId="11C72E32"/>
    <w:p w14:paraId="23C4E0AB">
      <w:pPr>
        <w:spacing w:before="200" w:after="120"/>
      </w:pPr>
      <w:r>
        <w:rPr>
          <w:rFonts w:ascii="WenQuanYi Micro Hei" w:hAnsi="WenQuanYi Micro Hei" w:eastAsia="WenQuanYi Micro Hei"/>
          <w:b/>
          <w:i w:val="0"/>
          <w:color w:val="2E75B6"/>
          <w:sz w:val="24"/>
        </w:rPr>
        <w:t>ODS 设计要点</w:t>
      </w:r>
    </w:p>
    <w:p w14:paraId="76EEF3A0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• 按源系统分 schema（ods_core / ods_loan / ods_forex / ods_cif / ods_wealth / ods_gl）</w:t>
      </w:r>
    </w:p>
    <w:p w14:paraId="550A45D9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• 字段名/类型尽量与源库一致，PARTITIONED BY (dt STRING)</w:t>
      </w:r>
    </w:p>
    <w:p w14:paraId="741DD4B3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• 仅加审计字段（_load_time、_batch_id、_src_sys）</w:t>
      </w:r>
    </w:p>
    <w:p w14:paraId="0DEE70F5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• 保留原始币种原金额，供监管核查溯源</w:t>
      </w:r>
    </w:p>
    <w:p w14:paraId="549FB352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2. DIM（公共一致性维度层）</w:t>
      </w:r>
    </w:p>
    <w:p w14:paraId="4FB7BB6A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全行唯一版本，SCD Type2 拉链表，码值映射 → 监管标准（一表通/EAST/1104/BOP 共用）。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026"/>
        <w:gridCol w:w="3000"/>
      </w:tblGrid>
      <w:tr w14:paraId="2E884D85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19674395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维度表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57E09749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关键字段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25CFFA8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59DA4150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ECBBE1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dim_cust（SCD2）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3AFE4C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customer_key、证件类型/号、客户性质、行业代码、常驻国别、生效/失效时间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FAF9E4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保留客户信息历史变更</w:t>
            </w:r>
          </w:p>
        </w:tc>
      </w:tr>
      <w:tr w14:paraId="1E37B0F8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129478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dim_acct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149FE2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账号、账户性质、币种、开户机构key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B0736A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账户维度</w:t>
            </w:r>
          </w:p>
        </w:tc>
      </w:tr>
      <w:tr w14:paraId="5B77BBF2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EC43EC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dim_org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C16225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org_key、机构号、金融机构标识码、所属分行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E7BFB8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机构维度</w:t>
            </w:r>
          </w:p>
        </w:tc>
      </w:tr>
      <w:tr w14:paraId="60D69B07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F271F2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dim_prod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2DB60D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prod_key、产品类型、会计科目映射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53C56F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产品维度</w:t>
            </w:r>
          </w:p>
        </w:tc>
      </w:tr>
      <w:tr w14:paraId="25407DC5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FC1C81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dim_industry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944E9C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GB/T + 一表通/1104 映射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94D021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贷款投向</w:t>
            </w:r>
          </w:p>
        </w:tc>
      </w:tr>
      <w:tr w14:paraId="09C33243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F4BC58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dim_country_code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E496B6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ISO、外管局国别码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619642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BOP/JW 标识</w:t>
            </w:r>
          </w:p>
        </w:tc>
      </w:tr>
      <w:tr w14:paraId="6258C69E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825FA8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dim_dict_reg</w:t>
            </w:r>
          </w:p>
        </w:tc>
        <w:tc>
          <w:tcPr>
            <w:tcW w:w="4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733251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行内码 → 监管码（担保方式/五级分类/证件类型等）</w:t>
            </w:r>
          </w:p>
        </w:tc>
        <w:tc>
          <w:tcPr>
            <w:tcW w:w="3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021C0C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统一码值映射</w:t>
            </w:r>
          </w:p>
        </w:tc>
      </w:tr>
    </w:tbl>
    <w:p w14:paraId="0EC1C60A"/>
    <w:p w14:paraId="71D9D204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3. DWD（Data Warehouse Detail）— 标准化明细事实层</w:t>
      </w:r>
    </w:p>
    <w:p w14:paraId="4D91ADBB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按业务过程（Business Process）建模，粒度 = 最小业务事件。币种存原币 + 折合 CNY + USD + 汇率。</w:t>
      </w:r>
    </w:p>
    <w:p w14:paraId="6D7A3611">
      <w:pPr>
        <w:spacing w:before="200" w:after="120"/>
      </w:pPr>
      <w:r>
        <w:rPr>
          <w:rFonts w:ascii="WenQuanYi Micro Hei" w:hAnsi="WenQuanYi Micro Hei" w:eastAsia="WenQuanYi Micro Hei"/>
          <w:b/>
          <w:i w:val="0"/>
          <w:color w:val="2E75B6"/>
          <w:sz w:val="24"/>
        </w:rPr>
        <w:t>核心 DWD 表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5826"/>
      </w:tblGrid>
      <w:tr w14:paraId="3876F82A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AB5D962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DWD 表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1A5741E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内容 / 用途</w:t>
            </w:r>
          </w:p>
        </w:tc>
      </w:tr>
      <w:tr w14:paraId="3294BA78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714E10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dwd_aml_trans_detail_di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63B5CB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所有资金交易明细 → 人行大额反洗钱 + EAST + 1104</w:t>
            </w:r>
          </w:p>
        </w:tc>
      </w:tr>
      <w:tr w14:paraId="76FF1CDF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DD26B5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dwd_fx_payment_di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B288F3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涉外收付款明细 → BOP + EAST 涉外 + 1104 涉外校验</w:t>
            </w:r>
          </w:p>
        </w:tc>
      </w:tr>
      <w:tr w14:paraId="0C7B9675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0F9BAA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dwd_loan_contract_di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A9717A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贷款合同/借据 → 一表通 + EAST + 1104</w:t>
            </w:r>
          </w:p>
        </w:tc>
      </w:tr>
      <w:tr w14:paraId="3666A10F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48076A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dwd_loan_disburse_di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B3C1C1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放款流水</w:t>
            </w:r>
          </w:p>
        </w:tc>
      </w:tr>
      <w:tr w14:paraId="6E2EF14E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5B311B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dwd_loan_repay_di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D34758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还本/付息/逾期/核销</w:t>
            </w:r>
          </w:p>
        </w:tc>
      </w:tr>
      <w:tr w14:paraId="7ABE71D7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6813B7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dwd_deposit_acct_di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6782E0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存款账户余额/属性 → 一表通 + EAST + 1104</w:t>
            </w:r>
          </w:p>
        </w:tc>
      </w:tr>
      <w:tr w14:paraId="0A538DE2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0ACBA9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dwd_interbank_deal_di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9CBF80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同业拆放/买入返售 → 一表通 + 1104</w:t>
            </w:r>
          </w:p>
        </w:tc>
      </w:tr>
      <w:tr w14:paraId="54E9A280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78220F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dwd_wealth_hold_di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AC47D5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理财持有 → 一表通 + EAST</w:t>
            </w:r>
          </w:p>
        </w:tc>
      </w:tr>
    </w:tbl>
    <w:p w14:paraId="6362CF00"/>
    <w:p w14:paraId="28E27253">
      <w:pPr>
        <w:spacing w:before="200" w:after="120"/>
      </w:pPr>
      <w:r>
        <w:rPr>
          <w:rFonts w:ascii="WenQuanYi Micro Hei" w:hAnsi="WenQuanYi Micro Hei" w:eastAsia="WenQuanYi Micro Hei"/>
          <w:b/>
          <w:i w:val="0"/>
          <w:color w:val="2E75B6"/>
          <w:sz w:val="24"/>
        </w:rPr>
        <w:t>DWD 关键字段设计（应对交易拆分场景）</w:t>
      </w:r>
    </w:p>
    <w:p w14:paraId="76A80F15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以联名账户、SWIFT 拆笔等场景为例，DWD 需额外存储：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3113"/>
        <w:gridCol w:w="3113"/>
      </w:tblGrid>
      <w:tr w14:paraId="6A6E9140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5E237E1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44101E1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6A89A33E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0D4CFA47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7E1895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biz_event_no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DF8C6B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业务事件归并号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CBCDE8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联名两行同号、SWIFT 拆笔同行</w:t>
            </w:r>
          </w:p>
        </w:tc>
      </w:tr>
      <w:tr w14:paraId="5ED7CAA3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D83E1C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trans_amt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363BC7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会计份额金额（联名 A=5 万）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9FD1B1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EAST 用此列</w:t>
            </w:r>
          </w:p>
        </w:tc>
      </w:tr>
      <w:tr w14:paraId="15D45358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D43B5B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trans_amt_event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6E3340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监管业务口径金额（联名整笔=10 万）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4CB331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BOP/LVT/1104 用此列</w:t>
            </w:r>
          </w:p>
        </w:tc>
      </w:tr>
      <w:tr w14:paraId="30A92391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F5901C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share_ratio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D66F5C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本行占 event 比例（50%）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93ED92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联名账户专用</w:t>
            </w:r>
          </w:p>
        </w:tc>
      </w:tr>
      <w:tr w14:paraId="5C005926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B81645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customer_key / related_cust_key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E63165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双客户挂接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5C0E16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联名 A/B 各进各栏（1104）</w:t>
            </w:r>
          </w:p>
        </w:tc>
      </w:tr>
      <w:tr w14:paraId="07B13092">
        <w:trPr>
          <w:jc w:val="center"/>
        </w:trPr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CEBFF2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trans_type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40D379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PRINCIPAL / FEE / COR_BANK</w:t>
            </w:r>
          </w:p>
        </w:tc>
        <w:tc>
          <w:tcPr>
            <w:tcW w:w="31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AE0B86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SWIFT 拆笔归并</w:t>
            </w:r>
          </w:p>
        </w:tc>
      </w:tr>
    </w:tbl>
    <w:p w14:paraId="1A0B16FE"/>
    <w:p w14:paraId="2EA5A6C6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CC0000"/>
          <w:sz w:val="22"/>
        </w:rPr>
        <w:t>DWD 层铁律：所有监管报送只许引用 DWD（或 DIM），不许回抽 ODS。</w:t>
      </w:r>
    </w:p>
    <w:p w14:paraId="78C859A3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4. DWS（Data Warehouse Summary）— 监管主题汇总层</w:t>
      </w:r>
    </w:p>
    <w:p w14:paraId="160FA746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按监管主题（而非按报送）轻度/中度聚合，供五报送 + 内控看板复用。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5755"/>
      </w:tblGrid>
      <w:tr w14:paraId="00092D97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4FE517B6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DWS 表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71011E6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分组键 / 指标</w:t>
            </w:r>
          </w:p>
        </w:tc>
      </w:tr>
      <w:tr w14:paraId="73FB8E86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35D324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dws_loan_org_monthly_sum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926E87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month, org, prod, five_class, industry → 贷款余额、累放、累收、逾期、不良</w:t>
            </w:r>
          </w:p>
        </w:tc>
      </w:tr>
      <w:tr w14:paraId="172DBCA4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0932D2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dws_deposit_org_daily_sum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E13400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biz_date, org, deposit_type, ccy → 余额、账户数</w:t>
            </w:r>
          </w:p>
        </w:tc>
      </w:tr>
      <w:tr w14:paraId="5D595464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177A40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dws_fx_cust_daily_sum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F153AE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biz_date, customer, direction → 涉外收付折 USD/CNY</w:t>
            </w:r>
          </w:p>
        </w:tc>
      </w:tr>
      <w:tr w14:paraId="5A704B19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EDCE41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dws_aml_cust_daily_trans_sum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58B938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biz_date, customer, is_cash → 现金/转账日累计（AML 阈值判定）</w:t>
            </w:r>
          </w:p>
        </w:tc>
      </w:tr>
      <w:tr w14:paraId="2C6978B8">
        <w:trPr>
          <w:jc w:val="center"/>
        </w:trPr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6A701E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dws_interbank_org_monthly_sum</w:t>
            </w:r>
          </w:p>
        </w:tc>
        <w:tc>
          <w:tcPr>
            <w:tcW w:w="5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E11AE2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month, org, deal_type → 同业拆放/回购余额</w:t>
            </w:r>
          </w:p>
        </w:tc>
      </w:tr>
    </w:tbl>
    <w:p w14:paraId="1BB4C690"/>
    <w:p w14:paraId="79845F9E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5. ADS / 监管集市 — 按监管机构隔离</w:t>
      </w:r>
    </w:p>
    <w:p w14:paraId="2D7D42BE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每个监管报送独立 schema，只做字段映射 + 范围过滤 + DQ 校验 + 报文生成。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200"/>
        <w:gridCol w:w="5026"/>
      </w:tblGrid>
      <w:tr w14:paraId="2251171A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AFEFC9F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报送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3B31DE2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Schema</w:t>
            </w:r>
          </w:p>
        </w:tc>
        <w:tc>
          <w:tcPr>
            <w:tcW w:w="5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78AA2EF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典型表 / 内容</w:t>
            </w:r>
          </w:p>
        </w:tc>
      </w:tr>
      <w:tr w14:paraId="4415DA5F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9E0688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人行大额反洗钱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744622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ads_aml</w:t>
            </w:r>
          </w:p>
        </w:tc>
        <w:tc>
          <w:tcPr>
            <w:tcW w:w="5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B5DB2A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dm_aml_large_txn_report</w:t>
            </w:r>
          </w:p>
        </w:tc>
      </w:tr>
      <w:tr w14:paraId="2733AA47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C33887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BOP（外管局）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5D4965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ads_bop</w:t>
            </w:r>
          </w:p>
        </w:tc>
        <w:tc>
          <w:tcPr>
            <w:tcW w:w="5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FA398E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dm_bop_jbxx_pending（基础信息）、dm_bop_sbxx_pending（申报信息）、dm_bop_jgb01（单位基本情况表）</w:t>
            </w:r>
          </w:p>
        </w:tc>
      </w:tr>
      <w:tr w14:paraId="30CC888F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367F7D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一表通（金监局）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2DF7D6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ads_ybt</w:t>
            </w:r>
          </w:p>
        </w:tc>
        <w:tc>
          <w:tcPr>
            <w:tcW w:w="5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684833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dm_ybt_loan_contract、dm_ybt_cust_info、dm_ybt_deposit</w:t>
            </w:r>
          </w:p>
        </w:tc>
      </w:tr>
      <w:tr w14:paraId="6DDD0900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D91790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EAST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38C91D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ads_east</w:t>
            </w:r>
          </w:p>
        </w:tc>
        <w:tc>
          <w:tcPr>
            <w:tcW w:w="5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22EF34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dm_east_acct、dm_east_trans、dm_east_loan、dm_east_fx</w:t>
            </w:r>
          </w:p>
        </w:tc>
      </w:tr>
      <w:tr w14:paraId="2228C3D6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51CD41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1104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3710F4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ads_1104</w:t>
            </w:r>
          </w:p>
        </w:tc>
        <w:tc>
          <w:tcPr>
            <w:tcW w:w="50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442FC6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dm_1104_index、dm_1104_schedule（指标宽表）</w:t>
            </w:r>
          </w:p>
        </w:tc>
      </w:tr>
    </w:tbl>
    <w:p w14:paraId="1E489092"/>
    <w:p w14:paraId="0360CDF3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ADS → 质控 → 可信区 → 报文/文件 → 报送平台</w:t>
      </w:r>
    </w:p>
    <w:p w14:paraId="6C75B8F0">
      <w:r>
        <w:br w:type="page"/>
      </w:r>
    </w:p>
    <w:p w14:paraId="6E3CC0DB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第二部分：交易拆分场景与五报送口径差异</w:t>
      </w:r>
    </w:p>
    <w:p w14:paraId="05A65626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ODS → DWD 段，源系统为会计分录或报文落地，常把一笔“业务意义上的交易”拆成多条 ODS 记录。DWD 必须加“归并号 + 业务口径金额 + 联名双 customer”三件套，让五个报送各取所需。</w:t>
      </w:r>
    </w:p>
    <w:p w14:paraId="49772F0F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1. 联名账户（USD 10 万跨境汇入，夫妻 50% 各持）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00"/>
        <w:gridCol w:w="2500"/>
        <w:gridCol w:w="2526"/>
      </w:tblGrid>
      <w:tr w14:paraId="7A6B37FE">
        <w:trPr>
          <w:jc w:val="center"/>
        </w:trPr>
        <w:tc>
          <w:tcPr>
            <w:tcW w:w="1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6BF6E85D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报送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1D700570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金额口径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CA06FD7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金额取值</w:t>
            </w:r>
          </w:p>
        </w:tc>
        <w:tc>
          <w:tcPr>
            <w:tcW w:w="25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25D2CA2F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特殊逻辑</w:t>
            </w:r>
          </w:p>
        </w:tc>
      </w:tr>
      <w:tr w14:paraId="38A7C3D9">
        <w:trPr>
          <w:jc w:val="center"/>
        </w:trPr>
        <w:tc>
          <w:tcPr>
            <w:tcW w:w="1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A74C9F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BOP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71E953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 event 归并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19FC1E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trans_amt_event（10 万）</w:t>
            </w:r>
          </w:p>
        </w:tc>
        <w:tc>
          <w:tcPr>
            <w:tcW w:w="25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5D8CA6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主持有人申报；(JW) 前缀</w:t>
            </w:r>
          </w:p>
        </w:tc>
      </w:tr>
      <w:tr w14:paraId="771DC386">
        <w:trPr>
          <w:jc w:val="center"/>
        </w:trPr>
        <w:tc>
          <w:tcPr>
            <w:tcW w:w="1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33701E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LVT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63CE8E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 event 判阈值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3E54A1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trans_amt_event ≥ 1 万 USD</w:t>
            </w:r>
          </w:p>
        </w:tc>
        <w:tc>
          <w:tcPr>
            <w:tcW w:w="25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C5C7FB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明细仍按份额两行报</w:t>
            </w:r>
          </w:p>
        </w:tc>
      </w:tr>
      <w:tr w14:paraId="0FB0ED5E">
        <w:trPr>
          <w:jc w:val="center"/>
        </w:trPr>
        <w:tc>
          <w:tcPr>
            <w:tcW w:w="1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95B880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EAST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2D4A7F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按账户份额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34BF5B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trans_amt（5 万）</w:t>
            </w:r>
          </w:p>
        </w:tc>
        <w:tc>
          <w:tcPr>
            <w:tcW w:w="25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494C98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biz_event_no 关联原笔</w:t>
            </w:r>
          </w:p>
        </w:tc>
      </w:tr>
      <w:tr w14:paraId="0B2798DF">
        <w:trPr>
          <w:jc w:val="center"/>
        </w:trPr>
        <w:tc>
          <w:tcPr>
            <w:tcW w:w="1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F05260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1104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1AAA08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 customer_key 分组</w:t>
            </w:r>
          </w:p>
        </w:tc>
        <w:tc>
          <w:tcPr>
            <w:tcW w:w="25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AE3089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 居民 5 万 + B 非居民 5 万</w:t>
            </w:r>
          </w:p>
        </w:tc>
        <w:tc>
          <w:tcPr>
            <w:tcW w:w="25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6C46E6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各进各栏</w:t>
            </w:r>
          </w:p>
        </w:tc>
      </w:tr>
    </w:tbl>
    <w:p w14:paraId="325943B0"/>
    <w:p w14:paraId="3FF66D09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2. 其他拆分场景速览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200"/>
        <w:gridCol w:w="4226"/>
      </w:tblGrid>
      <w:tr w14:paraId="19190701">
        <w:trPr>
          <w:jc w:val="center"/>
        </w:trPr>
        <w:tc>
          <w:tcPr>
            <w:tcW w:w="16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4DE06ED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481037BB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ODS 表现</w:t>
            </w:r>
          </w:p>
        </w:tc>
        <w:tc>
          <w:tcPr>
            <w:tcW w:w="42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6CE1E668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五报送影响</w:t>
            </w:r>
          </w:p>
        </w:tc>
      </w:tr>
      <w:tr w14:paraId="0290C26E">
        <w:trPr>
          <w:jc w:val="center"/>
        </w:trPr>
        <w:tc>
          <w:tcPr>
            <w:tcW w:w="16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048867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主副卡</w:t>
            </w:r>
          </w:p>
        </w:tc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55F68F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副卡一笔 + 主卡透支一笔</w:t>
            </w:r>
          </w:p>
        </w:tc>
        <w:tc>
          <w:tcPr>
            <w:tcW w:w="42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898E2B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EAST 两行都要；LVT 按主卡人归户判累计；1104 合计不能 double count</w:t>
            </w:r>
          </w:p>
        </w:tc>
      </w:tr>
      <w:tr w14:paraId="4C671902">
        <w:trPr>
          <w:jc w:val="center"/>
        </w:trPr>
        <w:tc>
          <w:tcPr>
            <w:tcW w:w="16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A7FFF5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SWIFT 拆笔</w:t>
            </w:r>
          </w:p>
        </w:tc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F45976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本金 + 手续费 + 中间行扣费</w:t>
            </w:r>
          </w:p>
        </w:tc>
        <w:tc>
          <w:tcPr>
            <w:tcW w:w="42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19068C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BOP 报本金；LVT 合并判阈值；EAST 逐笔明细；1104 费用进手续费收入</w:t>
            </w:r>
          </w:p>
        </w:tc>
      </w:tr>
      <w:tr w14:paraId="244D891C">
        <w:trPr>
          <w:jc w:val="center"/>
        </w:trPr>
        <w:tc>
          <w:tcPr>
            <w:tcW w:w="16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DDE2E2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冲正/撤销</w:t>
            </w:r>
          </w:p>
        </w:tc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42C42F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原借+原贷+红冲+蓝补 4 条</w:t>
            </w:r>
          </w:p>
        </w:tc>
        <w:tc>
          <w:tcPr>
            <w:tcW w:w="42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330B35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LVT 冲正不报；BOP 超期要报更正；EAST 三行都要</w:t>
            </w:r>
          </w:p>
        </w:tc>
      </w:tr>
      <w:tr w14:paraId="4A7A4EFF">
        <w:trPr>
          <w:jc w:val="center"/>
        </w:trPr>
        <w:tc>
          <w:tcPr>
            <w:tcW w:w="16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35A0DB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钗汇分离</w:t>
            </w:r>
          </w:p>
        </w:tc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64FD9F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钗户/汇户分别入账</w:t>
            </w:r>
          </w:p>
        </w:tc>
        <w:tc>
          <w:tcPr>
            <w:tcW w:w="42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2C865B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BOP 申报金额取汇户折算；EAST 分钗/汇两行；1104 合并反映</w:t>
            </w:r>
          </w:p>
        </w:tc>
      </w:tr>
      <w:tr w14:paraId="0600340D">
        <w:trPr>
          <w:jc w:val="center"/>
        </w:trPr>
        <w:tc>
          <w:tcPr>
            <w:tcW w:w="16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0535B6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资金池归集</w:t>
            </w:r>
          </w:p>
        </w:tc>
        <w:tc>
          <w:tcPr>
            <w:tcW w:w="3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23C7CB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子账户一笔 + 主账户归集一笔</w:t>
            </w:r>
          </w:p>
        </w:tc>
        <w:tc>
          <w:tcPr>
            <w:tcW w:w="42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F43DE9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EAST 两行都报；BOP/LVT 按 event 归并；1104 只计主账户余额</w:t>
            </w:r>
          </w:p>
        </w:tc>
      </w:tr>
    </w:tbl>
    <w:p w14:paraId="39479B6E"/>
    <w:p w14:paraId="531F9893">
      <w:r>
        <w:br w:type="page"/>
      </w:r>
    </w:p>
    <w:p w14:paraId="10625C14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第三部分：交易类型映射规则管理架构</w:t>
      </w:r>
    </w:p>
    <w:p w14:paraId="32280D82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用户（合规/业务岗）提供的“原始交易类型 + 字段组合 → 各监管交易类型”映射逻辑，需要结构化管理，避免散落在 SQL CASE WHEN 中。</w:t>
      </w:r>
    </w:p>
    <w:p w14:paraId="770D5768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1. 四层架构</w:t>
      </w:r>
    </w:p>
    <w:tbl>
      <w:tblPr>
        <w:tblStyle w:val="32"/>
        <w:tblW w:w="90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2564"/>
        <w:gridCol w:w="2372"/>
        <w:gridCol w:w="2363"/>
      </w:tblGrid>
      <w:tr w14:paraId="71C76955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43E9E00D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层</w:t>
            </w:r>
          </w:p>
        </w:tc>
        <w:tc>
          <w:tcPr>
            <w:tcW w:w="24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3D354E5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载体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2AB3F4EC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98F59BC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谁维护</w:t>
            </w:r>
          </w:p>
        </w:tc>
      </w:tr>
      <w:tr w14:paraId="190709E4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DF782B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规则目录</w:t>
            </w:r>
          </w:p>
        </w:tc>
        <w:tc>
          <w:tcPr>
            <w:tcW w:w="24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C2068C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Collibra Business Term + Transformation Rule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FA09EC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定义“为什么”（语义规则）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042CD4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合规岗</w:t>
            </w:r>
          </w:p>
        </w:tc>
      </w:tr>
      <w:tr w14:paraId="1E628080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A7A193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规则维表</w:t>
            </w:r>
          </w:p>
        </w:tc>
        <w:tc>
          <w:tcPr>
            <w:tcW w:w="24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8F1EC3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BQ reg_txn_mapping + reg_txn_mapping_target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2E0884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可执行（JOIN 用）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E4FFEE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数据工程师</w:t>
            </w:r>
          </w:p>
        </w:tc>
      </w:tr>
      <w:tr w14:paraId="5084D697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102509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规则执行</w:t>
            </w:r>
          </w:p>
        </w:tc>
        <w:tc>
          <w:tcPr>
            <w:tcW w:w="24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7349FF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Spark UDF / Dataform macro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4C888D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 消费维表，输出监管码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744A62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数据工程师</w:t>
            </w:r>
          </w:p>
        </w:tc>
      </w:tr>
      <w:tr w14:paraId="0E9C8149">
        <w:trPr>
          <w:jc w:val="center"/>
        </w:trPr>
        <w:tc>
          <w:tcPr>
            <w:tcW w:w="1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B4C314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记录追溯</w:t>
            </w:r>
          </w:p>
        </w:tc>
        <w:tc>
          <w:tcPr>
            <w:tcW w:w="24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9AC3C1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reg_txn_mapping_lineage（自研）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01207A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每笔交易命中哪条规则</w:t>
            </w:r>
          </w:p>
        </w:tc>
        <w:tc>
          <w:tcPr>
            <w:tcW w:w="24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EA63CE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ETL 自动写</w:t>
            </w:r>
          </w:p>
        </w:tc>
      </w:tr>
    </w:tbl>
    <w:p w14:paraId="1F63976B"/>
    <w:p w14:paraId="7AA45FAF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2. reg_txn_mapping 维表设计</w:t>
      </w:r>
    </w:p>
    <w:p w14:paraId="55E23B33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>reg_txn_mapping（主表，渠道级）</w:t>
      </w:r>
    </w:p>
    <w:p w14:paraId="2D54785B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mapping_id      PK</w:t>
      </w:r>
    </w:p>
    <w:p w14:paraId="114EE7CD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channel          -- CORE / NET_BANK / ATM / FOREX_SWIFT</w:t>
      </w:r>
    </w:p>
    <w:p w14:paraId="7CBF496D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src_txn_type     -- 原始交易类型码</w:t>
      </w:r>
    </w:p>
    <w:p w14:paraId="1769289B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condition_json   -- 字段组合条件（JSON）</w:t>
      </w:r>
    </w:p>
    <w:p w14:paraId="67BB7B31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effective_from / effective_to</w:t>
      </w:r>
    </w:p>
    <w:p w14:paraId="0C276274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rule_version     -- 对应 Collibra Rule version</w:t>
      </w:r>
    </w:p>
    <w:p w14:paraId="3C5DC6A6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created_by / approved_by</w:t>
      </w:r>
    </w:p>
    <w:p w14:paraId="39911EC1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>reg_txn_mapping_target（多监管目标码，一对多）</w:t>
      </w:r>
    </w:p>
    <w:p w14:paraId="60DF7829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mapping_id     FK</w:t>
      </w:r>
    </w:p>
    <w:p w14:paraId="40379BB3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reg_report     -- YBT / EAST / BOP / LVT / 1104</w:t>
      </w:r>
    </w:p>
    <w:p w14:paraId="0581B2AF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target_txn_code -- 各监管码</w:t>
      </w:r>
    </w:p>
    <w:p w14:paraId="7D84983C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target_label</w:t>
      </w:r>
    </w:p>
    <w:p w14:paraId="6098E22E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3. OpenLineage 的角色定位</w:t>
      </w:r>
    </w:p>
    <w:p w14:paraId="192D72EF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OL 不负责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存映射逻辑，也不替 Collibra Rule。OL 的角色是“桥”：设计态（Collibra Rule）→ 实执行（OL Run 采到 rule_version + 维表 snapshot）→ 记录态（lineage 表这笔命中 mapping_id）。</w:t>
      </w:r>
    </w:p>
    <w:p w14:paraId="2F917258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OL Custom Facet 应 emit：rule_version、mapping_table_snapshot_dt、channel、src_txn_type、condition_match_cnt、各监管码分布。</w:t>
      </w:r>
    </w:p>
    <w:p w14:paraId="2285D47E">
      <w:r>
        <w:br w:type="page"/>
      </w:r>
    </w:p>
    <w:p w14:paraId="041CF613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第四部分：GCP 技术栈部署建议</w:t>
      </w:r>
    </w:p>
    <w:p w14:paraId="71E535FD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基于 Google Cloud Platform 的统一数仓 + 治理工具链完整映射：</w:t>
      </w:r>
    </w:p>
    <w:p w14:paraId="3B947846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1. 数据处理层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513"/>
        <w:gridCol w:w="3513"/>
      </w:tblGrid>
      <w:tr w14:paraId="4BF85308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4D67C08B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E8FB60D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42A6826C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监管场景</w:t>
            </w:r>
          </w:p>
        </w:tc>
      </w:tr>
      <w:tr w14:paraId="6116A854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042928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Cloud Storage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6B3629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贴源 raw zone / 可信区归档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B157F6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 落地 + 可信区 Bucket Lock</w:t>
            </w:r>
          </w:p>
        </w:tc>
      </w:tr>
      <w:tr w14:paraId="2B1C8021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FD5D50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BigQuery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EC4CA7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数仓存储（ODS/DWD/DWS/ADS）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86CFD3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五层表存储 + 规则维表</w:t>
            </w:r>
          </w:p>
        </w:tc>
      </w:tr>
      <w:tr w14:paraId="27DE97B0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9B69B1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Dataflow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9C7494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Ingestion + PII 脱敏 + SWIFT 解析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145E18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 贴源、合规前置</w:t>
            </w:r>
          </w:p>
        </w:tc>
      </w:tr>
      <w:tr w14:paraId="06D4D651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E5A496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Dataproc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F40C30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 复杂归并（联名/SWIFT/冲正）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7B421D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Spark UDF + OL Spark Plugin</w:t>
            </w:r>
          </w:p>
        </w:tc>
      </w:tr>
      <w:tr w14:paraId="2780B1FE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6EAB1B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Dataform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407731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DWS/ADS SQL 建模 + Assertion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E816D7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总分核对 + 跨报送勾计</w:t>
            </w:r>
          </w:p>
        </w:tc>
      </w:tr>
      <w:tr w14:paraId="0865191C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CF43BF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Composer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FB20B1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调度（托管 Airflow）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71113C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五报送 DAG + DQ 阻断</w:t>
            </w:r>
          </w:p>
        </w:tc>
      </w:tr>
    </w:tbl>
    <w:p w14:paraId="5B38FF5F"/>
    <w:p w14:paraId="6937858B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2. 治理层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513"/>
        <w:gridCol w:w="3513"/>
      </w:tblGrid>
      <w:tr w14:paraId="3C95FEE9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163CCFB7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6BF37587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2BB9E4B4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监管场景</w:t>
            </w:r>
          </w:p>
        </w:tc>
      </w:tr>
      <w:tr w14:paraId="5C356D8B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912ABC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Collibra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272A40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Business Term + Transformation Rule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3A36F4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字段级“应该是什么”</w:t>
            </w:r>
          </w:p>
        </w:tc>
      </w:tr>
      <w:tr w14:paraId="703CB31C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EF2432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Dataplex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B34A3A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技术目录 ↔ Collibra 双向 sync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C22219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GCP 资产统一管理</w:t>
            </w:r>
          </w:p>
        </w:tc>
      </w:tr>
      <w:tr w14:paraId="61BB156C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8380CE1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 Lineage API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CDB8CC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原生 OL 后端（替代 Marquez）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E0F76D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Run Event + LogicalPlan + Custom Facet</w:t>
            </w:r>
          </w:p>
        </w:tc>
      </w:tr>
      <w:tr w14:paraId="580CC586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0773E7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DQ Hub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6A08E7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字段 DQ + 跨报送勾计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CDE705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空/码值/总分核对/勾计</w:t>
            </w:r>
          </w:p>
        </w:tc>
      </w:tr>
      <w:tr w14:paraId="7360730F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808AEE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DLP + KMS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5B1B40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PII 脱敏 + 加密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AD6A18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证件号/户名掩码</w:t>
            </w:r>
          </w:p>
        </w:tc>
      </w:tr>
      <w:tr w14:paraId="48F5FF7D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E710B7F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VPC SC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FDF854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可信区隔离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70905B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YBT/EAST/BOP 硬约束</w:t>
            </w:r>
          </w:p>
        </w:tc>
      </w:tr>
    </w:tbl>
    <w:p w14:paraId="70068F18"/>
    <w:p w14:paraId="299A2E51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3. 报文/报送前置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513"/>
        <w:gridCol w:w="3513"/>
      </w:tblGrid>
      <w:tr w14:paraId="142D452E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5B273B5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7ED62812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50DE0A76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监管场景</w:t>
            </w:r>
          </w:p>
        </w:tc>
      </w:tr>
      <w:tr w14:paraId="27C66282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75FDB0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Cloud Run / GKE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434BCA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报文生成服务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4DA4AD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YBT 90 表 / BOP ASCII / EAST 定长 / LVT 人行格式</w:t>
            </w:r>
          </w:p>
        </w:tc>
      </w:tr>
      <w:tr w14:paraId="0AEEB51A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91F088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Apigee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4D8AB5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mTLS + 报文签名 + 重试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EC15C1E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外管局/金监局前置机对接</w:t>
            </w:r>
          </w:p>
        </w:tc>
      </w:tr>
      <w:tr w14:paraId="59A56A11">
        <w:trPr>
          <w:jc w:val="center"/>
        </w:trPr>
        <w:tc>
          <w:tcPr>
            <w:tcW w:w="20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979CB3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Pub/Sub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A8B561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DQ 阻断 webhook</w:t>
            </w:r>
          </w:p>
        </w:tc>
        <w:tc>
          <w:tcPr>
            <w:tcW w:w="3513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577D83A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DQ FAIL → 阻断报文推送</w:t>
            </w:r>
          </w:p>
        </w:tc>
      </w:tr>
    </w:tbl>
    <w:p w14:paraId="416B18FF"/>
    <w:p w14:paraId="3DF60ACC">
      <w:r>
        <w:br w:type="page"/>
      </w:r>
    </w:p>
    <w:p w14:paraId="0D4A5733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第五部分：迁移策略（三平台 → 统一平台 + YBT 新装）</w:t>
      </w:r>
    </w:p>
    <w:p w14:paraId="19659AAC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总策略：以 YBT 10 主题为 DWD 主干，EAST/BOP/LVT 往主干挂靠；EAST 走“一表通 2.1 → EAST 5.0”62 张表转换通道。</w:t>
      </w:r>
    </w:p>
    <w:p w14:paraId="7BBCCE57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Phase 0：主数据 + DIM 先统一</w:t>
      </w:r>
    </w:p>
    <w:p w14:paraId="76197B49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主数据盘点：客户、账户、机构、产品、行业、国别、码值字典 —— 四套（EAST/BOP/LVT/YBT）对照</w:t>
      </w:r>
    </w:p>
    <w:p w14:paraId="5E614C38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建统一 DIM（SCD2 拉链）：dim_cust / dim_acct / dim_org / dim_dict_reg（行内码 → YBT → EAST → BOP 四向映射）</w:t>
      </w:r>
    </w:p>
    <w:p w14:paraId="5DF15790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口径盘点表：EAST/LVT/BOP 三套老平台关键指标取数逻辑逐字段登记差异</w:t>
      </w:r>
    </w:p>
    <w:p w14:paraId="1F8643A7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Phase 1：统一 DWD 主干</w:t>
      </w:r>
    </w:p>
    <w:p w14:paraId="244C8606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按 YBT 10 主题建 DWD 业务过程表</w:t>
      </w:r>
    </w:p>
    <w:p w14:paraId="599309E9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三套老平台 ODS → DWD 映射一次做完，老 ODS 保留做回溯</w:t>
      </w:r>
    </w:p>
    <w:p w14:paraId="01CE37A8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YBT DWD = 主干本身</w:t>
      </w:r>
    </w:p>
    <w:p w14:paraId="5C5169F5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Phase 2：DWS + 三老 ADS 并行双跑</w:t>
      </w:r>
    </w:p>
    <w:p w14:paraId="391EA664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DWS 按监管主题建（信贷/资金/国际/同业），五报送共用</w:t>
      </w:r>
    </w:p>
    <w:p w14:paraId="7C7237B6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三老 ADS 在统一平台重建，从 DWD 按各监管字段映射</w:t>
      </w:r>
    </w:p>
    <w:p w14:paraId="0F0A95E1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双跑比对 ≥ 2-3 个报送周期，差异率 &gt; 0.1% 阻断割接</w:t>
      </w:r>
    </w:p>
    <w:p w14:paraId="4DD5FF32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Phase 3：YBT 先割接 + EAST 走转换通道</w:t>
      </w:r>
    </w:p>
    <w:p w14:paraId="366EE79E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YBT 第一批割接（新平台 → 可信区 → 金监局）</w:t>
      </w:r>
    </w:p>
    <w:p w14:paraId="09869F21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EAST 走“YBT 2.1 → EAST 5.0”62 张表转换通道，不等同于直出 EAST</w:t>
      </w:r>
    </w:p>
    <w:p w14:paraId="63733B45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BOP/LVT 割接（不受 YBT 影响，双跑 OK 即切）</w:t>
      </w:r>
    </w:p>
    <w:p w14:paraId="31C9A6A2">
      <w:r>
        <w:br w:type="page"/>
      </w:r>
    </w:p>
    <w:p w14:paraId="0D92A6C1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第六部分：你可能没想到的问题（深水区预警）</w:t>
      </w:r>
    </w:p>
    <w:p w14:paraId="606F2D1E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1. 【逻辑断层】“无效/例外”规则的治理</w:t>
      </w:r>
    </w:p>
    <w:p w14:paraId="31A7CD55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用户提供的映射逻辑常常只覆盖 80% 常规情况，剩下 20% 边缘场景靠开发人员“拍脑袋”写 ELSE，游离于 Collibra 之外。建议在 reg_txn_mapping 表中强制设立 Default/Fallback 规则，并标记 is_exception_flag，定期生成报表给合规部。</w:t>
      </w:r>
    </w:p>
    <w:p w14:paraId="3CE1A9C6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2. 【时间陷阱】规则生效的“双时态”问题</w:t>
      </w:r>
    </w:p>
    <w:p w14:paraId="287E00FF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监管报表有强追溯性。必须区分：(a) 有效时间（业务上规则从哪天生效）；(b) 事务时间（数据实际进入系统的时间）。如果 1 月 1 日前的交易因 1 月 2 日重跑 DWD 错误应用新规则，即构成错报。DWD 层必须是 Immutable 历史快照，reg_txn_mapping 必须有 effective_start_date / effective_end_date，Spark UDF 基于交易发生时间匹配当时有效规则版本。</w:t>
      </w:r>
    </w:p>
    <w:p w14:paraId="7BDAF0B5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3. 【存储陷阱】BigQuery 的“时间旅行”与不可变性</w:t>
      </w:r>
    </w:p>
    <w:p w14:paraId="00812410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BQ 的 Time Travel 默认仅 7 天，远不够监管要求的 5 年追溯。严禁对 DWD 层使用 UPDATE/DELETE（除非数据修复且有审计）。对于超 7 天历史数据，依赖 Partition 不可变性，并定期将冷数据备份到 GCS 归档存储。</w:t>
      </w:r>
    </w:p>
    <w:p w14:paraId="3567A0BF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4. 【合规死角】“非结构化”数据的血缘</w:t>
      </w:r>
    </w:p>
    <w:p w14:paraId="6EEBBE82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BOP 和 EAST 涉及 SWIFT MT/MX 报文、合同影像 OCR 结果等半结构化数据。建议在 Dataflow 阶段生成“解析元数据文件”（JSON），记录原始文件名、解析器版本、提取字段列表，并在 reg_record_lineage 表中记录 source_document_ref。</w:t>
      </w:r>
    </w:p>
    <w:p w14:paraId="17496F16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5. 【流程断层】“紧急修正”的旁路</w:t>
      </w:r>
    </w:p>
    <w:p w14:paraId="045C25F6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监管报送有严格截止时间，发现数据错误时合规人员可能要求“先手工改 ADS 文件”。这种旁路操作会导致 OL 血缘断裂。建议明确定义 Break-glass SOP：禁止直接修改 ADS 表；必须修改上游 reg_txn_mapping 或 ODS；如果时间来不及，允许在可信区通过脚本生成修正文件，但必须记录 manual_override_flag=True，下个周期在 DWD 彻底修复。</w:t>
      </w:r>
    </w:p>
    <w:p w14:paraId="39DDDDA2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6. 【资源黑洞】DWS 层的“派生指标”定义权</w:t>
      </w:r>
    </w:p>
    <w:p w14:paraId="383F212E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1104 报表大量依赖派生指标（如“逾期 90 天以上贷款余额”）。DWS 层严禁定义新的业务口径，只能是 DWD 指标的聚合（SUM/COUNT）。所有业务口径（如“逾期”定义）必须沉淀在 DWD 层。Dataform 的 Assertion 不仅要核对总数，还要核对口径定义的一致性。</w:t>
      </w:r>
    </w:p>
    <w:p w14:paraId="060FD794">
      <w:r>
        <w:br w:type="page"/>
      </w:r>
    </w:p>
    <w:p w14:paraId="731712AC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第七部分：监管问询闭环链（示例）</w:t>
      </w:r>
    </w:p>
    <w:p w14:paraId="4BFCD23A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以“SWIFT UETR=abc123，CORE_RTGS_OUT，USD 10 万跨境同名转账”为例，展示四层追溯链路：</w:t>
      </w:r>
    </w:p>
    <w:p w14:paraId="0E82177A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第 1 层：Collibra（设计态）</w:t>
      </w:r>
    </w:p>
    <w:p w14:paraId="3C450080">
      <w:pPr>
        <w:spacing w:before="80" w:after="80" w:line="360" w:lineRule="exact"/>
      </w:pP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Rule TR_FX_OUT_CORP_SAME_NAME v2.3：</w:t>
      </w:r>
    </w:p>
    <w:p w14:paraId="2812926F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IF channel=CORE AND src_txn_type=CORE_RTGS_OUT</w:t>
      </w:r>
    </w:p>
    <w:p w14:paraId="68DB26C0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   AND is_cross_border=Y AND counterparty_type=CORP AND same_name=Y</w:t>
      </w:r>
    </w:p>
    <w:p w14:paraId="0086F52A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THEN YBT=K02_03 / BOP=821990 / EAST=CROSS_OUT_CORP / 1104=境外资产</w:t>
      </w:r>
    </w:p>
    <w:p w14:paraId="07FF3828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第 2 层：reg_txn_mapping_lineage（记录态）</w:t>
      </w:r>
    </w:p>
    <w:p w14:paraId="743B4899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biz_event_no=ev_88271</w:t>
      </w:r>
    </w:p>
    <w:p w14:paraId="6360DFCF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condition_snapshot={ccy:CNH, is_cross_border:Y, counterparty_type:CORP, same_name:Y}</w:t>
      </w:r>
    </w:p>
    <w:p w14:paraId="0DC26E92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mapping_id=map_4721, rule_version=v2.3</w:t>
      </w:r>
    </w:p>
    <w:p w14:paraId="72E6D69D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第 3 层：OpenLineage Run（运行态）</w:t>
      </w:r>
    </w:p>
    <w:p w14:paraId="3B7AAD35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Dataproc app dwd_fx_daily @ 2025-03-15 02:14</w:t>
      </w:r>
    </w:p>
    <w:p w14:paraId="5933F748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git commit a3f2c, rule_version=v2.3</w:t>
      </w:r>
    </w:p>
    <w:p w14:paraId="4819FC4E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Custom Facet: mapping_table_snapshot_dt=2025-01-01</w:t>
      </w:r>
    </w:p>
    <w:p w14:paraId="37B97DE1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Input: ods_forex_swift_di dt=20250315, 9281 rows</w:t>
      </w:r>
    </w:p>
    <w:p w14:paraId="7230BA80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Output: dwd_fx_payment_di, 9274 rows (7 笔冲正 filter)</w:t>
      </w:r>
    </w:p>
    <w:p w14:paraId="75FB27C5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第 4 层：reg_record_lineage（记录级）</w:t>
      </w:r>
    </w:p>
    <w:p w14:paraId="137C542C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UETR=abc123 → biz_event_no=ev_88271</w:t>
      </w:r>
    </w:p>
    <w:p w14:paraId="232C87C2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→ ADS_YBT: 一行 K02_03</w:t>
      </w:r>
    </w:p>
    <w:p w14:paraId="443609CF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→ ADS_BOP: 主申 821990 + (JW) 前缀</w:t>
      </w:r>
    </w:p>
    <w:p w14:paraId="23160612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→ ADS_EAST: 一行 CROSS_OUT_CORP</w:t>
      </w:r>
    </w:p>
    <w:p w14:paraId="25A2DCF1">
      <w:pPr>
        <w:shd w:val="clear" w:fill="F2F2F2"/>
        <w:spacing w:before="40" w:after="40" w:line="300" w:lineRule="exact"/>
        <w:ind w:left="576" w:right="576"/>
      </w:pPr>
      <w:r>
        <w:rPr>
          <w:rFonts w:ascii="Courier New" w:hAnsi="Courier New" w:eastAsia="Courier New"/>
          <w:b w:val="0"/>
          <w:i w:val="0"/>
          <w:sz w:val="18"/>
        </w:rPr>
        <w:t xml:space="preserve">  → ADS_1104: 境外资产栏含这笔</w:t>
      </w:r>
    </w:p>
    <w:p w14:paraId="5E6A62D3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CC0000"/>
          <w:sz w:val="22"/>
        </w:rPr>
        <w:t>四层拼齐，监管抽 20 笔能在 10 分钟内答完。</w:t>
      </w:r>
    </w:p>
    <w:p w14:paraId="13FD246C">
      <w:r>
        <w:br w:type="page"/>
      </w:r>
    </w:p>
    <w:p w14:paraId="14AAB15C">
      <w:pPr>
        <w:spacing w:before="360" w:after="200"/>
      </w:pPr>
      <w:r>
        <w:rPr>
          <w:rFonts w:ascii="WenQuanYi Micro Hei" w:hAnsi="WenQuanYi Micro Hei" w:eastAsia="WenQuanYi Micro Hei"/>
          <w:b/>
          <w:i w:val="0"/>
          <w:color w:val="1F4E79"/>
          <w:sz w:val="32"/>
        </w:rPr>
        <w:t>第八部分：各层一句话总结</w:t>
      </w:r>
    </w:p>
    <w:tbl>
      <w:tblPr>
        <w:tblStyle w:val="32"/>
        <w:tblW w:w="902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200"/>
        <w:gridCol w:w="2826"/>
        <w:gridCol w:w="2800"/>
      </w:tblGrid>
      <w:tr w14:paraId="3DBFBEDD">
        <w:trPr>
          <w:jc w:val="center"/>
        </w:trPr>
        <w:tc>
          <w:tcPr>
            <w:tcW w:w="1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35C1D687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层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0E125FAC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关键特征</w:t>
            </w:r>
          </w:p>
        </w:tc>
        <w:tc>
          <w:tcPr>
            <w:tcW w:w="2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47E60E44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输出</w:t>
            </w:r>
          </w:p>
        </w:tc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  <w:shd w:val="clear" w:color="auto" w:fill="1F4E79"/>
          </w:tcPr>
          <w:p w14:paraId="1D281060">
            <w:r>
              <w:rPr>
                <w:rFonts w:ascii="WenQuanYi Micro Hei" w:hAnsi="WenQuanYi Micro Hei" w:eastAsia="WenQuanYi Micro Hei"/>
                <w:b/>
                <w:i w:val="0"/>
                <w:color w:val="FFFFFF"/>
                <w:sz w:val="20"/>
              </w:rPr>
              <w:t>工具</w:t>
            </w:r>
          </w:p>
        </w:tc>
      </w:tr>
      <w:tr w14:paraId="7E28BACD">
        <w:trPr>
          <w:jc w:val="center"/>
        </w:trPr>
        <w:tc>
          <w:tcPr>
            <w:tcW w:w="1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4FA8A3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ODS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CC945D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贴源、按源系统分 schema</w:t>
            </w:r>
          </w:p>
        </w:tc>
        <w:tc>
          <w:tcPr>
            <w:tcW w:w="2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72F3EA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可溯源原始数据</w:t>
            </w:r>
          </w:p>
        </w:tc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E0752B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Dataflow / BQ</w:t>
            </w:r>
          </w:p>
        </w:tc>
      </w:tr>
      <w:tr w14:paraId="3A517B43">
        <w:trPr>
          <w:jc w:val="center"/>
        </w:trPr>
        <w:tc>
          <w:tcPr>
            <w:tcW w:w="1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2A61EB84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DIM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6F9E266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SCD2、全行唯一、监管码映射</w:t>
            </w:r>
          </w:p>
        </w:tc>
        <w:tc>
          <w:tcPr>
            <w:tcW w:w="2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7DB9F6B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一致性维度</w:t>
            </w:r>
          </w:p>
        </w:tc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A953FF2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Collibra + BQ</w:t>
            </w:r>
          </w:p>
        </w:tc>
      </w:tr>
      <w:tr w14:paraId="191F78BE">
        <w:trPr>
          <w:jc w:val="center"/>
        </w:trPr>
        <w:tc>
          <w:tcPr>
            <w:tcW w:w="1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3E9C7F9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DWD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A331165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按业务过程建业务表、币种保留、biz_event_no 归并</w:t>
            </w:r>
          </w:p>
        </w:tc>
        <w:tc>
          <w:tcPr>
            <w:tcW w:w="2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69A7DAB9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企业级标准明细（数出同源）</w:t>
            </w:r>
          </w:p>
        </w:tc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56D3000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Dataproc + BQ</w:t>
            </w:r>
          </w:p>
        </w:tc>
      </w:tr>
      <w:tr w14:paraId="31A87947">
        <w:trPr>
          <w:jc w:val="center"/>
        </w:trPr>
        <w:tc>
          <w:tcPr>
            <w:tcW w:w="1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597ECA6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DWS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187B0F8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按主题汇总（信贷/资金/国际）</w:t>
            </w:r>
          </w:p>
        </w:tc>
        <w:tc>
          <w:tcPr>
            <w:tcW w:w="2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159D2D1D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复用指标 + 质控基准</w:t>
            </w:r>
          </w:p>
        </w:tc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4AE20FB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Dataform / BQ</w:t>
            </w:r>
          </w:p>
        </w:tc>
      </w:tr>
      <w:tr w14:paraId="05D257A2">
        <w:trPr>
          <w:jc w:val="center"/>
        </w:trPr>
        <w:tc>
          <w:tcPr>
            <w:tcW w:w="1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97125C3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ADS</w:t>
            </w:r>
          </w:p>
        </w:tc>
        <w:tc>
          <w:tcPr>
            <w:tcW w:w="22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0BFCE72C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按监管机构隔离、字段映射 + DQ</w:t>
            </w:r>
          </w:p>
        </w:tc>
        <w:tc>
          <w:tcPr>
            <w:tcW w:w="2826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EC88BB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各监管报送报文数据源</w:t>
            </w:r>
          </w:p>
        </w:tc>
        <w:tc>
          <w:tcPr>
            <w:tcW w:w="2800" w:type="dxa"/>
            <w:tcBorders>
              <w:top w:val="single" w:color="B4C6E7" w:sz="4" w:space="0"/>
              <w:left w:val="single" w:color="B4C6E7" w:sz="4" w:space="0"/>
              <w:bottom w:val="single" w:color="B4C6E7" w:sz="4" w:space="0"/>
              <w:right w:val="single" w:color="B4C6E7" w:sz="4" w:space="0"/>
            </w:tcBorders>
          </w:tcPr>
          <w:p w14:paraId="7C19D6A7">
            <w:r>
              <w:rPr>
                <w:rFonts w:ascii="WenQuanYi Micro Hei" w:hAnsi="WenQuanYi Micro Hei" w:eastAsia="WenQuanYi Micro Hei"/>
                <w:b w:val="0"/>
                <w:i w:val="0"/>
                <w:sz w:val="20"/>
              </w:rPr>
              <w:t>Cloud Run + Apigee</w:t>
            </w:r>
          </w:p>
        </w:tc>
      </w:tr>
    </w:tbl>
    <w:p w14:paraId="30307D7D"/>
    <w:p w14:paraId="1C52DB3C">
      <w:pPr>
        <w:spacing w:before="280" w:after="160"/>
      </w:pPr>
      <w:r>
        <w:rPr>
          <w:rFonts w:ascii="WenQuanYi Micro Hei" w:hAnsi="WenQuanYi Micro Hei" w:eastAsia="WenQuanYi Micro Hei"/>
          <w:b/>
          <w:i w:val="0"/>
          <w:color w:val="2E75B6"/>
          <w:sz w:val="28"/>
        </w:rPr>
        <w:t>核心铁律</w:t>
      </w:r>
    </w:p>
    <w:p w14:paraId="02FE24D5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1. 数出同源：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EAST / 一表通 / 1104 中同一笔贷款必须来自同一 DWD。</w:t>
      </w:r>
    </w:p>
    <w:p w14:paraId="4712198B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2. SCD2 拉链：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客户行业/性质变更必须留历史。</w:t>
      </w:r>
    </w:p>
    <w:p w14:paraId="79A123BF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3. 可信区隔离：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ADS 产出 → 可信区 → 报送。</w:t>
      </w:r>
    </w:p>
    <w:p w14:paraId="4CEAB5A0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4. 总分核对：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DWD SUM ↔ DWS ↔ 总账。</w:t>
      </w:r>
    </w:p>
    <w:p w14:paraId="6312B3E5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5. 元数据文档：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每个监管字段的来源 DWD 字段 + 码值转换规则必须进 Collibra。</w:t>
      </w:r>
    </w:p>
    <w:p w14:paraId="032D57DA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6. 规则维表驱动：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业务改映射只改 reg_txn_mapping + 升 Collibra Rule 版本 → DWD 重跑即生效，5 个报送 SQL 一句不用改。</w:t>
      </w:r>
    </w:p>
    <w:p w14:paraId="1E482C37">
      <w:pPr>
        <w:pBdr>
          <w:bottom w:val="single" w:color="2E75B6" w:sz="6" w:space="4"/>
        </w:pBdr>
        <w:spacing w:before="120" w:after="120"/>
      </w:pPr>
    </w:p>
    <w:p w14:paraId="50A41200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文档生成时间：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2025 年（基于本 Session 全部对话内容整理）</w:t>
      </w:r>
    </w:p>
    <w:p w14:paraId="412ACEF2"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i w:val="0"/>
          <w:color w:val="000000"/>
          <w:sz w:val="22"/>
        </w:rPr>
        <w:t>适用范围：</w:t>
      </w:r>
      <w:r>
        <w:rPr>
          <w:rFonts w:ascii="WenQuanYi Micro Hei" w:hAnsi="WenQuanYi Micro Hei" w:eastAsia="WenQuanYi Micro Hei"/>
          <w:b w:val="0"/>
          <w:i w:val="0"/>
          <w:color w:val="000000"/>
          <w:sz w:val="22"/>
        </w:rPr>
        <w:t>统一大数据平台（GCP）支撑 YBT / EAST / 1104 / BOP / LVT 五报送场景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enQuanYi Micro 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C87C2">
    <w:pPr>
      <w:pStyle w:val="24"/>
      <w:jc w:val="center"/>
    </w:pPr>
    <w:r>
      <w:rPr>
        <w:rFonts w:ascii="WenQuanYi Micro Hei" w:hAnsi="WenQuanYi Micro Hei" w:eastAsia="WenQuanYi Micro Hei"/>
        <w:b w:val="0"/>
        <w:i w:val="0"/>
        <w:color w:val="666666"/>
        <w:sz w:val="18"/>
      </w:rPr>
      <w:t>第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EE6F1">
    <w:pPr>
      <w:pStyle w:val="25"/>
      <w:jc w:val="right"/>
    </w:pPr>
    <w:r>
      <w:rPr>
        <w:rFonts w:ascii="WenQuanYi Micro Hei" w:hAnsi="WenQuanYi Micro Hei" w:eastAsia="WenQuanYi Micro Hei"/>
        <w:b w:val="0"/>
        <w:i/>
        <w:color w:val="666666"/>
        <w:sz w:val="18"/>
      </w:rPr>
      <w:t>统一大数据平台监管报送架构设计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CD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80" w:line="276" w:lineRule="auto"/>
    </w:pPr>
    <w:rPr>
      <w:rFonts w:ascii="WenQuanYi Micro Hei" w:hAnsi="WenQuanYi Micro 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David</cp:lastModifiedBy>
  <dcterms:modified xsi:type="dcterms:W3CDTF">2026-07-05T16:56:53Z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{"Label":"1","ContentProducer":"001191440300708461136T1WFUO","ProduceID":"8ac42d9861b192c931b6a193acfd77fb-eNLM","ReservedCode1":"{\"Type\":\" TC260PG\",\"Version\":1,\"Bindings\":[{\"Type\":\"soft\",\"AlgID\":\"sm3\",\"Value\":\"53cf15f4a8efc4cfcf61dc06d4ab01ae5fa85fadaf71f99d1eed917b2d43cce5\"},{\"Type\":\"hash\",\"AlgID\":\"sm3\",\"Value\":\"b17a58ea3cfae0d961b20f88bd6113eafa8eae4a7de8dec8f4ce013881afbdc7\"}],\"PubSD\":[{\"Type\":\"DS\",\"AlgID\":\"sm2\",\"TBSData\":{\"Type\":\"Binding\",\"BType\":\"hash\"},\"Signature\":\"304502202b457be0f0f6589648865c3b16cd8573773dac63bafe65252f5f8448a1544e66022100b97bff0ffa494a7830774faa11e0d7f716c02a23765a7ece087dbb9a64020af5\"},{\"Type\":\"PubKey\",\"AlgID\":\"sm2\",\"KeyValue\":\"0407f79b28a17a752b3aae4305c98b48978213832729a2571850b1310b2bc9fe8fee039ccf25ebfeac27502414d9fcef792d777183c98893d226171c2f7a3289a2\"}],\"Extension\":{\"Timestamp\":1783057973,\"KeyVersion\":\"v1-TxLeOmf7bqU223\"}}","ContentPropagator":"001191440300708461136T1WFUO","PropagateID":"8ac42d9861b192c931b6a193acfd77fb-eNLM","ReservedCode2":"{\"Type\":\" TC260PG\",\"Version\":1,\"Bindings\":[{\"Type\":\"soft\",\"AlgID\":\"sm3\",\"Value\":\"53cf15f4a8efc4cfcf61dc06d4ab01ae5fa85fadaf71f99d1eed917b2d43cce5\"},{\"Type\":\"hash\",\"AlgID\":\"sm3\",\"Value\":\"b17a58ea3cfae0d961b20f88bd6113eafa8eae4a7de8dec8f4ce013881afbdc7\"}],\"PubSD\":[{\"Type\":\"DS\",\"AlgID\":\"sm2\",\"TBSData\":{\"Type\":\"Binding\",\"BType\":\"hash\"},\"Signature\":\"304502201c02111e49f7fab054b79649b4ae37384d8da1ff8fee71d138b4feda9b86a5a4022100f79ed54a310bb36b842028d0282aa102a4ed2e76af09f6344588697384d5411a\"},{\"Type\":\"PubKey\",\"AlgID\":\"sm2\",\"KeyValue\":\"0407f79b28a17a752b3aae4305c98b48978213832729a2571850b1310b2bc9fe8fee039ccf25ebfeac27502414d9fcef792d777183c98893d226171c2f7a3289a2\"}],\"Extension\":{\"Timestamp\":1783057973,\"KeyVersion\":\"v1-TxLeOmf7bqU223\"}}"}</vt:lpwstr>
  </property>
  <property fmtid="{D5CDD505-2E9C-101B-9397-08002B2CF9AE}" pid="3" name="KSOProductBuildVer">
    <vt:lpwstr>2052-6.8.2.8850</vt:lpwstr>
  </property>
  <property fmtid="{D5CDD505-2E9C-101B-9397-08002B2CF9AE}" pid="4" name="ICV">
    <vt:lpwstr>0529A8EF5A51DED0551C4A6A0052DCEB_42</vt:lpwstr>
  </property>
</Properties>
</file>