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NGHIỆM THU KHỐI LƯỢNG ĐỂ THANH TOÁN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pPr>
        <w:jc w:val="both"/>
      </w:pPr>
      <w:r>
        <w:rPr>
          <w:b w:val="0"/>
        </w:rPr>
        <w:t xml:space="preserve">Giá trị hợp đồng: </w:t>
      </w:r>
      <w:r>
        <w:t>{HopDong.GiaTri}</w:t>
      </w:r>
    </w:p>
    <w:p>
      <w:r>
        <w:rPr>
          <w:b/>
          <w:i w:val="0"/>
        </w:rPr>
        <w:t>I. THÀNH PHẦN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XÁC NHẬN KHỐI LƯỢNG, GIÁ TRỊ ĐỢT {DotNghiemThu.So}</w:t>
      </w:r>
    </w:p>
    <w:p>
      <w:pPr>
        <w:jc w:val="both"/>
      </w:pPr>
      <w:r>
        <w:rPr>
          <w:b w:val="0"/>
        </w:rPr>
        <w:t xml:space="preserve">Giá trị nghiệm thu đợt này: </w:t>
      </w:r>
      <w:r>
        <w:t>{DotNghiemThu.GiaTri}</w:t>
      </w:r>
    </w:p>
    <w:p>
      <w:pPr>
        <w:jc w:val="both"/>
      </w:pPr>
      <w:r>
        <w:rPr>
          <w:b w:val="0"/>
        </w:rPr>
        <w:t xml:space="preserve">Khấu trừ tạm ứng: </w:t>
      </w:r>
      <w:r>
        <w:t>{DotNghiemThu.KhauTruTamUng}</w:t>
      </w:r>
    </w:p>
    <w:p>
      <w:pPr>
        <w:jc w:val="both"/>
      </w:pPr>
      <w:r>
        <w:rPr>
          <w:b w:val="0"/>
        </w:rPr>
        <w:t xml:space="preserve">Giữ lại bảo hành: </w:t>
      </w:r>
      <w:r>
        <w:t>{DotNghiemThu.GiuBaoHanh}</w:t>
      </w:r>
    </w:p>
    <w:p>
      <w:pPr>
        <w:jc w:val="both"/>
      </w:pPr>
      <w:r>
        <w:rPr>
          <w:b w:val="0"/>
        </w:rPr>
        <w:t xml:space="preserve">Giá trị đề nghị thanh toán: </w:t>
      </w:r>
      <w:r>
        <w:t>{DotNghiemThu.DeNghiThanhToan}</w:t>
      </w:r>
    </w:p>
    <w:p>
      <w:r>
        <w:rPr>
          <w:b w:val="0"/>
          <w:i/>
        </w:rPr>
        <w:t>(Chi tiết khối lượng theo bảng tính kèm theo)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NHÀ THẦU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CHỦ ĐẦU TƯ / {TuVanQLDA.Ten}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