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BÀN GIAO MẶT BẰNG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r>
        <w:rPr>
          <w:b/>
          <w:i w:val="0"/>
        </w:rPr>
        <w:t>I. THÀNH PHẦN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NỘI DUNG BÀN GIAO</w:t>
      </w:r>
    </w:p>
    <w:p>
      <w:r>
        <w:rPr>
          <w:b w:val="0"/>
          <w:i w:val="0"/>
        </w:rPr>
        <w:t>{NoiDungBanGiao}</w:t>
      </w:r>
    </w:p>
    <w:p>
      <w:pPr>
        <w:jc w:val="both"/>
      </w:pPr>
      <w:r>
        <w:rPr>
          <w:b w:val="0"/>
          <w:i w:val="0"/>
        </w:rPr>
        <w:t>Kể từ ngày ký biên bản, nhà thầu chịu trách nhiệm quản lý mặt bằng được bàn giao.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BÊN NHẬN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BÊN GIAO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