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AD8A45"/>
          <w:sz w:val="30"/>
        </w:rPr>
        <w:t>TECHNICAL DOCUMENTATION</w:t>
      </w:r>
    </w:p>
    <w:p>
      <w:pPr>
        <w:jc w:val="center"/>
      </w:pPr>
      <w:r>
        <w:rPr>
          <w:rFonts w:ascii="Calibri" w:hAnsi="Calibri"/>
          <w:b/>
          <w:color w:val="111827"/>
          <w:sz w:val="80"/>
        </w:rPr>
        <w:t>FinTrack Prime</w:t>
      </w:r>
    </w:p>
    <w:p>
      <w:pPr>
        <w:jc w:val="center"/>
      </w:pPr>
      <w:r>
        <w:rPr>
          <w:i/>
          <w:color w:val="4B5563"/>
          <w:sz w:val="28"/>
        </w:rPr>
        <w:t>Frontend (Client-Side) Application</w:t>
      </w:r>
    </w:p>
    <w:p/>
    <w:p/>
    <w:p/>
    <w:p/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744"/>
          </w:tcPr>
          <w:p>
            <w:r>
              <w:rPr>
                <w:b/>
                <w:color w:val="111827"/>
              </w:rPr>
              <w:t>Project</w:t>
            </w:r>
          </w:p>
        </w:tc>
        <w:tc>
          <w:tcPr>
            <w:tcW w:type="dxa" w:w="3744"/>
          </w:tcPr>
          <w:p>
            <w:r>
              <w:rPr>
                <w:color w:val="4B5563"/>
              </w:rPr>
              <w:t>FinTrack Prime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color w:val="111827"/>
              </w:rPr>
              <w:t>Component documented</w:t>
            </w:r>
          </w:p>
        </w:tc>
        <w:tc>
          <w:tcPr>
            <w:tcW w:type="dxa" w:w="3744"/>
          </w:tcPr>
          <w:p>
            <w:r>
              <w:rPr>
                <w:color w:val="4B5563"/>
              </w:rPr>
              <w:t>Client-side (frontend) application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color w:val="111827"/>
              </w:rPr>
              <w:t>Prepared by</w:t>
            </w:r>
          </w:p>
        </w:tc>
        <w:tc>
          <w:tcPr>
            <w:tcW w:type="dxa" w:w="3744"/>
          </w:tcPr>
          <w:p>
            <w:r>
              <w:rPr>
                <w:color w:val="4B5563"/>
              </w:rPr>
              <w:t>[Student name(s)]</w:t>
            </w:r>
          </w:p>
        </w:tc>
      </w:tr>
      <w:tr>
        <w:tc>
          <w:tcPr>
            <w:tcW w:type="dxa" w:w="3744"/>
          </w:tcPr>
          <w:p>
            <w:r>
              <w:rPr>
                <w:b/>
                <w:color w:val="111827"/>
              </w:rPr>
              <w:t>Date</w:t>
            </w:r>
          </w:p>
        </w:tc>
        <w:tc>
          <w:tcPr>
            <w:tcW w:type="dxa" w:w="3744"/>
          </w:tcPr>
          <w:p>
            <w:r>
              <w:rPr>
                <w:color w:val="4B5563"/>
              </w:rPr>
              <w:t>[Defense/submission date]</w:t>
            </w:r>
          </w:p>
        </w:tc>
      </w:tr>
    </w:tbl>
    <w:p>
      <w:r>
        <w:br w:type="page"/>
      </w:r>
    </w:p>
    <w:p>
      <w:pPr>
        <w:pStyle w:val="Heading1"/>
      </w:pPr>
      <w:r>
        <w:t>1. Introduction</w:t>
      </w:r>
    </w:p>
    <w:p>
      <w:r>
        <w:rPr>
          <w:b w:val="0"/>
          <w:i w:val="0"/>
          <w:sz w:val="22"/>
        </w:rPr>
        <w:t>This document describes the technical implementation of the FinTrack Prime frontend: the technologies it is built with, how users are authenticated, how the interface is styled, and how each screen gets its data. It is scoped to the client-side (browser) application only. The backend (an ASP.NET Core Web API) is a separate project; it is referenced here only where the frontend directly depends on it — the API endpoints it calls and the data shapes it expects.</w:t>
      </w:r>
    </w:p>
    <w:p>
      <w:r>
        <w:rPr>
          <w:b w:val="0"/>
          <w:i w:val="0"/>
          <w:sz w:val="22"/>
        </w:rPr>
        <w:t>Everything in this document is drawn directly from the project's source code and configuration files, not from assumptions about how a typical app of this kind might be built.</w:t>
      </w:r>
    </w:p>
    <w:p>
      <w:pPr>
        <w:pStyle w:val="Heading1"/>
      </w:pPr>
      <w:r>
        <w:t>2. Technology Stack</w:t>
      </w:r>
    </w:p>
    <w:p>
      <w:r>
        <w:rPr>
          <w:b w:val="0"/>
          <w:i w:val="0"/>
          <w:sz w:val="22"/>
        </w:rPr>
        <w:t>Core technologies used to build and run the application, with the exact versions pinned in package.json: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1584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type="dxa" w:w="216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Technology</w:t>
            </w:r>
          </w:p>
        </w:tc>
        <w:tc>
          <w:tcPr>
            <w:tcW w:type="dxa" w:w="1584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4032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 in this project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Language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TypeScript</w:t>
            </w:r>
          </w:p>
        </w:tc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~6.0.2</w:t>
            </w:r>
          </w:p>
        </w:tc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Static typing across the whole codebase</w:t>
            </w:r>
          </w:p>
        </w:tc>
      </w:tr>
      <w:tr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UI library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React</w:t>
            </w:r>
          </w:p>
        </w:tc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^19.2.8</w:t>
            </w:r>
          </w:p>
        </w:tc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Component-based UI rendering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Build tool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Vite</w:t>
            </w:r>
          </w:p>
        </w:tc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^8.2.0</w:t>
            </w:r>
          </w:p>
        </w:tc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Dev server and production bundling</w:t>
            </w:r>
          </w:p>
        </w:tc>
      </w:tr>
      <w:tr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Routing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React Router</w:t>
            </w:r>
          </w:p>
        </w:tc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^7.11.0</w:t>
            </w:r>
          </w:p>
        </w:tc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Client-side page navigation and route guards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Server-state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TanStack Query</w:t>
            </w:r>
          </w:p>
        </w:tc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^5.101.4</w:t>
            </w:r>
          </w:p>
        </w:tc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Fetching/caching data from the backend API</w:t>
            </w:r>
          </w:p>
        </w:tc>
      </w:tr>
      <w:tr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HTTP client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Axios</w:t>
            </w:r>
          </w:p>
        </w:tc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^1.19.0</w:t>
            </w:r>
          </w:p>
        </w:tc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All REST calls, with a JWT-attaching interceptor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Styling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Tailwind CSS</w:t>
            </w:r>
          </w:p>
        </w:tc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^4.3.3 (v4)</w:t>
            </w:r>
          </w:p>
        </w:tc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Utility-first styling driven by design tokens</w:t>
            </w:r>
          </w:p>
        </w:tc>
      </w:tr>
      <w:tr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Component primitives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Radix UI</w:t>
            </w:r>
          </w:p>
        </w:tc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1.x (10 packages)</w:t>
            </w:r>
          </w:p>
        </w:tc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Accessible unstyled building blocks (dialog, dropdown, tabs, etc.)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Icons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lucide-react</w:t>
            </w:r>
          </w:p>
        </w:tc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^1.28.0</w:t>
            </w:r>
          </w:p>
        </w:tc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Consistent icon set across the app</w:t>
            </w:r>
          </w:p>
        </w:tc>
      </w:tr>
      <w:tr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Charts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Recharts</w:t>
            </w:r>
          </w:p>
        </w:tc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^3.10.1</w:t>
            </w:r>
          </w:p>
        </w:tc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All reporting/dashboard charts</w:t>
            </w:r>
          </w:p>
        </w:tc>
      </w:tr>
      <w:tr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PWA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vite-plugin-pwa</w:t>
            </w:r>
          </w:p>
        </w:tc>
        <w:tc>
          <w:tcPr>
            <w:tcW w:type="dxa" w:w="1584"/>
          </w:tcPr>
          <w:p>
            <w:r/>
            <w:r>
              <w:rPr>
                <w:color w:val="1F2937"/>
                <w:sz w:val="19"/>
              </w:rPr>
              <w:t>^1.3.0</w:t>
            </w:r>
          </w:p>
        </w:tc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Installable app, offline fallback, service worker</w:t>
            </w:r>
          </w:p>
        </w:tc>
      </w:tr>
      <w:tr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Linting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oxlint</w:t>
            </w:r>
          </w:p>
        </w:tc>
        <w:tc>
          <w:tcPr>
            <w:tcW w:type="dxa" w:w="158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^1.75.0</w:t>
            </w:r>
          </w:p>
        </w:tc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Static code checks (npm run lint)</w:t>
            </w:r>
          </w:p>
        </w:tc>
      </w:tr>
    </w:tbl>
    <w:p/>
    <w:p>
      <w:pPr>
        <w:pStyle w:val="Heading2"/>
      </w:pPr>
      <w:r>
        <w:t>2.1 Radix UI packages used</w:t>
      </w:r>
    </w:p>
    <w:p>
      <w:pPr>
        <w:pStyle w:val="ListBullet"/>
      </w:pPr>
      <w:r>
        <w:t>@radix-ui/react-accordion, react-avatar, react-dialog, react-dropdown-menu,</w:t>
      </w:r>
    </w:p>
    <w:p>
      <w:pPr>
        <w:pStyle w:val="ListBullet"/>
      </w:pPr>
      <w:r>
        <w:t>react-progress, react-select, react-slider, react-switch, react-tabs,</w:t>
      </w:r>
    </w:p>
    <w:p>
      <w:pPr>
        <w:pStyle w:val="ListBullet"/>
      </w:pPr>
      <w:r>
        <w:t>react-toast, react-tooltip</w:t>
      </w:r>
    </w:p>
    <w:p>
      <w:pPr>
        <w:ind w:left="360"/>
      </w:pPr>
      <w:r>
        <w:rPr>
          <w:b/>
          <w:color w:val="AD8A45"/>
          <w:sz w:val="20"/>
        </w:rPr>
        <w:t xml:space="preserve">Note: </w:t>
      </w:r>
      <w:r>
        <w:rPr>
          <w:i/>
          <w:color w:val="4B5563"/>
          <w:sz w:val="20"/>
        </w:rPr>
        <w:t>Radix supplies unstyled, accessible behaviour (focus trapping, keyboard navigation, ARIA attributes); all visual styling is applied with Tailwind on top of it.</w:t>
      </w:r>
    </w:p>
    <w:p>
      <w:pPr>
        <w:pStyle w:val="Heading1"/>
      </w:pPr>
      <w:r>
        <w:t>3. Project Structure</w:t>
      </w:r>
    </w:p>
    <w:p>
      <w:r>
        <w:rPr>
          <w:b w:val="0"/>
          <w:i w:val="0"/>
          <w:sz w:val="22"/>
        </w:rPr>
        <w:t>The application source lives under src/, organized by responsibility rather than by page: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2592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Folder</w:t>
            </w:r>
          </w:p>
        </w:tc>
        <w:tc>
          <w:tcPr>
            <w:tcW w:type="dxa" w:w="64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Contains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src/pages</w:t>
            </w:r>
          </w:p>
        </w:tc>
        <w:tc>
          <w:tcPr>
            <w:tcW w:type="dxa" w:w="6480"/>
          </w:tcPr>
          <w:p>
            <w:r/>
            <w:r>
              <w:rPr>
                <w:color w:val="1F2937"/>
                <w:sz w:val="19"/>
              </w:rPr>
              <w:t>One file per screen (Login, Dashboard, Budget Planner, Cash Flow, Upgrade, the 4 premium tools, etc.)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src/components</w:t>
            </w:r>
          </w:p>
        </w:tc>
        <w:tc>
          <w:tcPr>
            <w:tcW w:type="dxa" w:w="64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Shared, non-page components (AppLayout, Sidebar, TopNav, modals, route guards)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src/components/ui</w:t>
            </w:r>
          </w:p>
        </w:tc>
        <w:tc>
          <w:tcPr>
            <w:tcW w:type="dxa" w:w="6480"/>
          </w:tcPr>
          <w:p>
            <w:r/>
            <w:r>
              <w:rPr>
                <w:color w:val="1F2937"/>
                <w:sz w:val="19"/>
              </w:rPr>
              <w:t>The 24-component design-system library (Button, Input, Card, Modal, Table, Toast, etc.)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src/context</w:t>
            </w:r>
          </w:p>
        </w:tc>
        <w:tc>
          <w:tcPr>
            <w:tcW w:type="dxa" w:w="64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React Context providers: AuthContext (session), ThemeContext (light/dark)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src/api</w:t>
            </w:r>
          </w:p>
        </w:tc>
        <w:tc>
          <w:tcPr>
            <w:tcW w:type="dxa" w:w="6480"/>
          </w:tcPr>
          <w:p>
            <w:r/>
            <w:r>
              <w:rPr>
                <w:color w:val="1F2937"/>
                <w:sz w:val="19"/>
              </w:rPr>
              <w:t>One file per backend domain (auth, accounts, budgetPlanner, cashFlow, checkout, loanCalculator, investmentTracker, retirementPlanner, financialStatement) plus the shared Axios client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src/hooks</w:t>
            </w:r>
          </w:p>
        </w:tc>
        <w:tc>
          <w:tcPr>
            <w:tcW w:type="dxa" w:w="64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Reusable hooks: useDebouncedCallback, useGoogleIdentityScript, useInstallPrompt, usePayPalScript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src/types</w:t>
            </w:r>
          </w:p>
        </w:tc>
        <w:tc>
          <w:tcPr>
            <w:tcW w:type="dxa" w:w="6480"/>
          </w:tcPr>
          <w:p>
            <w:r/>
            <w:r>
              <w:rPr>
                <w:color w:val="1F2937"/>
                <w:sz w:val="19"/>
              </w:rPr>
              <w:t>Shared TypeScript interfaces mirroring the backend's view models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src/config</w:t>
            </w:r>
          </w:p>
        </w:tc>
        <w:tc>
          <w:tcPr>
            <w:tcW w:type="dxa" w:w="64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Navigation configuration (single source of truth for sidebar/breadcrumbs)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src/utils</w:t>
            </w:r>
          </w:p>
        </w:tc>
        <w:tc>
          <w:tcPr>
            <w:tcW w:type="dxa" w:w="6480"/>
          </w:tcPr>
          <w:p>
            <w:r/>
            <w:r>
              <w:rPr>
                <w:color w:val="1F2937"/>
                <w:sz w:val="19"/>
              </w:rPr>
              <w:t>Small helpers: class-name merging, number formatting, API error parsing</w:t>
            </w:r>
          </w:p>
        </w:tc>
      </w:tr>
    </w:tbl>
    <w:p/>
    <w:p>
      <w:pPr>
        <w:pStyle w:val="Heading2"/>
      </w:pPr>
      <w:r>
        <w:t>3.1 Layered architecture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15931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01_layered_architectu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593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9"/>
        </w:rPr>
        <w:t>Figure 1 — How a page's request reaches the backend, layer by layer.</w:t>
      </w:r>
    </w:p>
    <w:p>
      <w:pPr>
        <w:pStyle w:val="Heading1"/>
      </w:pPr>
      <w:r>
        <w:t>4. Authentication Mechanisms</w:t>
      </w:r>
    </w:p>
    <w:p>
      <w:r>
        <w:rPr>
          <w:b w:val="0"/>
          <w:i w:val="0"/>
          <w:sz w:val="22"/>
        </w:rPr>
        <w:t>The application supports two ways to sign in, both of which end in the same kind of session: a short-lived JSON Web Token (JWT) kept in memory, backed by an HttpOnly refresh cookie the browser cannot read directly.</w:t>
      </w:r>
    </w:p>
    <w:p>
      <w:pPr>
        <w:pStyle w:val="Heading2"/>
      </w:pPr>
      <w:r>
        <w:t>4.1 Email and password</w:t>
      </w:r>
    </w:p>
    <w:p>
      <w:r>
        <w:rPr>
          <w:b w:val="0"/>
          <w:i w:val="0"/>
          <w:sz w:val="22"/>
        </w:rPr>
        <w:t>The Login and Register pages collect credentials and call POST /api/auth/login or POST /api/auth/register (src/api/auth.ts). A successful response is an AuthResponse: an access token, its expiry timestamp, the user's name/email, and the list of premium tools already unlocked.</w:t>
      </w:r>
    </w:p>
    <w:p>
      <w:pPr>
        <w:pStyle w:val="Heading2"/>
      </w:pPr>
      <w:r>
        <w:t>4.2 Google Sign-In</w:t>
      </w:r>
    </w:p>
    <w:p>
      <w:r>
        <w:rPr>
          <w:b w:val="0"/>
          <w:i w:val="0"/>
          <w:sz w:val="22"/>
        </w:rPr>
        <w:t>GoogleSignInButton (src/components/GoogleSignInButton.tsx) loads Google's Identity Services script directly — there is no npm package for this, just a &lt;script&gt; tag loaded by the useGoogleIdentityScript hook. Once loaded, it renders Google's own button and receives a signed ID token when the user picks an account. That token is sent to POST /api/auth/google, which returns the same AuthResponse shape as password login/register — so the rest of the app (AuthContext, route guards) treats every sign-in method identically.</w:t>
      </w:r>
    </w:p>
    <w:p>
      <w:pPr>
        <w:ind w:left="360"/>
      </w:pPr>
      <w:r>
        <w:rPr>
          <w:b/>
          <w:color w:val="AD8A45"/>
          <w:sz w:val="20"/>
        </w:rPr>
        <w:t xml:space="preserve">Note: </w:t>
      </w:r>
      <w:r>
        <w:rPr>
          <w:i/>
          <w:color w:val="4B5563"/>
          <w:sz w:val="20"/>
        </w:rPr>
        <w:t>The Google Client ID is supplied through the VITE_GOOGLE_CLIENT_ID environment variable and must exactly match the ID configured on the backend, or the backend rejects the token.</w:t>
      </w:r>
    </w:p>
    <w:p>
      <w:pPr>
        <w:pStyle w:val="Heading2"/>
      </w:pPr>
      <w:r>
        <w:t>4.3 Session handling and automatic refresh</w:t>
      </w:r>
    </w:p>
    <w:p>
      <w:pPr>
        <w:pStyle w:val="ListBullet"/>
      </w:pPr>
      <w:r>
        <w:t>The access token is kept only in memory (src/api/authSession.ts) — a page refresh starts with none.</w:t>
      </w:r>
    </w:p>
    <w:p>
      <w:pPr>
        <w:pStyle w:val="ListBullet"/>
      </w:pPr>
      <w:r>
        <w:t>On every app load, the frontend silently calls POST /api/auth/refresh, trading the HttpOnly ftp_refresh cookie for a new access token before deciding whether the user is logged in.</w:t>
      </w:r>
    </w:p>
    <w:p>
      <w:pPr>
        <w:pStyle w:val="ListBullet"/>
      </w:pPr>
      <w:r>
        <w:t>AuthContext schedules a proactive refresh shortly before the current token's expiry, so an in-flight request never straddles the boundary.</w:t>
      </w:r>
    </w:p>
    <w:p>
      <w:pPr>
        <w:pStyle w:val="ListBullet"/>
      </w:pPr>
      <w:r>
        <w:t>The Axios response interceptor (src/api/client.ts) catches any 401 from a non-auth endpoint, refreshes once, and retries the original request. Concurrent 401s share one in-flight refresh call rather than each racing their own.</w:t>
      </w:r>
    </w:p>
    <w:p>
      <w:pPr>
        <w:pStyle w:val="ListBullet"/>
      </w:pPr>
      <w:r>
        <w:t>If refresh itself fails, the session is cleared and an AUTH_EXPIRED_EVENT is dispatched, which logs the user out and redirects to /login from anywhere in the app — not a per-screen check.</w:t>
      </w:r>
    </w:p>
    <w:p>
      <w:pPr>
        <w:pStyle w:val="Heading2"/>
      </w:pPr>
      <w:r>
        <w:t>4.4 Route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Behaviour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ProtectedRoute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Wraps every authenticated route; redirects to /login if there is no session (waits for the startup refresh to settle first).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PremiumRoute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Wraps each of the 4 premium-tool routes; redirects to /upgrade?tool=&lt;name&gt; unless that specific tool is in the user's unlockedTools list.</w:t>
            </w:r>
          </w:p>
        </w:tc>
      </w:tr>
    </w:tbl>
    <w:p/>
    <w:p>
      <w:pPr>
        <w:ind w:left="360"/>
      </w:pPr>
      <w:r>
        <w:rPr>
          <w:b/>
          <w:color w:val="AD8A45"/>
          <w:sz w:val="20"/>
        </w:rPr>
        <w:t xml:space="preserve">Note: </w:t>
      </w:r>
      <w:r>
        <w:rPr>
          <w:i/>
          <w:color w:val="4B5563"/>
          <w:sz w:val="20"/>
        </w:rPr>
        <w:t>PremiumRoute is a frontend convenience only, so a non-premium user isn't shown a screen that would immediately fail. The real access control is enforced by the backend's per-tool authorization policy.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760720" cy="460251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_02_auth_session_flow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60251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4B5563"/>
          <w:sz w:val="19"/>
        </w:rPr>
        <w:t>Figure 2 — Sign-in (password or Google) and the automatic refresh/retry cycle.</w:t>
      </w:r>
    </w:p>
    <w:p>
      <w:pPr>
        <w:pStyle w:val="Heading1"/>
      </w:pPr>
      <w:r>
        <w:t>5. Styling System</w:t>
      </w:r>
    </w:p>
    <w:p>
      <w:r>
        <w:rPr>
          <w:b w:val="0"/>
          <w:i w:val="0"/>
          <w:sz w:val="22"/>
        </w:rPr>
        <w:t>Tailwind CSS v4 provides all styling, configured through CSS custom properties (design tokens) in src/index.css rather than a JavaScript config file — Tailwind v4's @theme block.</w:t>
      </w:r>
    </w:p>
    <w:p>
      <w:pPr>
        <w:pStyle w:val="Heading2"/>
      </w:pPr>
      <w:r>
        <w:t>5.1 Design tokens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Token group</w:t>
            </w:r>
          </w:p>
        </w:tc>
        <w:tc>
          <w:tcPr>
            <w:tcW w:type="dxa" w:w="4608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Examples</w:t>
            </w:r>
          </w:p>
        </w:tc>
        <w:tc>
          <w:tcPr>
            <w:tcW w:type="dxa" w:w="360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F2937"/>
                <w:sz w:val="19"/>
              </w:rPr>
              <w:t>Brand colors</w:t>
            </w:r>
          </w:p>
        </w:tc>
        <w:tc>
          <w:tcPr>
            <w:tcW w:type="dxa" w:w="4608"/>
          </w:tcPr>
          <w:p>
            <w:r/>
            <w:r>
              <w:rPr>
                <w:color w:val="1F2937"/>
                <w:sz w:val="19"/>
              </w:rPr>
              <w:t>--color-ft-navy, --color-ft-gold, --color-ft-blue</w:t>
            </w:r>
          </w:p>
        </w:tc>
        <w:tc>
          <w:tcPr>
            <w:tcW w:type="dxa" w:w="3600"/>
          </w:tcPr>
          <w:p>
            <w:r/>
            <w:r>
              <w:rPr>
                <w:color w:val="1F2937"/>
                <w:sz w:val="19"/>
              </w:rPr>
              <w:t>The fixed brand palette, carried over from the original site</w:t>
            </w:r>
          </w:p>
        </w:tc>
      </w:tr>
      <w:tr>
        <w:tc>
          <w:tcPr>
            <w:tcW w:type="dxa" w:w="230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Semantic surface/text</w:t>
            </w:r>
          </w:p>
        </w:tc>
        <w:tc>
          <w:tcPr>
            <w:tcW w:type="dxa" w:w="4608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--color-surface, --color-text-primary, --color-border</w:t>
            </w:r>
          </w:p>
        </w:tc>
        <w:tc>
          <w:tcPr>
            <w:tcW w:type="dxa" w:w="360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Components read these, never raw hex — so theme changes never touch component code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F2937"/>
                <w:sz w:val="19"/>
              </w:rPr>
              <w:t>Status colors</w:t>
            </w:r>
          </w:p>
        </w:tc>
        <w:tc>
          <w:tcPr>
            <w:tcW w:type="dxa" w:w="4608"/>
          </w:tcPr>
          <w:p>
            <w:r/>
            <w:r>
              <w:rPr>
                <w:color w:val="1F2937"/>
                <w:sz w:val="19"/>
              </w:rPr>
              <w:t>--color-status-good/warning/serious/critical</w:t>
            </w:r>
          </w:p>
        </w:tc>
        <w:tc>
          <w:tcPr>
            <w:tcW w:type="dxa" w:w="3600"/>
          </w:tcPr>
          <w:p>
            <w:r/>
            <w:r>
              <w:rPr>
                <w:color w:val="1F2937"/>
                <w:sz w:val="19"/>
              </w:rPr>
              <w:t>Reserved for state (e.g. an unusual-transaction flag), never reused for chart series</w:t>
            </w:r>
          </w:p>
        </w:tc>
      </w:tr>
      <w:tr>
        <w:tc>
          <w:tcPr>
            <w:tcW w:type="dxa" w:w="230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Chart colors</w:t>
            </w:r>
          </w:p>
        </w:tc>
        <w:tc>
          <w:tcPr>
            <w:tcW w:type="dxa" w:w="4608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--color-chart-series-1 … 8, sequential, diverging</w:t>
            </w:r>
          </w:p>
        </w:tc>
        <w:tc>
          <w:tcPr>
            <w:tcW w:type="dxa" w:w="360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 colorblind-safe reference palette dedicated to charts</w:t>
            </w:r>
          </w:p>
        </w:tc>
      </w:tr>
      <w:tr>
        <w:tc>
          <w:tcPr>
            <w:tcW w:type="dxa" w:w="2304"/>
          </w:tcPr>
          <w:p>
            <w:r/>
            <w:r>
              <w:rPr>
                <w:color w:val="1F2937"/>
                <w:sz w:val="19"/>
              </w:rPr>
              <w:t>Typography</w:t>
            </w:r>
          </w:p>
        </w:tc>
        <w:tc>
          <w:tcPr>
            <w:tcW w:type="dxa" w:w="4608"/>
          </w:tcPr>
          <w:p>
            <w:r/>
            <w:r>
              <w:rPr>
                <w:color w:val="1F2937"/>
                <w:sz w:val="19"/>
              </w:rPr>
              <w:t>--font-display (Libre Caslon Text), --font-body (Public Sans)</w:t>
            </w:r>
          </w:p>
        </w:tc>
        <w:tc>
          <w:tcPr>
            <w:tcW w:type="dxa" w:w="3600"/>
          </w:tcPr>
          <w:p>
            <w:r/>
            <w:r>
              <w:rPr>
                <w:color w:val="1F2937"/>
                <w:sz w:val="19"/>
              </w:rPr>
              <w:t>Serif display type paired with a sans body face, matching the original brand</w:t>
            </w:r>
          </w:p>
        </w:tc>
      </w:tr>
    </w:tbl>
    <w:p/>
    <w:p>
      <w:pPr>
        <w:pStyle w:val="Heading2"/>
      </w:pPr>
      <w:r>
        <w:t>5.2 Light and dark mode</w:t>
      </w:r>
    </w:p>
    <w:p>
      <w:r>
        <w:rPr>
          <w:b w:val="0"/>
          <w:i w:val="0"/>
          <w:sz w:val="22"/>
        </w:rPr>
        <w:t>Dark mode is class-based: a .dark class on &lt;html&gt; re-maps the semantic tokens above via Tailwind v4's @custom-variant. ThemeContext reads the saved preference from localStorage (falling back to the OS-level prefers-color-scheme), and a ThemeToggle component flips it.</w:t>
      </w:r>
    </w:p>
    <w:p>
      <w:pPr>
        <w:pStyle w:val="Heading2"/>
      </w:pPr>
      <w:r>
        <w:t>5.3 Component library</w:t>
      </w:r>
    </w:p>
    <w:p>
      <w:r>
        <w:rPr>
          <w:b w:val="0"/>
          <w:i w:val="0"/>
          <w:sz w:val="22"/>
        </w:rPr>
        <w:t>24 shared components live under src/components/ui, each independently responsive rather than relying on a parent's breakpoint:</w:t>
      </w:r>
    </w:p>
    <w:p>
      <w:pPr>
        <w:pStyle w:val="ListBullet"/>
      </w:pPr>
      <w:r>
        <w:t>Inputs: Button, IconButton, Input, Select, Textarea, Checkbox, Switch, Slider</w:t>
      </w:r>
    </w:p>
    <w:p>
      <w:pPr>
        <w:pStyle w:val="ListBullet"/>
      </w:pPr>
      <w:r>
        <w:t>Layout/display: Card, Badge, Avatar, StatCard, Table, Breadcrumbs, EmptyState</w:t>
      </w:r>
    </w:p>
    <w:p>
      <w:pPr>
        <w:pStyle w:val="ListBullet"/>
      </w:pPr>
      <w:r>
        <w:t>Navigation/overlay: Tabs, Accordion, Modal, DropdownMenu, Tooltip, Toast</w:t>
      </w:r>
    </w:p>
    <w:p>
      <w:pPr>
        <w:pStyle w:val="ListBullet"/>
      </w:pPr>
      <w:r>
        <w:t>Feedback: Skeleton, Spinner, ProgressBar</w:t>
      </w:r>
    </w:p>
    <w:p>
      <w:pPr>
        <w:pStyle w:val="ListBullet"/>
      </w:pPr>
      <w:r>
        <w:t>Theme: ThemeToggle</w:t>
      </w:r>
    </w:p>
    <w:p>
      <w:pPr>
        <w:ind w:left="360"/>
      </w:pPr>
      <w:r>
        <w:rPr>
          <w:b/>
          <w:color w:val="AD8A45"/>
          <w:sz w:val="20"/>
        </w:rPr>
        <w:t xml:space="preserve">Note: </w:t>
      </w:r>
      <w:r>
        <w:rPr>
          <w:i/>
          <w:color w:val="4B5563"/>
          <w:sz w:val="20"/>
        </w:rPr>
        <w:t>Several of these (Select, Switch, Slider, Tabs, Accordion, Dialog, DropdownMenu, Tooltip, Toast, Avatar, Progress) are Tailwind-skinned wrappers around the matching Radix UI primitive.</w:t>
      </w:r>
    </w:p>
    <w:p>
      <w:pPr>
        <w:pStyle w:val="Heading1"/>
      </w:pPr>
      <w:r>
        <w:t>6. State &amp; Data Management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Tool</w:t>
            </w:r>
          </w:p>
        </w:tc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Used for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TanStack Query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Server data that benefits from caching/refetching: dashboard, budget planner, cash flow, and every premium tool's data.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React Context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Small, truly global state that doesn't need Query's caching: the current session (AuthContext) and the light/dark theme (ThemeContext).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Local component state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Per-screen editable state (e.g. budget category amounts) so the UI updates instantly, before any network round trip completes.</w:t>
            </w:r>
          </w:p>
        </w:tc>
      </w:tr>
    </w:tbl>
    <w:p/>
    <w:p>
      <w:pPr>
        <w:pStyle w:val="Heading2"/>
      </w:pPr>
      <w:r>
        <w:t>6.1 Axios client behaviour (src/api/client.ts)</w:t>
      </w:r>
    </w:p>
    <w:p>
      <w:pPr>
        <w:pStyle w:val="ListBullet"/>
      </w:pPr>
      <w:r>
        <w:t>withCredentials: true so the HttpOnly refresh cookie round-trips with every request.</w:t>
      </w:r>
    </w:p>
    <w:p>
      <w:pPr>
        <w:pStyle w:val="ListBullet"/>
      </w:pPr>
      <w:r>
        <w:t>A request interceptor attaches Authorization: Bearer &lt;token&gt; whenever a token exists.</w:t>
      </w:r>
    </w:p>
    <w:p>
      <w:pPr>
        <w:pStyle w:val="ListBullet"/>
      </w:pPr>
      <w:r>
        <w:t>A response interceptor reacts to 401 (refresh + retry, see Section 4.3) and 403 (dispatches a PREMIUM_REQUIRED_EVENT) globally, instead of every screen checking status codes itself.</w:t>
      </w:r>
    </w:p>
    <w:p>
      <w:pPr>
        <w:pStyle w:val="Heading1"/>
      </w:pPr>
      <w:r>
        <w:t>7. Reporting &amp; Data Visualization</w:t>
      </w:r>
    </w:p>
    <w:p>
      <w:r>
        <w:rPr>
          <w:b w:val="0"/>
          <w:i w:val="0"/>
          <w:sz w:val="22"/>
        </w:rPr>
        <w:t>All charts across the app are built with Recharts. Each reporting screen pulls its numbers from one backend endpoint and renders them without any client-side recalculation of totals beyond what's needed for instant-feel editing (Section 9):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736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016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60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Chart(s)</w:t>
            </w:r>
          </w:p>
        </w:tc>
        <w:tc>
          <w:tcPr>
            <w:tcW w:type="dxa" w:w="216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Data source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1F2937"/>
                <w:sz w:val="19"/>
              </w:rPr>
              <w:t>Cash Flow Dashboard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/cash-flow</w:t>
            </w:r>
          </w:p>
        </w:tc>
        <w:tc>
          <w:tcPr>
            <w:tcW w:type="dxa" w:w="3600"/>
          </w:tcPr>
          <w:p>
            <w:r/>
            <w:r>
              <w:rPr>
                <w:color w:val="1F2937"/>
                <w:sz w:val="19"/>
              </w:rPr>
              <w:t>Expense-by-category bar chart, monthly income-vs-expenses trend line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GET /api/cash-flow</w:t>
            </w:r>
          </w:p>
        </w:tc>
      </w:tr>
      <w:tr>
        <w:tc>
          <w:tcPr>
            <w:tcW w:type="dxa" w:w="273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Budget Planner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/budget-planner</w:t>
            </w:r>
          </w:p>
        </w:tc>
        <w:tc>
          <w:tcPr>
            <w:tcW w:type="dxa" w:w="360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Expense-breakdown chart, recomputed live from local edits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GET/PUT budget category endpoints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1F2937"/>
                <w:sz w:val="19"/>
              </w:rPr>
              <w:t>Loan Calculator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/loan-calculator</w:t>
            </w:r>
          </w:p>
        </w:tc>
        <w:tc>
          <w:tcPr>
            <w:tcW w:type="dxa" w:w="3600"/>
          </w:tcPr>
          <w:p>
            <w:r/>
            <w:r>
              <w:rPr>
                <w:color w:val="1F2937"/>
                <w:sz w:val="19"/>
              </w:rPr>
              <w:t>Remaining-balance-over-time chart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POST /api/loan-calculator/calculate</w:t>
            </w:r>
          </w:p>
        </w:tc>
      </w:tr>
      <w:tr>
        <w:tc>
          <w:tcPr>
            <w:tcW w:type="dxa" w:w="273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Investment Portfolio Tracker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/investment-tracker</w:t>
            </w:r>
          </w:p>
        </w:tc>
        <w:tc>
          <w:tcPr>
            <w:tcW w:type="dxa" w:w="360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Allocation pie chart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Investment holdings endpoints</w:t>
            </w:r>
          </w:p>
        </w:tc>
      </w:tr>
      <w:tr>
        <w:tc>
          <w:tcPr>
            <w:tcW w:type="dxa" w:w="2736"/>
          </w:tcPr>
          <w:p>
            <w:r/>
            <w:r>
              <w:rPr>
                <w:color w:val="1F2937"/>
                <w:sz w:val="19"/>
              </w:rPr>
              <w:t>Retirement Planner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/retirement-planner</w:t>
            </w:r>
          </w:p>
        </w:tc>
        <w:tc>
          <w:tcPr>
            <w:tcW w:type="dxa" w:w="3600"/>
          </w:tcPr>
          <w:p>
            <w:r/>
            <w:r>
              <w:rPr>
                <w:color w:val="1F2937"/>
                <w:sz w:val="19"/>
              </w:rPr>
              <w:t>Projected-balance-by-age area chart</w:t>
            </w:r>
          </w:p>
        </w:tc>
        <w:tc>
          <w:tcPr>
            <w:tcW w:type="dxa" w:w="2160"/>
          </w:tcPr>
          <w:p>
            <w:r/>
            <w:r>
              <w:rPr>
                <w:color w:val="1F2937"/>
                <w:sz w:val="19"/>
              </w:rPr>
              <w:t>PUT /api/retirement-planner</w:t>
            </w:r>
          </w:p>
        </w:tc>
      </w:tr>
      <w:tr>
        <w:tc>
          <w:tcPr>
            <w:tcW w:type="dxa" w:w="273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Financial Statement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/financial-statement</w:t>
            </w:r>
          </w:p>
        </w:tc>
        <w:tc>
          <w:tcPr>
            <w:tcW w:type="dxa" w:w="360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Assets-vs-liabilities bar chart</w:t>
            </w:r>
          </w:p>
        </w:tc>
        <w:tc>
          <w:tcPr>
            <w:tcW w:type="dxa" w:w="216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Financial statement endpoints</w:t>
            </w:r>
          </w:p>
        </w:tc>
      </w:tr>
    </w:tbl>
    <w:p/>
    <w:p>
      <w:pPr>
        <w:ind w:left="360"/>
      </w:pPr>
      <w:r>
        <w:rPr>
          <w:b/>
          <w:color w:val="AD8A45"/>
          <w:sz w:val="20"/>
        </w:rPr>
        <w:t xml:space="preserve">Note: </w:t>
      </w:r>
      <w:r>
        <w:rPr>
          <w:i/>
          <w:color w:val="4B5563"/>
          <w:sz w:val="20"/>
        </w:rPr>
        <w:t>Recharts alone pushes the production bundle over Vite's default 500 kB chunk-size warning threshold. This is a known, accepted trade-off for this project's scope, not a build error; code-splitting it is a reasonable later optimization.</w:t>
      </w:r>
    </w:p>
    <w:p>
      <w:pPr>
        <w:pStyle w:val="Heading1"/>
      </w:pPr>
      <w:r>
        <w:t>8. Payments Integration</w:t>
      </w:r>
    </w:p>
    <w:p>
      <w:r>
        <w:rPr>
          <w:b w:val="0"/>
          <w:i w:val="0"/>
          <w:sz w:val="22"/>
        </w:rPr>
        <w:t>The Upgrade screen (/upgrade) renders PayPal's Buttons SDK, loaded via the usePayPalScript hook using the VITE_PAYPAL_CLIENT_ID environment variable. On approval, the frontend calls actions.order.capture() client-side (required before the order's status becomes COMPLETED), then sends the resulting order id to POST /api/checkout/verify. On success, the backend's response is a fresh JWT with the newly purchased tool included in unlockedTools, and the app logs the session in with it immediately — the old token is discarded rather than left to expire naturally.</w:t>
      </w:r>
    </w:p>
    <w:p>
      <w:pPr>
        <w:ind w:left="360"/>
      </w:pPr>
      <w:r>
        <w:rPr>
          <w:b/>
          <w:color w:val="AD8A45"/>
          <w:sz w:val="20"/>
        </w:rPr>
        <w:t xml:space="preserve">Note: </w:t>
      </w:r>
      <w:r>
        <w:rPr>
          <w:i/>
          <w:color w:val="4B5563"/>
          <w:sz w:val="20"/>
        </w:rPr>
        <w:t>The displayed/charged price ($49.00 USD) is hardcoded in UpgradePage.tsx and must match the backend's configured price; changing one side without the other is a known footgun called out directly in the project's README.</w:t>
      </w:r>
    </w:p>
    <w:p>
      <w:pPr>
        <w:pStyle w:val="Heading1"/>
      </w:pPr>
      <w:r>
        <w:t>9. Interaction Pattern: Debounced Auto-Save</w:t>
      </w:r>
    </w:p>
    <w:p>
      <w:r>
        <w:rPr>
          <w:b w:val="0"/>
          <w:i w:val="0"/>
          <w:sz w:val="22"/>
        </w:rPr>
        <w:t>The Budget Planner, Investment Tracker, and Retirement Planner all edit data inline (category amounts, holdings, sliders) using the same pattern, via the useDebouncedCallback hook: local state updates on every keystroke so totals and charts feel instant, while the actual network write is debounced 400-500ms after the user stops interacting. The backend is never hit on every keystroke, and the screen never waits on the network to feel responsive.</w:t>
      </w:r>
    </w:p>
    <w:p>
      <w:pPr>
        <w:pStyle w:val="Heading1"/>
      </w:pPr>
      <w:r>
        <w:t>10. Progressive Web App (PWA) &amp; Build Tooling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Concern</w:t>
            </w:r>
          </w:p>
        </w:tc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Implementation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Installability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vite-plugin-pwa generates a Web App Manifest (name, icons, standalone display, navy theme color).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Offline app shell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Workbox precaches built JS/CSS/HTML/fonts so the app loads and navigates offline.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Offline fallback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public/offline.html — a static page (not a React route) served when a navigation misses the precache.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API data caching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Explicitly set to NetworkOnly for /api/* — a stale balance shown as if live is treated as worse than showing nothing.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Icons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Generated from an on-brand SVG by scripts/generate-pwa-icons.mjs (using the sharp package) into the 192/512/512-maskable/apple-touch sizes.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Install prompt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useInstallPrompt hook surfaces the native beforeinstallprompt event as an in-app "Install app" button.</w:t>
            </w:r>
          </w:p>
        </w:tc>
      </w:tr>
    </w:tbl>
    <w:p/>
    <w:p>
      <w:pPr>
        <w:pStyle w:val="Heading2"/>
      </w:pPr>
      <w:r>
        <w:t>10.1 Build &amp; quality checks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Command</w:t>
            </w:r>
          </w:p>
        </w:tc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What it does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npm run dev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Vite development server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npm run build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TypeScript project build (tsc -b) followed by the Vite production build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npm run lint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oxlint static analysis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npm run preview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Serves the production build locally</w:t>
            </w:r>
          </w:p>
        </w:tc>
      </w:tr>
    </w:tbl>
    <w:p/>
    <w:p>
      <w:pPr>
        <w:pStyle w:val="Heading1"/>
      </w:pPr>
      <w:r>
        <w:t>11. Environment Configuration</w:t>
      </w:r>
    </w:p>
    <w:p>
      <w:r>
        <w:rPr>
          <w:b w:val="0"/>
          <w:i w:val="0"/>
          <w:sz w:val="22"/>
        </w:rPr>
        <w:t>Configured per-environment via a .env.local file (Vite convention: only variables prefixed VITE_ are exposed to the browser):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Variable</w:t>
            </w:r>
          </w:p>
        </w:tc>
        <w:tc>
          <w:tcPr>
            <w:tcW w:type="dxa" w:w="46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Purpose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VITE_API_BASE_URL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Base URL of the backend API (e.g. https://localhost:5001 in development; the deployed MonsterASP.NET URL in production).</w:t>
            </w:r>
          </w:p>
        </w:tc>
      </w:tr>
      <w:tr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VITE_PAYPAL_CLIENT_ID</w:t>
            </w:r>
          </w:p>
        </w:tc>
        <w:tc>
          <w:tcPr>
            <w:tcW w:type="dxa" w:w="46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PayPal Sandbox/Live app's public client id, used by the Buttons SDK.</w:t>
            </w:r>
          </w:p>
        </w:tc>
      </w:tr>
      <w:tr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VITE_GOOGLE_CLIENT_ID</w:t>
            </w:r>
          </w:p>
        </w:tc>
        <w:tc>
          <w:tcPr>
            <w:tcW w:type="dxa" w:w="4680"/>
          </w:tcPr>
          <w:p>
            <w:r/>
            <w:r>
              <w:rPr>
                <w:color w:val="1F2937"/>
                <w:sz w:val="19"/>
              </w:rPr>
              <w:t>Google OAuth Web Client ID; must match the backend's configured Google client id exactly.</w:t>
            </w:r>
          </w:p>
        </w:tc>
      </w:tr>
    </w:tbl>
    <w:p/>
    <w:p>
      <w:pPr>
        <w:pStyle w:val="Heading1"/>
      </w:pPr>
      <w:r>
        <w:t>12. Route Map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Route</w:t>
            </w:r>
          </w:p>
        </w:tc>
        <w:tc>
          <w:tcPr>
            <w:tcW w:type="dxa" w:w="3744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Screen</w:t>
            </w:r>
          </w:p>
        </w:tc>
        <w:tc>
          <w:tcPr>
            <w:tcW w:type="dxa" w:w="2880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Access level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/login</w:t>
            </w:r>
          </w:p>
        </w:tc>
        <w:tc>
          <w:tcPr>
            <w:tcW w:type="dxa" w:w="3744"/>
          </w:tcPr>
          <w:p>
            <w:r/>
            <w:r>
              <w:rPr>
                <w:color w:val="1F2937"/>
                <w:sz w:val="19"/>
              </w:rPr>
              <w:t>Login</w:t>
            </w:r>
          </w:p>
        </w:tc>
        <w:tc>
          <w:tcPr>
            <w:tcW w:type="dxa" w:w="2880"/>
          </w:tcPr>
          <w:p>
            <w:r/>
            <w:r>
              <w:rPr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/register</w:t>
            </w:r>
          </w:p>
        </w:tc>
        <w:tc>
          <w:tcPr>
            <w:tcW w:type="dxa" w:w="374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Register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Public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/dashboard</w:t>
            </w:r>
          </w:p>
        </w:tc>
        <w:tc>
          <w:tcPr>
            <w:tcW w:type="dxa" w:w="3744"/>
          </w:tcPr>
          <w:p>
            <w:r/>
            <w:r>
              <w:rPr>
                <w:color w:val="1F2937"/>
                <w:sz w:val="19"/>
              </w:rPr>
              <w:t>Account Dashboard</w:t>
            </w:r>
          </w:p>
        </w:tc>
        <w:tc>
          <w:tcPr>
            <w:tcW w:type="dxa" w:w="2880"/>
          </w:tcPr>
          <w:p>
            <w:r/>
            <w:r>
              <w:rPr>
                <w:color w:val="1F2937"/>
                <w:sz w:val="19"/>
              </w:rPr>
              <w:t>Authenticated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/budget-planner</w:t>
            </w:r>
          </w:p>
        </w:tc>
        <w:tc>
          <w:tcPr>
            <w:tcW w:type="dxa" w:w="374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Budget Planner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Authenticated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/cash-flow</w:t>
            </w:r>
          </w:p>
        </w:tc>
        <w:tc>
          <w:tcPr>
            <w:tcW w:type="dxa" w:w="3744"/>
          </w:tcPr>
          <w:p>
            <w:r/>
            <w:r>
              <w:rPr>
                <w:color w:val="1F2937"/>
                <w:sz w:val="19"/>
              </w:rPr>
              <w:t>Cash Flow Dashboard</w:t>
            </w:r>
          </w:p>
        </w:tc>
        <w:tc>
          <w:tcPr>
            <w:tcW w:type="dxa" w:w="2880"/>
          </w:tcPr>
          <w:p>
            <w:r/>
            <w:r>
              <w:rPr>
                <w:color w:val="1F2937"/>
                <w:sz w:val="19"/>
              </w:rPr>
              <w:t>Authenticated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/upgrade</w:t>
            </w:r>
          </w:p>
        </w:tc>
        <w:tc>
          <w:tcPr>
            <w:tcW w:type="dxa" w:w="374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Upgrade / paywall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Authenticated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/loan-calculator</w:t>
            </w:r>
          </w:p>
        </w:tc>
        <w:tc>
          <w:tcPr>
            <w:tcW w:type="dxa" w:w="3744"/>
          </w:tcPr>
          <w:p>
            <w:r/>
            <w:r>
              <w:rPr>
                <w:color w:val="1F2937"/>
                <w:sz w:val="19"/>
              </w:rPr>
              <w:t>Loan Calculator</w:t>
            </w:r>
          </w:p>
        </w:tc>
        <w:tc>
          <w:tcPr>
            <w:tcW w:type="dxa" w:w="2880"/>
          </w:tcPr>
          <w:p>
            <w:r/>
            <w:r>
              <w:rPr>
                <w:color w:val="1F2937"/>
                <w:sz w:val="19"/>
              </w:rPr>
              <w:t>Authenticated + Premium (LoanCalculator)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/investment-tracker</w:t>
            </w:r>
          </w:p>
        </w:tc>
        <w:tc>
          <w:tcPr>
            <w:tcW w:type="dxa" w:w="374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Investment Portfolio Tracker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Authenticated + Premium (InvestmentTracker)</w:t>
            </w:r>
          </w:p>
        </w:tc>
      </w:tr>
      <w:tr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/retirement-planner</w:t>
            </w:r>
          </w:p>
        </w:tc>
        <w:tc>
          <w:tcPr>
            <w:tcW w:type="dxa" w:w="3744"/>
          </w:tcPr>
          <w:p>
            <w:r/>
            <w:r>
              <w:rPr>
                <w:color w:val="1F2937"/>
                <w:sz w:val="19"/>
              </w:rPr>
              <w:t>Retirement Planner</w:t>
            </w:r>
          </w:p>
        </w:tc>
        <w:tc>
          <w:tcPr>
            <w:tcW w:type="dxa" w:w="2880"/>
          </w:tcPr>
          <w:p>
            <w:r/>
            <w:r>
              <w:rPr>
                <w:color w:val="1F2937"/>
                <w:sz w:val="19"/>
              </w:rPr>
              <w:t>Authenticated + Premium (RetirementPlanner)</w:t>
            </w:r>
          </w:p>
        </w:tc>
      </w:tr>
      <w:tr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/financial-statement</w:t>
            </w:r>
          </w:p>
        </w:tc>
        <w:tc>
          <w:tcPr>
            <w:tcW w:type="dxa" w:w="3744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Financial Statement</w:t>
            </w:r>
          </w:p>
        </w:tc>
        <w:tc>
          <w:tcPr>
            <w:tcW w:type="dxa" w:w="2880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Authenticated + Premium (FinancialStatement)</w:t>
            </w:r>
          </w:p>
        </w:tc>
      </w:tr>
    </w:tbl>
    <w:p/>
    <w:p>
      <w:pPr>
        <w:pStyle w:val="Heading1"/>
      </w:pPr>
      <w:r>
        <w:t>Appendix A — Full Dependency List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4032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Package</w:t>
            </w:r>
          </w:p>
        </w:tc>
        <w:tc>
          <w:tcPr>
            <w:tcW w:type="dxa" w:w="2016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Version</w:t>
            </w:r>
          </w:p>
        </w:tc>
        <w:tc>
          <w:tcPr>
            <w:tcW w:type="dxa" w:w="2592"/>
            <w:shd w:val="clear" w:color="auto" w:fill="111827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react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^19.2.8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react-dom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^19.2.8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react-router-dom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^7.11.0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@tanstack/react-query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^5.101.4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axios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^1.19.0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recharts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^3.10.1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lucide-react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^1.28.0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vite-plugin-pwa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^1.3.0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@radix-ui/react-accordion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^1.2.20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@radix-ui/react-avatar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^1.2.6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@radix-ui/react-dialog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^1.1.23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@radix-ui/react-dropdown-menu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^2.1.24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@radix-ui/react-progress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^1.1.16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@radix-ui/react-select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^2.3.7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@radix-ui/react-slider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^1.4.7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@radix-ui/react-switch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^1.3.7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@radix-ui/react-tabs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^1.1.21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@radix-ui/react-toast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^1.2.23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@radix-ui/react-tooltip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^1.2.16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typescript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~6.0.2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vite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^8.2.0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@vitejs/plugin-react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^6.0.4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tailwindcss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^4.3.3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@tailwindcss/vite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^4.3.3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oxlint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^1.75.0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sharp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^0.35.3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@types/react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^19.2.17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@types/react-dom</w:t>
            </w:r>
          </w:p>
        </w:tc>
        <w:tc>
          <w:tcPr>
            <w:tcW w:type="dxa" w:w="2016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^19.2.3</w:t>
            </w:r>
          </w:p>
        </w:tc>
        <w:tc>
          <w:tcPr>
            <w:tcW w:type="dxa" w:w="2592"/>
            <w:shd w:val="clear" w:color="auto" w:fill="F3F4F6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  <w:tr>
        <w:tc>
          <w:tcPr>
            <w:tcW w:type="dxa" w:w="4032"/>
          </w:tcPr>
          <w:p>
            <w:r/>
            <w:r>
              <w:rPr>
                <w:color w:val="1F2937"/>
                <w:sz w:val="19"/>
              </w:rPr>
              <w:t>@types/node</w:t>
            </w:r>
          </w:p>
        </w:tc>
        <w:tc>
          <w:tcPr>
            <w:tcW w:type="dxa" w:w="2016"/>
          </w:tcPr>
          <w:p>
            <w:r/>
            <w:r>
              <w:rPr>
                <w:color w:val="1F2937"/>
                <w:sz w:val="19"/>
              </w:rPr>
              <w:t>^24.13.3</w:t>
            </w:r>
          </w:p>
        </w:tc>
        <w:tc>
          <w:tcPr>
            <w:tcW w:type="dxa" w:w="2592"/>
          </w:tcPr>
          <w:p>
            <w:r/>
            <w:r>
              <w:rPr>
                <w:color w:val="1F2937"/>
                <w:sz w:val="19"/>
              </w:rPr>
              <w:t>devDependency</w:t>
            </w:r>
          </w:p>
        </w:tc>
      </w:tr>
    </w:tbl>
    <w:p/>
    <w:sectPr w:rsidR="00FC693F" w:rsidRPr="0006063C" w:rsidSect="00034616">
      <w:footerReference w:type="default" r:id="rId9"/>
      <w:pgSz w:w="12240" w:h="15840"/>
      <w:pgMar w:top="1296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B5563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11827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60"/>
      <w:outlineLvl w:val="1"/>
    </w:pPr>
    <w:rPr>
      <w:rFonts w:asciiTheme="majorHAnsi" w:eastAsiaTheme="majorEastAsia" w:hAnsiTheme="majorHAnsi" w:cstheme="majorBidi" w:ascii="Calibri" w:hAnsi="Calibri"/>
      <w:b/>
      <w:bCs/>
      <w:color w:val="111827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Calibri" w:hAnsi="Calibri"/>
      <w:b/>
      <w:bCs/>
      <w:color w:val="AD8A45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