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A1E3C"/>
          </w:tcPr>
          <w:p/>
          <w:p>
            <w:pPr>
              <w:spacing w:before="480"/>
              <w:jc w:val="center"/>
            </w:pPr>
            <w:r>
              <w:rPr>
                <w:b/>
                <w:color w:val="F39C12"/>
                <w:sz w:val="22"/>
              </w:rPr>
              <w:t>[ WHITEPAPER CONFIDENCIAL — DOCUMENTO GREEN-SEP v1.0 — ABRIL 2026 ]</w:t>
            </w:r>
          </w:p>
          <w:p>
            <w:pPr>
              <w:jc w:val="center"/>
            </w:pPr>
            <w:r>
              <w:rPr>
                <w:b/>
                <w:color w:val="FFFFFF"/>
                <w:sz w:val="52"/>
              </w:rPr>
              <w:t>PROJECTO NEXUS GREEN-SEP</w:t>
            </w:r>
          </w:p>
          <w:p>
            <w:pPr>
              <w:jc w:val="center"/>
            </w:pPr>
            <w:r>
              <w:rPr>
                <w:b/>
                <w:color w:val="0091EA"/>
                <w:sz w:val="40"/>
              </w:rPr>
              <w:t>Plataforma P2P via Sociedade de Emprestimo entre Pessoas</w:t>
            </w:r>
          </w:p>
          <w:p>
            <w:pPr>
              <w:spacing w:after="560"/>
              <w:jc w:val="center"/>
            </w:pPr>
            <w:r>
              <w:rPr>
                <w:i/>
                <w:color w:val="AACCFF"/>
                <w:sz w:val="22"/>
              </w:rPr>
              <w:t>Modelo P2P Regulado · Banco Central do Brasil · CMN 5050/2022 · Captacao P2P Direta</w:t>
            </w:r>
          </w:p>
        </w:tc>
      </w:tr>
    </w:tbl>
    <w:p/>
    <w:p>
      <w:pPr>
        <w:spacing w:after="120" w:before="40"/>
      </w:pPr>
      <w:r>
        <w:rPr>
          <w:b w:val="0"/>
          <w:i/>
          <w:color w:val="556688"/>
          <w:sz w:val="18"/>
        </w:rPr>
        <w:t>Este documento apresenta a estrutura do Projeto NEXUS operando sob o modelo de Sociedade de Emprestimo entre Pessoas (SEP), modalidade regulada pelo Banco Central do Brasil. Destinado a investidores, Conselho de Administracao, assessores juridicos e reguladores.</w:t>
      </w:r>
    </w:p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SUMARIO EXECUTIVO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after="120" w:before="40"/>
      </w:pPr>
      <w:r>
        <w:rPr>
          <w:b w:val="0"/>
          <w:i w:val="0"/>
          <w:color w:val="333C55"/>
          <w:sz w:val="22"/>
        </w:rPr>
        <w:t>O Documento GREEN-SEP apresenta a arquitetura do Projeto NEXUS operando como Sociedade de Emprestimo entre Pessoas (SEP). Esta e a modalidade que mais se aproxima do modelo original do LendingClub e do Prosper — a SEP atua como intermediaria eletronica que CONECTA diretamente Aplicantes (investidores/credores) a Usuarios (tomadores), sem usar capital proprio para realizar os emprestimos. O Aplicante e o credor efetivo do contrato; a SEP e a plataforma de matching, scoring e gestao do relacionamento. Este modelo e o que melhor replica a essencia P2P global dentro do arcabouco regulatorio brasileiro.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A2040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DIFERENCIAIS ESTRATEGICOS DO MODELO SEP vs SCD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✔  P2P Autentico: Aplicante e o credor legal — total alinhamento com benchmarks globais (LendingClub, Mintos, Prosper)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✔  Sem uso de capital proprio para credito: menor exigencia de capital inicial na SCD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✔  Base de Aplicantes como ativo: comunidade de investidores e o moat principal do negocio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✔  Diversificacao natural de risco: cada contrato e atomizado entre multiplos Aplicantes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✔  Transparencia para o Aplicante: ele ve sua carteira de contratos, nao uma cota de fundo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✔  Modelo escalavel via crescimento da base de Aplicantes (sem limite de balanco proprio)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✔  Alinhamento com Open Finance: Aplicante pode ser PF qualificado ou nao-qualificado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✔  Retorno mais alto ao Aplicante vs FIDC da SCD (6% a.m. no cartao do Usuario)</w:t>
            </w:r>
          </w:p>
          <w:p>
            <w:pPr>
              <w:spacing w:after="120"/>
            </w:pP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1. REGULACAO — SOCIEDADE DE EMPRESTIMO ENTRE PESSOAS (SEP)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after="120" w:before="40"/>
      </w:pPr>
      <w:r>
        <w:rPr>
          <w:b w:val="0"/>
          <w:i w:val="0"/>
          <w:color w:val="333C55"/>
          <w:sz w:val="21"/>
        </w:rPr>
        <w:t>A SEP foi criada pela Resolucao CMN 4.656/2018 e consolidada na CMN 5.050/2022, constituindo a primeira regulacao especifica de P2P lending no Brasil. E a modalidade que permite a captacao de recursos diretamente de pessoas fisicas e juridicas (Aplicantes) para emprestimo a outras pessoas fisicas e juridicas (Usuarios), tudo intermediado pela plataforma eletronica da SEP.</w:t>
      </w:r>
    </w:p>
    <w:p>
      <w:pPr>
        <w:spacing w:before="160" w:after="120"/>
      </w:pPr>
      <w:r>
        <w:rPr>
          <w:b/>
          <w:color w:val="F39C12"/>
          <w:sz w:val="26"/>
        </w:rPr>
        <w:t>1.1 Caracteristicas Fundamentais da SEP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Caracteristica</w:t>
            </w:r>
          </w:p>
        </w:tc>
        <w:tc>
          <w:tcPr>
            <w:tcW w:type="dxa" w:w="3456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Regra SEP</w:t>
            </w:r>
          </w:p>
        </w:tc>
        <w:tc>
          <w:tcPr>
            <w:tcW w:type="dxa" w:w="403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 no NEXUS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Capital Minimo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A"/>
                <w:sz w:val="19"/>
              </w:rPr>
              <w:t>R$ 1.000.000 (PL permanente)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Aporte inicial de R$ 1M pelos Shareholders (menor que SCD em pratica)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Fonte de Recursos</w:t>
            </w:r>
          </w:p>
        </w:tc>
        <w:tc>
          <w:tcPr>
            <w:tcW w:type="dxa" w:w="3456"/>
            <w:shd w:val="clear" w:color="auto" w:fill="EBF2FF"/>
          </w:tcPr>
          <w:p>
            <w:r>
              <w:rPr>
                <w:color w:val="1A1A2A"/>
                <w:sz w:val="19"/>
              </w:rPr>
              <w:t>CAPTACAO de terceiros (Aplicantes) para emprestimo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Aplicantes investem diretamente na plataforma — modelo P2P autentico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Modelo de Credito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A"/>
                <w:sz w:val="19"/>
              </w:rPr>
              <w:t>Contrato entre Aplicante e Usuario; SEP e intermediaria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SEP nao e parte do contrato de credito — apenas gestora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Operacoes Permitidas</w:t>
            </w:r>
          </w:p>
        </w:tc>
        <w:tc>
          <w:tcPr>
            <w:tcW w:type="dxa" w:w="3456"/>
            <w:shd w:val="clear" w:color="auto" w:fill="EBF2FF"/>
          </w:tcPr>
          <w:p>
            <w:r>
              <w:rPr>
                <w:color w:val="1A1A2A"/>
                <w:sz w:val="19"/>
              </w:rPr>
              <w:t>Emprestimos entre PF e PJ exclusivamente via plataforma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Todos os produtos NEXUS (cartao rotativo) sao compatíveis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Limite por Credor PF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A"/>
                <w:sz w:val="19"/>
              </w:rPr>
              <w:t>Sem limite expresso na norma atual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Aplicante PF pode investir qualquer valor na plataforma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Limite por Devedor PF</w:t>
            </w:r>
          </w:p>
        </w:tc>
        <w:tc>
          <w:tcPr>
            <w:tcW w:type="dxa" w:w="3456"/>
            <w:shd w:val="clear" w:color="auto" w:fill="EBF2FF"/>
          </w:tcPr>
          <w:p>
            <w:r>
              <w:rPr>
                <w:color w:val="1A1A2A"/>
                <w:sz w:val="19"/>
              </w:rPr>
              <w:t>Sem limite expresso (plataforma define politica interna)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Limite NEXUS: R$ 500 a R$ 2.500 por cartao de Usuario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Emissao de Cartao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A"/>
                <w:sz w:val="19"/>
              </w:rPr>
              <w:t>Permitida via parceria com emissor credenciado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Parceria com BIN Sponsor (Dock, Conductor, Matera, BS2)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Cessao de Credito</w:t>
            </w:r>
          </w:p>
        </w:tc>
        <w:tc>
          <w:tcPr>
            <w:tcW w:type="dxa" w:w="3456"/>
            <w:shd w:val="clear" w:color="auto" w:fill="EBF2FF"/>
          </w:tcPr>
          <w:p>
            <w:r>
              <w:rPr>
                <w:color w:val="1A1A2A"/>
                <w:sz w:val="19"/>
              </w:rPr>
              <w:t>Permitida entre SEPs e para IFs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Possibilidade de securitizacao futura dos contratos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Supervisao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A"/>
                <w:sz w:val="19"/>
              </w:rPr>
              <w:t>Banco Central do Brasil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Conformidade com CMN 5.050/2022 e atualizacoes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Reporte</w:t>
            </w:r>
          </w:p>
        </w:tc>
        <w:tc>
          <w:tcPr>
            <w:tcW w:type="dxa" w:w="3456"/>
            <w:shd w:val="clear" w:color="auto" w:fill="EBF2FF"/>
          </w:tcPr>
          <w:p>
            <w:r>
              <w:rPr>
                <w:color w:val="1A1A2A"/>
                <w:sz w:val="19"/>
              </w:rPr>
              <w:t>SCR mensal ao Bacen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Toda a carteira de contratos reportada mensalmente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Diversificacao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1A1A2A"/>
                <w:sz w:val="19"/>
              </w:rPr>
              <w:t>SEP deve implementar politica de diversificacao do credor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Regra NEXUS: max 25% por vertical, fracionamento por 1.800 Usuarios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1.2 Diferenca Fundamental: SEP vs SCD na Pratica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A2040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SEP: O APLICANTE E O CREDOR LEGAL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Na SEP: Aplicante → [assina contrato de emprestimo] → Usuario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      SEP atua como: gestora, cobradora, intermediaria eletronica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      SEP nao e parte do contrato de credito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      Aplicante assume o risco de credito (nao a SEP)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Na SCD: SCD → [assina contrato de emprestimo] → Usuario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      SCD e a credora; Aplicante investe na SCD (nao no contrato direto)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      SCD assume o risco de credito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      Aplicante tem exposicao ao risco da SCD como instituicao</w:t>
            </w:r>
          </w:p>
          <w:p>
            <w:pPr>
              <w:spacing w:after="120"/>
            </w:pPr>
          </w:p>
        </w:tc>
      </w:tr>
    </w:tbl>
    <w:p/>
    <w:p>
      <w:pPr>
        <w:spacing w:after="120" w:before="40"/>
      </w:pPr>
      <w:r>
        <w:rPr>
          <w:b/>
          <w:i w:val="0"/>
          <w:color w:val="0A1E3C"/>
          <w:sz w:val="21"/>
        </w:rPr>
        <w:t>IMPLICACAO PARA O PITCH: A SEP e o modelo mais transparente e mais proximo do que investidores sofisticados esperam de uma plataforma P2P autentica. O Aplicante ve exatamente quais contratos possui, qual e o hash de cada microemprestimo e qual e o retorno de cada real investido — sem a camada de um fundo no meio.</w:t>
      </w:r>
    </w:p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2. MODELO DE NEGOCIO NEXUS-SEP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before="160" w:after="120"/>
      </w:pPr>
      <w:r>
        <w:rPr>
          <w:b/>
          <w:color w:val="F39C12"/>
          <w:sz w:val="26"/>
        </w:rPr>
        <w:t>2.1 Fluxo Operacional SEP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A2040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FLUXO COMPLETO — NEXUS SEP (100% BRL)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PASSO 1: Aplicante realiza KYC/AML na plataforma e deposita capital (Pix/TED para conta SEP)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PASSO 2: Aplicante escolhe perfil de portfólio (mix de verticais) no dashboard de investimentos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PASSO 3: Motor de matching atribui o capital do Aplicante a contratos de Usuario elegíveis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PASSO 4: SEP formaliza N contratos de emprestimo (cada micro-contrato: Aplicante ← → Usuario)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PASSO 5: Capital e transferido para o cartao pre-pago do Usuario (via BIN Sponsor parceiro)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PASSO 6: Usuario usa o cartao nos merchants credenciados — SEP recebe MDR de 3%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PASSO 7: No vencimento, Usuario paga fatura + 6% de taxa — pagamento via Pix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PASSO 8: SEP distribui o capital repago + rendimento ao Aplicante (proporcional a cada contrato)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PASSO 9: Aplicante opta por reinvestimento automatico ou resgate para conta bancaria</w:t>
            </w:r>
          </w:p>
          <w:p>
            <w:pPr>
              <w:spacing w:after="120"/>
            </w:pP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2.2 Contrato de Emprestimo entre Aplicante e Usuario</w:t>
      </w:r>
    </w:p>
    <w:p>
      <w:pPr>
        <w:spacing w:after="120" w:before="40"/>
      </w:pPr>
      <w:r>
        <w:rPr>
          <w:b w:val="0"/>
          <w:i w:val="0"/>
          <w:color w:val="333C55"/>
          <w:sz w:val="21"/>
        </w:rPr>
        <w:t>Cada microcontrato na plataforma NEXUS-SEP e um contrato de emprestimo pessoal formalmente constituido, com os seguintes elementos essenciais: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 Contratual</w:t>
            </w:r>
          </w:p>
        </w:tc>
        <w:tc>
          <w:tcPr>
            <w:tcW w:type="dxa" w:w="720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Especificacao NEXUS-SEP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Credor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A"/>
                <w:sz w:val="19"/>
              </w:rPr>
              <w:t>Aplicante (identificado por CPF/CNPJ, representado pela SEP via procuracao)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Devedor</w:t>
            </w:r>
          </w:p>
        </w:tc>
        <w:tc>
          <w:tcPr>
            <w:tcW w:type="dxa" w:w="7200"/>
            <w:shd w:val="clear" w:color="auto" w:fill="EBF2FF"/>
          </w:tcPr>
          <w:p>
            <w:r>
              <w:rPr>
                <w:color w:val="1A1A2A"/>
                <w:sz w:val="19"/>
              </w:rPr>
              <w:t>Usuario (identificado por CPF, validado pelo Executivo de Contas)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Valor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A"/>
                <w:sz w:val="19"/>
              </w:rPr>
              <w:t>Microparcela do Aplicante no limite do cartao do Usuario (ex: R$ 40 de R$ 10k investidos)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Taxa de Juros</w:t>
            </w:r>
          </w:p>
        </w:tc>
        <w:tc>
          <w:tcPr>
            <w:tcW w:type="dxa" w:w="7200"/>
            <w:shd w:val="clear" w:color="auto" w:fill="EBF2FF"/>
          </w:tcPr>
          <w:p>
            <w:r>
              <w:rPr>
                <w:color w:val="1A1A2A"/>
                <w:sz w:val="19"/>
              </w:rPr>
              <w:t>6% ao mes sobre o saldo utilizado do cartao (equivalente a ~101% a.a.)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Prazo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A"/>
                <w:sz w:val="19"/>
              </w:rPr>
              <w:t>Contrato de credito rotativo — renovavel mensalmente enquanto Usuario pagar em dia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Garantias</w:t>
            </w:r>
          </w:p>
        </w:tc>
        <w:tc>
          <w:tcPr>
            <w:tcW w:type="dxa" w:w="7200"/>
            <w:shd w:val="clear" w:color="auto" w:fill="EBF2FF"/>
          </w:tcPr>
          <w:p>
            <w:r>
              <w:rPr>
                <w:color w:val="1A1A2A"/>
                <w:sz w:val="19"/>
              </w:rPr>
              <w:t>Carta de fianca digital (vouching) + seguro prestamista + fundo de reserva da SEP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Forma de Pagamento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A"/>
                <w:sz w:val="19"/>
              </w:rPr>
              <w:t>Fatura mensal via Pix, TED ou debito em conta cadastrada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Mecanismo de Execucao</w:t>
            </w:r>
          </w:p>
        </w:tc>
        <w:tc>
          <w:tcPr>
            <w:tcW w:type="dxa" w:w="7200"/>
            <w:shd w:val="clear" w:color="auto" w:fill="EBF2FF"/>
          </w:tcPr>
          <w:p>
            <w:r>
              <w:rPr>
                <w:color w:val="1A1A2A"/>
                <w:sz w:val="19"/>
              </w:rPr>
              <w:t>Em caso de default: cessao do contrato para empresa de cobranca parceira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Registro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A"/>
                <w:sz w:val="19"/>
              </w:rPr>
              <w:t>Registro eletronico na plataforma SEP + arquivo digital MACRO HASH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Representacao do Credor</w:t>
            </w:r>
          </w:p>
        </w:tc>
        <w:tc>
          <w:tcPr>
            <w:tcW w:type="dxa" w:w="7200"/>
            <w:shd w:val="clear" w:color="auto" w:fill="EBF2FF"/>
          </w:tcPr>
          <w:p>
            <w:r>
              <w:rPr>
                <w:color w:val="1A1A2A"/>
                <w:sz w:val="19"/>
              </w:rPr>
              <w:t>SEP age como mandataria do Aplicante via procuracao irrevogavel no contrato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2.3 Verticals e Score — Identico ao Modelo GREY</w:t>
      </w:r>
    </w:p>
    <w:p>
      <w:pPr>
        <w:spacing w:after="120" w:before="40"/>
      </w:pPr>
      <w:r>
        <w:rPr>
          <w:b w:val="0"/>
          <w:i w:val="0"/>
          <w:color w:val="333C55"/>
          <w:sz w:val="21"/>
        </w:rPr>
        <w:t>A estrutura de verticais de consumo, scores de risco e retornos ao Aplicante e identica ao descrito no Documento GREY (Secao 2.2), com uma diferenca operacional: no modelo SEP, o Aplicante ESCOLHE as verticais e ve os contratos individuais. Nao ha camada de FIDC ou fundo entre ele e os contratos.</w:t>
      </w:r>
    </w:p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3. ANALISE COMPARATIVA — VANTAGENS E DESVANTAGENS DA SEP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before="160" w:after="120"/>
      </w:pPr>
      <w:r>
        <w:rPr>
          <w:b/>
          <w:color w:val="F39C12"/>
          <w:sz w:val="26"/>
        </w:rPr>
        <w:t>3.1 Vantagens e Desvantagens SEP vs SCD vs GREY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Dimensao</w:t>
            </w:r>
          </w:p>
        </w:tc>
        <w:tc>
          <w:tcPr>
            <w:tcW w:type="dxa" w:w="216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SEP</w:t>
            </w:r>
          </w:p>
        </w:tc>
        <w:tc>
          <w:tcPr>
            <w:tcW w:type="dxa" w:w="216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SCD</w:t>
            </w:r>
          </w:p>
        </w:tc>
        <w:tc>
          <w:tcPr>
            <w:tcW w:type="dxa" w:w="259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GREY (Stablecoin)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Modelo P2P Autentico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✔ Sim (Aplicante = credor)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✘ Nao (SCD = credora)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✔ Sim (smart contract)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Regulacao Bacen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✔ Licenca plena IF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✔ Licenca plena IF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✘ Fora do BC Brasil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Credibilidade Inst.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★★★★★ Maxima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★★★★★ Maxima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★★★☆☆ Media (offshore)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Transparencia ao Aplicante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★★★★★ Total (vê contratos)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★★★☆☆ Parcial (cotas FIDC)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★★★★☆ Hash/ledger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Capital Inicial Necessario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R$ 1M (apenas PL minimo)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R$ 1M + funding carteira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USD 500k (DIFC) + operacional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Risco de Credito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Aplicante assume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SCD assume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Aplicante assume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Escalabilidade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Alta (base de Aplicantes)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Alta (via FIDC)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Alta (crypto pool)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Tributacao Aplicante PF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IR 15% a 22,5% (rend. capital)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IR sobre rendimentos do FIDC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Carnê-leão (rendimentos ext.)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Tributacao da Empresa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IR 25% + CSLL 20% (IF)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IR 25% + CSLL 20% (IF)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0% (Dubai)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Acesso a Bancarios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Total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Total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Via parceiro local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Pitch para PF Brasileiro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Excelente (produto intuitivo)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Bom (FIDC e mais complexo)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Bom (crypto nao e universal)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Reporte ao Bacen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Sim (SCR mensal)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Sim (SCR mensal)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Nao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3.2 Riscos Especificos da SEP</w:t>
      </w:r>
    </w:p>
    <w:p>
      <w:pPr>
        <w:pStyle w:val="ListBullet"/>
        <w:spacing w:after="60"/>
      </w:pPr>
      <w:r>
        <w:rPr>
          <w:color w:val="333C55"/>
          <w:sz w:val="21"/>
        </w:rPr>
        <w:t>RISCO DE LIQUIDEZ DO APLICANTE: Diferente de um fundo com mercado secundario, o Aplicante na SEP pode ter dificuldade de 'sair' antes do vencimento dos contratos. Mitigacao: SEP cria mercado secundario interno onde contratos podem ser cedidos a outros Aplicantes.</w:t>
      </w:r>
    </w:p>
    <w:p>
      <w:pPr>
        <w:pStyle w:val="ListBullet"/>
        <w:spacing w:after="60"/>
      </w:pPr>
      <w:r>
        <w:rPr>
          <w:color w:val="333C55"/>
          <w:sz w:val="21"/>
        </w:rPr>
        <w:t>RISCO DE CONCENTRACAO: Se poucos Aplicantes respondem por grande parcela do capital, a saida de um pode desestabilizar a operacao. Mitigacao: limite de 20% do total da carteira por Aplicante individual.</w:t>
      </w:r>
    </w:p>
    <w:p>
      <w:pPr>
        <w:pStyle w:val="ListBullet"/>
        <w:spacing w:after="60"/>
      </w:pPr>
      <w:r>
        <w:rPr>
          <w:color w:val="333C55"/>
          <w:sz w:val="21"/>
        </w:rPr>
        <w:t>RISCO REPUTACIONAL: Default de Usuarios visivel para Aplicantes (que sao os credores diretos) pode gerar reacao negativa intensa. Mitigacao: Fundo de Reserva de Liquidez (FRL) que absorve defaults antes de impactar o Aplicante.</w:t>
      </w:r>
    </w:p>
    <w:p>
      <w:pPr>
        <w:pStyle w:val="ListBullet"/>
        <w:spacing w:after="60"/>
      </w:pPr>
      <w:r>
        <w:rPr>
          <w:color w:val="333C55"/>
          <w:sz w:val="21"/>
        </w:rPr>
        <w:t>RISCO DE COMPLIANCE: Com N contratos entre pessoas fisicas, o Bacen pode questionar se cada micro-contrato respeita as normas de credito ao consumidor (CDC). Mitigacao: assessoria juridica especializada e padronizacao contratual aprovada pelo Bacen.</w:t>
      </w:r>
    </w:p>
    <w:p>
      <w:pPr>
        <w:pStyle w:val="ListBullet"/>
        <w:spacing w:after="60"/>
      </w:pPr>
      <w:r>
        <w:rPr>
          <w:color w:val="333C55"/>
          <w:sz w:val="21"/>
        </w:rPr>
        <w:t>RISCO OPERACIONAL: Gestao de milhares de microcontratos exige plataforma tecnologica robusta. Mitigacao: MACRO HASH e sistema AGENTIC AI automatizam inteiramente o ciclo de vida dos contratos.</w:t>
      </w:r>
    </w:p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4. TRIBUTACAO E PLANEJAMENTO FISCAL — SEP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after="120" w:before="40"/>
      </w:pPr>
      <w:r>
        <w:rPr>
          <w:b w:val="0"/>
          <w:i w:val="0"/>
          <w:color w:val="333C55"/>
          <w:sz w:val="21"/>
        </w:rPr>
        <w:t>A tributacao da SEP tem duas dimensoes: a da empresa (SEP como instituicao financeira) e a do Aplicante (pessoa fisica ou juridica investindo na plataforma).</w:t>
      </w:r>
    </w:p>
    <w:p>
      <w:pPr>
        <w:spacing w:before="160" w:after="120"/>
      </w:pPr>
      <w:r>
        <w:rPr>
          <w:b/>
          <w:color w:val="F39C12"/>
          <w:sz w:val="26"/>
        </w:rPr>
        <w:t>4.1 Tributacao da SEP (Empresa)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Tributo</w:t>
            </w:r>
          </w:p>
        </w:tc>
        <w:tc>
          <w:tcPr>
            <w:tcW w:type="dxa" w:w="259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Base de Calculo</w:t>
            </w:r>
          </w:p>
        </w:tc>
        <w:tc>
          <w:tcPr>
            <w:tcW w:type="dxa" w:w="1296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Aliquota</w:t>
            </w:r>
          </w:p>
        </w:tc>
        <w:tc>
          <w:tcPr>
            <w:tcW w:type="dxa" w:w="432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IRPJ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Lucro Real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25%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Mesma aliquota da SCD — SEP e IF</w:t>
            </w:r>
          </w:p>
        </w:tc>
      </w:tr>
      <w:tr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CSLL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Lucro ajustado</w:t>
            </w:r>
          </w:p>
        </w:tc>
        <w:tc>
          <w:tcPr>
            <w:tcW w:type="dxa" w:w="1296"/>
            <w:shd w:val="clear" w:color="auto" w:fill="EBF2FF"/>
          </w:tcPr>
          <w:p>
            <w:r>
              <w:rPr>
                <w:color w:val="1A1A2A"/>
                <w:sz w:val="19"/>
              </w:rPr>
              <w:t>20%</w:t>
            </w:r>
          </w:p>
        </w:tc>
        <w:tc>
          <w:tcPr>
            <w:tcW w:type="dxa" w:w="4320"/>
            <w:shd w:val="clear" w:color="auto" w:fill="EBF2FF"/>
          </w:tcPr>
          <w:p>
            <w:r>
              <w:rPr>
                <w:color w:val="1A1A2A"/>
                <w:sz w:val="19"/>
              </w:rPr>
              <w:t>Aliquota de IF (vs 9% empresas comuns)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PIS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Receitas operacionais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0,65%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Regime cumulativo para IFs</w:t>
            </w:r>
          </w:p>
        </w:tc>
      </w:tr>
      <w:tr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COFINS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Receitas operacionais</w:t>
            </w:r>
          </w:p>
        </w:tc>
        <w:tc>
          <w:tcPr>
            <w:tcW w:type="dxa" w:w="1296"/>
            <w:shd w:val="clear" w:color="auto" w:fill="EBF2FF"/>
          </w:tcPr>
          <w:p>
            <w:r>
              <w:rPr>
                <w:color w:val="1A1A2A"/>
                <w:sz w:val="19"/>
              </w:rPr>
              <w:t>4,00%</w:t>
            </w:r>
          </w:p>
        </w:tc>
        <w:tc>
          <w:tcPr>
            <w:tcW w:type="dxa" w:w="4320"/>
            <w:shd w:val="clear" w:color="auto" w:fill="EBF2FF"/>
          </w:tcPr>
          <w:p>
            <w:r>
              <w:rPr>
                <w:color w:val="1A1A2A"/>
                <w:sz w:val="19"/>
              </w:rPr>
              <w:t>Regime cumulativo para IFs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ISS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Receita de intermediacao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2%–5%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Sobre taxa de servico cobrada da operacao</w:t>
            </w:r>
          </w:p>
        </w:tc>
      </w:tr>
      <w:tr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IOF/Credito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Saldo devedor dos contratos</w:t>
            </w:r>
          </w:p>
        </w:tc>
        <w:tc>
          <w:tcPr>
            <w:tcW w:type="dxa" w:w="1296"/>
            <w:shd w:val="clear" w:color="auto" w:fill="EBF2FF"/>
          </w:tcPr>
          <w:p>
            <w:r>
              <w:rPr>
                <w:color w:val="1A1A2A"/>
                <w:sz w:val="19"/>
              </w:rPr>
              <w:t>0,0082%/dia</w:t>
            </w:r>
          </w:p>
        </w:tc>
        <w:tc>
          <w:tcPr>
            <w:tcW w:type="dxa" w:w="4320"/>
            <w:shd w:val="clear" w:color="auto" w:fill="EBF2FF"/>
          </w:tcPr>
          <w:p>
            <w:r>
              <w:rPr>
                <w:color w:val="1A1A2A"/>
                <w:sz w:val="19"/>
              </w:rPr>
              <w:t>Incide sobre os contratos dos Usuarios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IOF/Cambio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N/A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N/A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SEP opera em BRL — sem IOF cambio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4.2 Tributacao do Aplicante (Investidor na SEP)</w:t>
      </w:r>
    </w:p>
    <w:p>
      <w:pPr>
        <w:spacing w:after="120" w:before="40"/>
      </w:pPr>
      <w:r>
        <w:rPr>
          <w:b w:val="0"/>
          <w:i w:val="0"/>
          <w:color w:val="333C55"/>
          <w:sz w:val="21"/>
        </w:rPr>
        <w:t>Este e o ponto de maior diferencial do modelo SEP frente ao FIDC da SCD: o Aplicante recebe RENDIMENTOS DE EMPRESTIMO, tributados como renda de capital: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Perfil do Aplicante</w:t>
            </w:r>
          </w:p>
        </w:tc>
        <w:tc>
          <w:tcPr>
            <w:tcW w:type="dxa" w:w="259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Natureza do Rendimento</w:t>
            </w:r>
          </w:p>
        </w:tc>
        <w:tc>
          <w:tcPr>
            <w:tcW w:type="dxa" w:w="259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Tributacao</w:t>
            </w:r>
          </w:p>
        </w:tc>
        <w:tc>
          <w:tcPr>
            <w:tcW w:type="dxa" w:w="316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Retencao na Fonte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Pessoa Fisica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Rendimentos de emprestimo pessoal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IR tabela progressiva (7,5% a 27,5%) OU carnê-leão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SEP retém 1,5% na fonte + Aplicante completa no IR</w:t>
            </w:r>
          </w:p>
        </w:tc>
      </w:tr>
      <w:tr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Pessoa Juridica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Receita financeira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IRPJ + CSLL sobre lucro (regime da PJ)</w:t>
            </w:r>
          </w:p>
        </w:tc>
        <w:tc>
          <w:tcPr>
            <w:tcW w:type="dxa" w:w="3168"/>
            <w:shd w:val="clear" w:color="auto" w:fill="EBF2FF"/>
          </w:tcPr>
          <w:p>
            <w:r>
              <w:rPr>
                <w:color w:val="1A1A2A"/>
                <w:sz w:val="19"/>
              </w:rPr>
              <w:t>Conforme regime tributario da PJ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Fundo de Investimento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Conforme regulamento do fundo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IR semestral + IOF (come-cotas se aplicavel)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Administrador do fundo</w:t>
            </w:r>
          </w:p>
        </w:tc>
      </w:tr>
      <w:tr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Investidor Estrangeiro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Rendimento de fonte brasileira</w:t>
            </w:r>
          </w:p>
        </w:tc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15% IR (residente em pais sem paraiso fiscal)</w:t>
            </w:r>
          </w:p>
        </w:tc>
        <w:tc>
          <w:tcPr>
            <w:tcW w:type="dxa" w:w="3168"/>
            <w:shd w:val="clear" w:color="auto" w:fill="EBF2FF"/>
          </w:tcPr>
          <w:p>
            <w:r>
              <w:rPr>
                <w:color w:val="1A1A2A"/>
                <w:sz w:val="19"/>
              </w:rPr>
              <w:t>SEP retém 15% na fonte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Investidor de Paraiso Fiscal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Rendimento de fonte brasileira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25% IR (pais com tributacao favorecida)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SEP retém 25% na fonte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4.3 Estrategias de Otimizacao Tributaria — SEP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A2040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PLANEJAMENTO TRIBUTARIO — SEP NEXUS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EMPRESA (SEP):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▸ JCP: Distribuicao de Juros sobre Capital Proprio reduz base do IRPJ/CSLL em ate 30%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▸ Provisao para Devedores Duvidosos (PDD): dedutivel integralmente do IR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▸ Holding: SEP como subsidiaria de holding — dividendos da SEP para a holding sao isentos de IR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▸ Lei do Bem: Despesas com P&amp;D (MACRO HASH, IA, Open Finance) dedutivel em 160% do valor real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APLICANTE (Otimizacao sugerida pela plataforma como valor agregado):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▸ PF: Declarar no Simplificado pode ser mais vantajoso ate R$ 40k/ano de rendimento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▸ PF sofisticada: Estruturar via holding PJ (LTDA ou S.A. fechada) — tributacao pelo Lucro Presumido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▸ PGBL/VGBL: Rendimentos da SEP podem ser declarados no IR para compensar com previdencia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▸ Prejuizos compensaveis: defaults na SEP sao dedutiveis do imposto sobre rendimentos positivos</w:t>
            </w:r>
          </w:p>
          <w:p>
            <w:pPr>
              <w:spacing w:after="120"/>
            </w:pP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4.4 Simulacao de Carga Tributaria — SEP para Pitch</w:t>
      </w:r>
    </w:p>
    <w:p>
      <w:pPr>
        <w:spacing w:after="120" w:before="40"/>
      </w:pPr>
      <w:r>
        <w:rPr>
          <w:b w:val="0"/>
          <w:i w:val="0"/>
          <w:color w:val="333C55"/>
          <w:sz w:val="21"/>
        </w:rPr>
        <w:t>Simulacao para Aplicante Pessoa Fisica com R$ 100k investidos e retorno de 4% a.m.: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0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Cenario Basico</w:t>
            </w:r>
          </w:p>
        </w:tc>
        <w:tc>
          <w:tcPr>
            <w:tcW w:type="dxa" w:w="360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Cenario com Holding PJ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Capital investido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R$ 100.000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R$ 100.000</w:t>
            </w:r>
          </w:p>
        </w:tc>
      </w:tr>
      <w:tr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Retorno bruto mensal (4%)</w:t>
            </w:r>
          </w:p>
        </w:tc>
        <w:tc>
          <w:tcPr>
            <w:tcW w:type="dxa" w:w="2880"/>
            <w:shd w:val="clear" w:color="auto" w:fill="EBF2FF"/>
          </w:tcPr>
          <w:p>
            <w:r>
              <w:rPr>
                <w:color w:val="1A1A2A"/>
                <w:sz w:val="19"/>
              </w:rPr>
              <w:t>R$ 4.000</w:t>
            </w:r>
          </w:p>
        </w:tc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R$ 4.000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Retorno bruto anual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R$ 48.000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R$ 48.000</w:t>
            </w:r>
          </w:p>
        </w:tc>
      </w:tr>
      <w:tr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IR sobre rendimentos (27,5% tabela PF)</w:t>
            </w:r>
          </w:p>
        </w:tc>
        <w:tc>
          <w:tcPr>
            <w:tcW w:type="dxa" w:w="2880"/>
            <w:shd w:val="clear" w:color="auto" w:fill="EBF2FF"/>
          </w:tcPr>
          <w:p>
            <w:r>
              <w:rPr>
                <w:color w:val="1A1A2A"/>
                <w:sz w:val="19"/>
              </w:rPr>
              <w:t>– R$ 13.200</w:t>
            </w:r>
          </w:p>
        </w:tc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—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IRPJ/CSLL Lucro Presumido (holding)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—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– R$ 5.760 (32% margem × 25% + 9%)</w:t>
            </w:r>
          </w:p>
        </w:tc>
      </w:tr>
      <w:tr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PIS/COFINS (holding)</w:t>
            </w:r>
          </w:p>
        </w:tc>
        <w:tc>
          <w:tcPr>
            <w:tcW w:type="dxa" w:w="2880"/>
            <w:shd w:val="clear" w:color="auto" w:fill="EBF2FF"/>
          </w:tcPr>
          <w:p>
            <w:r>
              <w:rPr>
                <w:color w:val="1A1A2A"/>
                <w:sz w:val="19"/>
              </w:rPr>
              <w:t>—</w:t>
            </w:r>
          </w:p>
        </w:tc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– R$ 912 (1,65% + 3%)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Total de Tributos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R$ 13.200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R$ 6.672</w:t>
            </w:r>
          </w:p>
        </w:tc>
      </w:tr>
      <w:tr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Rendimento Liquido Anual</w:t>
            </w:r>
          </w:p>
        </w:tc>
        <w:tc>
          <w:tcPr>
            <w:tcW w:type="dxa" w:w="2880"/>
            <w:shd w:val="clear" w:color="auto" w:fill="EBF2FF"/>
          </w:tcPr>
          <w:p>
            <w:r>
              <w:rPr>
                <w:color w:val="1A1A2A"/>
                <w:sz w:val="19"/>
              </w:rPr>
              <w:t>R$ 34.800</w:t>
            </w:r>
          </w:p>
        </w:tc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R$ 41.328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Rentabilidade Liquida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A"/>
                <w:sz w:val="19"/>
              </w:rPr>
              <w:t>34,8% a.a.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41,3% a.a.</w:t>
            </w:r>
          </w:p>
        </w:tc>
      </w:tr>
      <w:tr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Reducao de Carga Tributaria</w:t>
            </w:r>
          </w:p>
        </w:tc>
        <w:tc>
          <w:tcPr>
            <w:tcW w:type="dxa" w:w="2880"/>
            <w:shd w:val="clear" w:color="auto" w:fill="EBF2FF"/>
          </w:tcPr>
          <w:p>
            <w:r>
              <w:rPr>
                <w:color w:val="1A1A2A"/>
                <w:sz w:val="19"/>
              </w:rPr>
              <w:t>Referencia</w:t>
            </w:r>
          </w:p>
        </w:tc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49,5% menos impostos</w:t>
            </w:r>
          </w:p>
        </w:tc>
      </w:tr>
    </w:tbl>
    <w:p/>
    <w:p>
      <w:pPr>
        <w:spacing w:after="120" w:before="40"/>
      </w:pPr>
      <w:r>
        <w:rPr>
          <w:b w:val="0"/>
          <w:i/>
          <w:color w:val="555577"/>
          <w:sz w:val="19"/>
        </w:rPr>
        <w:t>NOTA IMPORTANTE: Esta simulacao e de carater ilustrativo para fins de pitch. O Aplicante deve consultar seu contador/advogado tributarista para validar a melhor estrutura para sua situacao especifica.</w:t>
      </w:r>
    </w:p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5. MODELO FINANCEIRO — SEP NEXUS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before="160" w:after="120"/>
      </w:pPr>
      <w:r>
        <w:rPr>
          <w:b/>
          <w:color w:val="F39C12"/>
          <w:sz w:val="26"/>
        </w:rPr>
        <w:t>5.1 Fontes de Receita da SEP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316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Mecanismo</w:t>
            </w:r>
          </w:p>
        </w:tc>
        <w:tc>
          <w:tcPr>
            <w:tcW w:type="dxa" w:w="1296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Taxa</w:t>
            </w:r>
          </w:p>
        </w:tc>
        <w:tc>
          <w:tcPr>
            <w:tcW w:type="dxa" w:w="3024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Estimativa (Ano 2 — 80k cartoes)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Taxa de Intermediacao (TI)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Cobrada do Aplicante sobre rendimentos distribuidos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1,5% a.m.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R$ 1,8M/mes (R$ 120M carteira × 1,5%)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MDR Merchant</w:t>
            </w:r>
          </w:p>
        </w:tc>
        <w:tc>
          <w:tcPr>
            <w:tcW w:type="dxa" w:w="3168"/>
            <w:shd w:val="clear" w:color="auto" w:fill="EBF2FF"/>
          </w:tcPr>
          <w:p>
            <w:r>
              <w:rPr>
                <w:color w:val="1A1A2A"/>
                <w:sz w:val="19"/>
              </w:rPr>
              <w:t>3% sobre transacoes dos Usuarios nos merchants</w:t>
            </w:r>
          </w:p>
        </w:tc>
        <w:tc>
          <w:tcPr>
            <w:tcW w:type="dxa" w:w="1296"/>
            <w:shd w:val="clear" w:color="auto" w:fill="EBF2FF"/>
          </w:tcPr>
          <w:p>
            <w:r>
              <w:rPr>
                <w:color w:val="1A1A2A"/>
                <w:sz w:val="19"/>
              </w:rPr>
              <w:t>3,0%</w:t>
            </w:r>
          </w:p>
        </w:tc>
        <w:tc>
          <w:tcPr>
            <w:tcW w:type="dxa" w:w="3024"/>
            <w:shd w:val="clear" w:color="auto" w:fill="EBF2FF"/>
          </w:tcPr>
          <w:p>
            <w:r>
              <w:rPr>
                <w:color w:val="1A1A2A"/>
                <w:sz w:val="19"/>
              </w:rPr>
              <w:t>R$ 2,4M/mes (R$ 80M em compras)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Taxa de Setup Aplicante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Onboarding e estruturacao de portfólio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0,5% do cap.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R$ 500k (media anual)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Taxa de Gestao de Cobranca</w:t>
            </w:r>
          </w:p>
        </w:tc>
        <w:tc>
          <w:tcPr>
            <w:tcW w:type="dxa" w:w="3168"/>
            <w:shd w:val="clear" w:color="auto" w:fill="EBF2FF"/>
          </w:tcPr>
          <w:p>
            <w:r>
              <w:rPr>
                <w:color w:val="1A1A2A"/>
                <w:sz w:val="19"/>
              </w:rPr>
              <w:t>Sobre valores recuperados em default</w:t>
            </w:r>
          </w:p>
        </w:tc>
        <w:tc>
          <w:tcPr>
            <w:tcW w:type="dxa" w:w="1296"/>
            <w:shd w:val="clear" w:color="auto" w:fill="EBF2FF"/>
          </w:tcPr>
          <w:p>
            <w:r>
              <w:rPr>
                <w:color w:val="1A1A2A"/>
                <w:sz w:val="19"/>
              </w:rPr>
              <w:t>15% recup.</w:t>
            </w:r>
          </w:p>
        </w:tc>
        <w:tc>
          <w:tcPr>
            <w:tcW w:type="dxa" w:w="3024"/>
            <w:shd w:val="clear" w:color="auto" w:fill="EBF2FF"/>
          </w:tcPr>
          <w:p>
            <w:r>
              <w:rPr>
                <w:color w:val="1A1A2A"/>
                <w:sz w:val="19"/>
              </w:rPr>
              <w:t>R$ 150k/mes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Mercado Secundario de Contratos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Taxa sobre cessao de contratos entre Aplicantes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1% da cessao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R$ 100k/mes</w:t>
            </w:r>
          </w:p>
        </w:tc>
      </w:tr>
      <w:tr>
        <w:tc>
          <w:tcPr>
            <w:tcW w:type="dxa" w:w="2304"/>
            <w:shd w:val="clear" w:color="auto" w:fill="EBF2FF"/>
          </w:tcPr>
          <w:p>
            <w:r>
              <w:rPr>
                <w:color w:val="1A1A2A"/>
                <w:sz w:val="19"/>
              </w:rPr>
              <w:t>Seguro Prestamista (corretagem)</w:t>
            </w:r>
          </w:p>
        </w:tc>
        <w:tc>
          <w:tcPr>
            <w:tcW w:type="dxa" w:w="3168"/>
            <w:shd w:val="clear" w:color="auto" w:fill="EBF2FF"/>
          </w:tcPr>
          <w:p>
            <w:r>
              <w:rPr>
                <w:color w:val="1A1A2A"/>
                <w:sz w:val="19"/>
              </w:rPr>
              <w:t>Comissao sobre premios de seguro embutidos nos cartoes</w:t>
            </w:r>
          </w:p>
        </w:tc>
        <w:tc>
          <w:tcPr>
            <w:tcW w:type="dxa" w:w="1296"/>
            <w:shd w:val="clear" w:color="auto" w:fill="EBF2FF"/>
          </w:tcPr>
          <w:p>
            <w:r>
              <w:rPr>
                <w:color w:val="1A1A2A"/>
                <w:sz w:val="19"/>
              </w:rPr>
              <w:t>0,5% a.m.</w:t>
            </w:r>
          </w:p>
        </w:tc>
        <w:tc>
          <w:tcPr>
            <w:tcW w:type="dxa" w:w="3024"/>
            <w:shd w:val="clear" w:color="auto" w:fill="EBF2FF"/>
          </w:tcPr>
          <w:p>
            <w:r>
              <w:rPr>
                <w:color w:val="1A1A2A"/>
                <w:sz w:val="19"/>
              </w:rPr>
              <w:t>R$ 600k/mes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2A"/>
                <w:sz w:val="19"/>
              </w:rPr>
              <w:t>ODOO/Relatorios Premium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Modulo avancado de relatorios para Aplicantes institucionais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Fixo R$ 500/mes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A"/>
                <w:sz w:val="19"/>
              </w:rPr>
              <w:t>R$ 250k/mes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5.2 Projecao Financeira Comparada — SEP vs SCD (3 Anos)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736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72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SEP — Ano 1</w:t>
            </w:r>
          </w:p>
        </w:tc>
        <w:tc>
          <w:tcPr>
            <w:tcW w:type="dxa" w:w="172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SCD — Ano 1</w:t>
            </w:r>
          </w:p>
        </w:tc>
        <w:tc>
          <w:tcPr>
            <w:tcW w:type="dxa" w:w="172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SEP — Ano 3</w:t>
            </w:r>
          </w:p>
        </w:tc>
        <w:tc>
          <w:tcPr>
            <w:tcW w:type="dxa" w:w="172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SCD — Ano 3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A"/>
                <w:sz w:val="19"/>
              </w:rPr>
              <w:t>Cartoes Ativos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25.000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25.000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200.000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200.000</w:t>
            </w:r>
          </w:p>
        </w:tc>
      </w:tr>
      <w:tr>
        <w:tc>
          <w:tcPr>
            <w:tcW w:type="dxa" w:w="2736"/>
            <w:shd w:val="clear" w:color="auto" w:fill="EBF2FF"/>
          </w:tcPr>
          <w:p>
            <w:r>
              <w:rPr>
                <w:color w:val="1A1A2A"/>
                <w:sz w:val="19"/>
              </w:rPr>
              <w:t>Carteira de Credito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R$ 37M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R$ 37M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R$ 300M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R$ 300M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A"/>
                <w:sz w:val="19"/>
              </w:rPr>
              <w:t>Receita de Intermediacao (TI)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R$ 6,7M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R$ 54M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—</w:t>
            </w:r>
          </w:p>
        </w:tc>
      </w:tr>
      <w:tr>
        <w:tc>
          <w:tcPr>
            <w:tcW w:type="dxa" w:w="2736"/>
            <w:shd w:val="clear" w:color="auto" w:fill="EBF2FF"/>
          </w:tcPr>
          <w:p>
            <w:r>
              <w:rPr>
                <w:color w:val="1A1A2A"/>
                <w:sz w:val="19"/>
              </w:rPr>
              <w:t>MDR Merchant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R$ 9M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R$ 9M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R$ 72M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R$ 72M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A"/>
                <w:sz w:val="19"/>
              </w:rPr>
              <w:t>Juros (capital proprio SCD)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R$ 22M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R$ 180M</w:t>
            </w:r>
          </w:p>
        </w:tc>
      </w:tr>
      <w:tr>
        <w:tc>
          <w:tcPr>
            <w:tcW w:type="dxa" w:w="2736"/>
            <w:shd w:val="clear" w:color="auto" w:fill="EBF2FF"/>
          </w:tcPr>
          <w:p>
            <w:r>
              <w:rPr>
                <w:color w:val="1A1A2A"/>
                <w:sz w:val="19"/>
              </w:rPr>
              <w:t>Receita Total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R$ 17M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R$ 31M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R$ 135M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R$ 252M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A"/>
                <w:sz w:val="19"/>
              </w:rPr>
              <w:t>Custo Financeiro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R$ 0 (nao usa cap. proprio)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– R$ 8M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– R$ 40M</w:t>
            </w:r>
          </w:p>
        </w:tc>
      </w:tr>
      <w:tr>
        <w:tc>
          <w:tcPr>
            <w:tcW w:type="dxa" w:w="2736"/>
            <w:shd w:val="clear" w:color="auto" w:fill="EBF2FF"/>
          </w:tcPr>
          <w:p>
            <w:r>
              <w:rPr>
                <w:color w:val="1A1A2A"/>
                <w:sz w:val="19"/>
              </w:rPr>
              <w:t>Inadimplencia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Risco Aplicante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– R$ 2,6M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Risco Aplicante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– R$ 21M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A"/>
                <w:sz w:val="19"/>
              </w:rPr>
              <w:t>Despesas Operacionais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– R$ 16M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– R$ 20M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– R$ 70M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– R$ 85M</w:t>
            </w:r>
          </w:p>
        </w:tc>
      </w:tr>
      <w:tr>
        <w:tc>
          <w:tcPr>
            <w:tcW w:type="dxa" w:w="2736"/>
            <w:shd w:val="clear" w:color="auto" w:fill="EBF2FF"/>
          </w:tcPr>
          <w:p>
            <w:r>
              <w:rPr>
                <w:color w:val="1A1A2A"/>
                <w:sz w:val="19"/>
              </w:rPr>
              <w:t>EBITDA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R$ 1M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R$ 0,4M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R$ 65M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R$ 106M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color w:val="1A1A2A"/>
                <w:sz w:val="19"/>
              </w:rPr>
              <w:t>Lucro Liquido (apos tributos)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R$ 0,5M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R$ 0,2M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R$ 35M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R$ 58M</w:t>
            </w:r>
          </w:p>
        </w:tc>
      </w:tr>
      <w:tr>
        <w:tc>
          <w:tcPr>
            <w:tcW w:type="dxa" w:w="2736"/>
            <w:shd w:val="clear" w:color="auto" w:fill="EBF2FF"/>
          </w:tcPr>
          <w:p>
            <w:r>
              <w:rPr>
                <w:color w:val="1A1A2A"/>
                <w:sz w:val="19"/>
              </w:rPr>
              <w:t>Margem Liquida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2,9%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0,6%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25,9%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23,0%</w:t>
            </w:r>
          </w:p>
        </w:tc>
      </w:tr>
    </w:tbl>
    <w:p/>
    <w:p>
      <w:pPr>
        <w:spacing w:after="120" w:before="40"/>
      </w:pPr>
      <w:r>
        <w:rPr>
          <w:b w:val="0"/>
          <w:i/>
          <w:color w:val="444466"/>
          <w:sz w:val="19"/>
        </w:rPr>
        <w:t>OBSERVACAO: A SEP tem MENOR receita total que a SCD porque nao captura os juros dos contratos (que vao ao Aplicante). Porem, tem MENOR custo financeiro (sem FIDC/Debêntures). O modelo SEP e mais eficiente em capital mas menos lucrativo em receita bruta.</w:t>
      </w:r>
    </w:p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6. INOVACOES ESPECIFICAS DO MODELO SEP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before="160" w:after="120"/>
      </w:pPr>
      <w:r>
        <w:rPr>
          <w:b/>
          <w:color w:val="F39C12"/>
          <w:sz w:val="26"/>
        </w:rPr>
        <w:t>6.1 Mercado Secundario de Contratos (Liquidity Layer)</w:t>
      </w:r>
    </w:p>
    <w:p>
      <w:pPr>
        <w:spacing w:after="120" w:before="40"/>
      </w:pPr>
      <w:r>
        <w:rPr>
          <w:b w:val="0"/>
          <w:i w:val="0"/>
          <w:color w:val="333C55"/>
          <w:sz w:val="21"/>
        </w:rPr>
        <w:t>A SEP NEXUS introduz um mercado secundario interno onde Aplicantes podem VENDER seus contratos de emprestimo a outros Aplicantes antes do vencimento. O preco do contrato e determinado pelo estado de saude do devedor (score atual, historico de pagamentos, tempo restante de contrato). Isso resolve o principal problema de liquidez do P2P tradicional e diferencia o NEXUS de todos os players brasileiros.</w:t>
      </w:r>
    </w:p>
    <w:p>
      <w:pPr>
        <w:pStyle w:val="ListBullet"/>
        <w:spacing w:after="60"/>
      </w:pPr>
      <w:r>
        <w:rPr>
          <w:color w:val="333C55"/>
          <w:sz w:val="21"/>
        </w:rPr>
        <w:t>Contratos inadimplentes sao vendidos com desconto (ex: 70% do valor de face) para Aplicantes com apetite de risco elevado</w:t>
      </w:r>
    </w:p>
    <w:p>
      <w:pPr>
        <w:pStyle w:val="ListBullet"/>
        <w:spacing w:after="60"/>
      </w:pPr>
      <w:r>
        <w:rPr>
          <w:color w:val="333C55"/>
          <w:sz w:val="21"/>
        </w:rPr>
        <w:t>Contratos performando sao vendidos pelo valor de face + accrual de juros</w:t>
      </w:r>
    </w:p>
    <w:p>
      <w:pPr>
        <w:pStyle w:val="ListBullet"/>
        <w:spacing w:after="60"/>
      </w:pPr>
      <w:r>
        <w:rPr>
          <w:color w:val="333C55"/>
          <w:sz w:val="21"/>
        </w:rPr>
        <w:t>Hash do contrato e transferido no ledger — rastreabilidade total da cadeia de custodia</w:t>
      </w:r>
    </w:p>
    <w:p>
      <w:pPr>
        <w:pStyle w:val="ListBullet"/>
        <w:spacing w:after="60"/>
      </w:pPr>
      <w:r>
        <w:rPr>
          <w:color w:val="333C55"/>
          <w:sz w:val="21"/>
        </w:rPr>
        <w:t>Taxa da SEP no mercado secundario: 1% do valor de cessao</w:t>
      </w:r>
    </w:p>
    <w:p>
      <w:pPr>
        <w:spacing w:before="160" w:after="120"/>
      </w:pPr>
      <w:r>
        <w:rPr>
          <w:b/>
          <w:color w:val="F39C12"/>
          <w:sz w:val="26"/>
        </w:rPr>
        <w:t>6.2 Aplicante Score — Qualificacao de Investidores</w:t>
      </w:r>
    </w:p>
    <w:p>
      <w:pPr>
        <w:spacing w:after="120" w:before="40"/>
      </w:pPr>
      <w:r>
        <w:rPr>
          <w:b w:val="0"/>
          <w:i w:val="0"/>
          <w:color w:val="333C55"/>
          <w:sz w:val="21"/>
        </w:rPr>
        <w:t>Assim como os Usuarios passam por scoring, os Aplicantes sao qualificados. A plataforma implementa o 'Aplicante Score' para evitar concentracao de risco e enquadramento AML (o Aplicante tambem pode ser um 'laranja'):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 do Aplicante</w:t>
            </w:r>
          </w:p>
        </w:tc>
        <w:tc>
          <w:tcPr>
            <w:tcW w:type="dxa" w:w="172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Capital Minimo</w:t>
            </w:r>
          </w:p>
        </w:tc>
        <w:tc>
          <w:tcPr>
            <w:tcW w:type="dxa" w:w="216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Limite de Exposicao</w:t>
            </w:r>
          </w:p>
        </w:tc>
        <w:tc>
          <w:tcPr>
            <w:tcW w:type="dxa" w:w="403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Produtos Disponiveis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Varejo (Starter)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R$ 1.000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R$ 50.000 total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Autopiloto; max 3 verticais</w:t>
            </w:r>
          </w:p>
        </w:tc>
      </w:tr>
      <w:tr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Varejo Plus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R$ 10.000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R$ 500.000 total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Escolha de verticais; mercado secundario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Qualificado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R$ 100.000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Sem limite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Todos os produtos + API acesso</w:t>
            </w:r>
          </w:p>
        </w:tc>
      </w:tr>
      <w:tr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Institucional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R$ 1.000.000</w:t>
            </w:r>
          </w:p>
        </w:tc>
        <w:tc>
          <w:tcPr>
            <w:tcW w:type="dxa" w:w="2160"/>
            <w:shd w:val="clear" w:color="auto" w:fill="EBF2FF"/>
          </w:tcPr>
          <w:p>
            <w:r>
              <w:rPr>
                <w:color w:val="1A1A2A"/>
                <w:sz w:val="19"/>
              </w:rPr>
              <w:t>Sem limite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Portfolio customizado + relatorio FATCA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6.3 API para Aplicantes Institucionais (Open Credit API)</w:t>
      </w:r>
    </w:p>
    <w:p>
      <w:pPr>
        <w:spacing w:after="120" w:before="40"/>
      </w:pPr>
      <w:r>
        <w:rPr>
          <w:b w:val="0"/>
          <w:i w:val="0"/>
          <w:color w:val="333C55"/>
          <w:sz w:val="21"/>
        </w:rPr>
        <w:t>Aplicantes institucionais (family offices, fintechs, gestoras) podem acessar a plataforma via API para: (i) automatizar alocacao de capital; (ii) integrar o portfólio NEXUS com seus sistemas de gestao; (iii) receber dados de performance em tempo real via webhook. Esta feature posiciona o NEXUS como infraestrutura de credito para outras fintechs, nao apenas como produto para investidor final.</w:t>
      </w:r>
    </w:p>
    <w:p>
      <w:pPr>
        <w:spacing w:before="160" w:after="120"/>
      </w:pPr>
      <w:r>
        <w:rPr>
          <w:b/>
          <w:color w:val="F39C12"/>
          <w:sz w:val="26"/>
        </w:rPr>
        <w:t>6.4 NEXUS Guarantee Fund (Fundo de Reserva de Liquidez)</w:t>
      </w:r>
    </w:p>
    <w:p>
      <w:pPr>
        <w:spacing w:after="120" w:before="40"/>
      </w:pPr>
      <w:r>
        <w:rPr>
          <w:b w:val="0"/>
          <w:i w:val="0"/>
          <w:color w:val="333C55"/>
          <w:sz w:val="21"/>
        </w:rPr>
        <w:t>Para proteger o Aplicante contra defaults nao-antecipados, a SEP NEXUS mantem um Fundo de Reserva de Liquidez (FRL) capitalizade com:</w:t>
      </w:r>
    </w:p>
    <w:p>
      <w:pPr>
        <w:pStyle w:val="ListBullet"/>
        <w:spacing w:after="60"/>
      </w:pPr>
      <w:r>
        <w:rPr>
          <w:color w:val="333C55"/>
          <w:sz w:val="21"/>
        </w:rPr>
        <w:t>5% do capital aportado por cada novo Aplicante (deduzido nos primeiros 6 meses)</w:t>
      </w:r>
    </w:p>
    <w:p>
      <w:pPr>
        <w:pStyle w:val="ListBullet"/>
        <w:spacing w:after="60"/>
      </w:pPr>
      <w:r>
        <w:rPr>
          <w:color w:val="333C55"/>
          <w:sz w:val="21"/>
        </w:rPr>
        <w:t>10% da taxa de intermediacao mensal retida pela SEP</w:t>
      </w:r>
    </w:p>
    <w:p>
      <w:pPr>
        <w:pStyle w:val="ListBullet"/>
        <w:spacing w:after="60"/>
      </w:pPr>
      <w:r>
        <w:rPr>
          <w:color w:val="333C55"/>
          <w:sz w:val="21"/>
        </w:rPr>
        <w:t>Aportado diretamente pelos Shareholders como garantia institucional minima de R$ 2M</w:t>
      </w:r>
    </w:p>
    <w:p>
      <w:pPr>
        <w:pStyle w:val="ListBullet"/>
        <w:spacing w:after="60"/>
      </w:pPr>
      <w:r>
        <w:rPr>
          <w:color w:val="333C55"/>
          <w:sz w:val="21"/>
        </w:rPr>
        <w:t>FRL absorve defaults de ate 7% da carteira antes de impactar rendimentos dos Aplicantes</w:t>
      </w:r>
    </w:p>
    <w:p>
      <w:pPr>
        <w:pStyle w:val="ListBullet"/>
        <w:spacing w:after="60"/>
      </w:pPr>
      <w:r>
        <w:rPr>
          <w:color w:val="333C55"/>
          <w:sz w:val="21"/>
        </w:rPr>
        <w:t>Saldo do FRL e auditado externamente e publicado no dashboard do Aplicante em tempo real</w:t>
      </w:r>
    </w:p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7. COMPLIANCE, AML/KYC E ESTRUTURA OPERACIONAL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before="160" w:after="120"/>
      </w:pPr>
      <w:r>
        <w:rPr>
          <w:b/>
          <w:color w:val="F39C12"/>
          <w:sz w:val="26"/>
        </w:rPr>
        <w:t>7.1 Obrigacoes de Compliance da SEP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0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Obrigacao</w:t>
            </w:r>
          </w:p>
        </w:tc>
        <w:tc>
          <w:tcPr>
            <w:tcW w:type="dxa" w:w="172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Frequencia</w:t>
            </w:r>
          </w:p>
        </w:tc>
        <w:tc>
          <w:tcPr>
            <w:tcW w:type="dxa" w:w="403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Responsavel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SCR — Central de Risco de Credito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Mensal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CFO + Compliance</w:t>
            </w:r>
          </w:p>
        </w:tc>
      </w:tr>
      <w:tr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COAF — Comunicacoes suspeitas PLD/FT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Ate 24h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CCROO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LGPD — Relatorio de Impacto (RIPD)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Anual ou por evento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DPO</w:t>
            </w:r>
          </w:p>
        </w:tc>
      </w:tr>
      <w:tr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Politica de Diversificacao (CMN 5050)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Revisao semestral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CRO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Auditoria Externa Independente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Anual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Board</w:t>
            </w:r>
          </w:p>
        </w:tc>
      </w:tr>
      <w:tr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Relatorio de Controles Internos (RCI)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Anual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Auditoria Interna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A"/>
                <w:sz w:val="19"/>
              </w:rPr>
              <w:t>Teste de Estresse de Carteira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Trimestral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A1A2A"/>
                <w:sz w:val="19"/>
              </w:rPr>
              <w:t>CRO + Data Science</w:t>
            </w:r>
          </w:p>
        </w:tc>
      </w:tr>
      <w:tr>
        <w:tc>
          <w:tcPr>
            <w:tcW w:type="dxa" w:w="3600"/>
            <w:shd w:val="clear" w:color="auto" w:fill="EBF2FF"/>
          </w:tcPr>
          <w:p>
            <w:r>
              <w:rPr>
                <w:color w:val="1A1A2A"/>
                <w:sz w:val="19"/>
              </w:rPr>
              <w:t>Relatorio de Transparencia ao Aplicante</w:t>
            </w:r>
          </w:p>
        </w:tc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Mensal</w:t>
            </w:r>
          </w:p>
        </w:tc>
        <w:tc>
          <w:tcPr>
            <w:tcW w:type="dxa" w:w="4032"/>
            <w:shd w:val="clear" w:color="auto" w:fill="EBF2FF"/>
          </w:tcPr>
          <w:p>
            <w:r>
              <w:rPr>
                <w:color w:val="1A1A2A"/>
                <w:sz w:val="19"/>
              </w:rPr>
              <w:t>CFO + Produto</w:t>
            </w:r>
          </w:p>
        </w:tc>
      </w:tr>
    </w:tbl>
    <w:p/>
    <w:p>
      <w:pPr>
        <w:spacing w:before="160" w:after="120"/>
      </w:pPr>
      <w:r>
        <w:rPr>
          <w:b/>
          <w:color w:val="F39C12"/>
          <w:sz w:val="26"/>
        </w:rPr>
        <w:t>7.2 Estrutura Organizacional — SEP NEXUS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Setor</w:t>
            </w:r>
          </w:p>
        </w:tc>
        <w:tc>
          <w:tcPr>
            <w:tcW w:type="dxa" w:w="504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 Principal</w:t>
            </w:r>
          </w:p>
        </w:tc>
        <w:tc>
          <w:tcPr>
            <w:tcW w:type="dxa" w:w="1872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Headcount Ano 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CEO / Presidencia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A"/>
                <w:sz w:val="19"/>
              </w:rPr>
              <w:t>Representante legal perante o Bacen + Shareholders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1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CRO — Risco</w:t>
            </w:r>
          </w:p>
        </w:tc>
        <w:tc>
          <w:tcPr>
            <w:tcW w:type="dxa" w:w="5040"/>
            <w:shd w:val="clear" w:color="auto" w:fill="EBF2FF"/>
          </w:tcPr>
          <w:p>
            <w:r>
              <w:rPr>
                <w:color w:val="1A1A2A"/>
                <w:sz w:val="19"/>
              </w:rPr>
              <w:t>OBRIGATORIO para IFs: gestao de risco, Basileia, capital reg.</w:t>
            </w:r>
          </w:p>
        </w:tc>
        <w:tc>
          <w:tcPr>
            <w:tcW w:type="dxa" w:w="1872"/>
            <w:shd w:val="clear" w:color="auto" w:fill="EBF2FF"/>
          </w:tcPr>
          <w:p>
            <w:r>
              <w:rPr>
                <w:color w:val="1A1A2A"/>
                <w:sz w:val="19"/>
              </w:rPr>
              <w:t>1 + eq.3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CCROO — Compliance/PLD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A"/>
                <w:sz w:val="19"/>
              </w:rPr>
              <w:t>OBRIGATORIO: AML, COAF, Bacen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1 + eq.4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CFO — Financeiro</w:t>
            </w:r>
          </w:p>
        </w:tc>
        <w:tc>
          <w:tcPr>
            <w:tcW w:type="dxa" w:w="5040"/>
            <w:shd w:val="clear" w:color="auto" w:fill="EBF2FF"/>
          </w:tcPr>
          <w:p>
            <w:r>
              <w:rPr>
                <w:color w:val="1A1A2A"/>
                <w:sz w:val="19"/>
              </w:rPr>
              <w:t>SCR, ODOO, relatorios, gestao do FRL</w:t>
            </w:r>
          </w:p>
        </w:tc>
        <w:tc>
          <w:tcPr>
            <w:tcW w:type="dxa" w:w="1872"/>
            <w:shd w:val="clear" w:color="auto" w:fill="EBF2FF"/>
          </w:tcPr>
          <w:p>
            <w:r>
              <w:rPr>
                <w:color w:val="1A1A2A"/>
                <w:sz w:val="19"/>
              </w:rPr>
              <w:t>1 + eq.4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CTO — Tecnologia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A"/>
                <w:sz w:val="19"/>
              </w:rPr>
              <w:t>MACRO HASH, AGENTIC AI, API, segurança Bacen (Res.4893)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1 + eq.10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Produto &amp; UX</w:t>
            </w:r>
          </w:p>
        </w:tc>
        <w:tc>
          <w:tcPr>
            <w:tcW w:type="dxa" w:w="5040"/>
            <w:shd w:val="clear" w:color="auto" w:fill="EBF2FF"/>
          </w:tcPr>
          <w:p>
            <w:r>
              <w:rPr>
                <w:color w:val="1A1A2A"/>
                <w:sz w:val="19"/>
              </w:rPr>
              <w:t>Dashboards Aplicante, Usuario, 360 Board</w:t>
            </w:r>
          </w:p>
        </w:tc>
        <w:tc>
          <w:tcPr>
            <w:tcW w:type="dxa" w:w="1872"/>
            <w:shd w:val="clear" w:color="auto" w:fill="EBF2FF"/>
          </w:tcPr>
          <w:p>
            <w:r>
              <w:rPr>
                <w:color w:val="1A1A2A"/>
                <w:sz w:val="19"/>
              </w:rPr>
              <w:t>Eq.5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Crédito &amp; Politica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A"/>
                <w:sz w:val="19"/>
              </w:rPr>
              <w:t>Scoring, politica de credito, provisoes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Eq.6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Operacoes de Campo</w:t>
            </w:r>
          </w:p>
        </w:tc>
        <w:tc>
          <w:tcPr>
            <w:tcW w:type="dxa" w:w="5040"/>
            <w:shd w:val="clear" w:color="auto" w:fill="EBF2FF"/>
          </w:tcPr>
          <w:p>
            <w:r>
              <w:rPr>
                <w:color w:val="1A1A2A"/>
                <w:sz w:val="19"/>
              </w:rPr>
              <w:t>Executivos Sênior/Júnior e Assistentes Executivos</w:t>
            </w:r>
          </w:p>
        </w:tc>
        <w:tc>
          <w:tcPr>
            <w:tcW w:type="dxa" w:w="1872"/>
            <w:shd w:val="clear" w:color="auto" w:fill="EBF2FF"/>
          </w:tcPr>
          <w:p>
            <w:r>
              <w:rPr>
                <w:color w:val="1A1A2A"/>
                <w:sz w:val="19"/>
              </w:rPr>
              <w:t>200+ (escala)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Juridico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A"/>
                <w:sz w:val="19"/>
              </w:rPr>
              <w:t>Contratos P2P, compliance regulatorio, litígios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Eq.3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Data Science &amp; BI</w:t>
            </w:r>
          </w:p>
        </w:tc>
        <w:tc>
          <w:tcPr>
            <w:tcW w:type="dxa" w:w="5040"/>
            <w:shd w:val="clear" w:color="auto" w:fill="EBF2FF"/>
          </w:tcPr>
          <w:p>
            <w:r>
              <w:rPr>
                <w:color w:val="1A1A2A"/>
                <w:sz w:val="19"/>
              </w:rPr>
              <w:t>Motor de scoring, 360 Board, analytics</w:t>
            </w:r>
          </w:p>
        </w:tc>
        <w:tc>
          <w:tcPr>
            <w:tcW w:type="dxa" w:w="1872"/>
            <w:shd w:val="clear" w:color="auto" w:fill="EBF2FF"/>
          </w:tcPr>
          <w:p>
            <w:r>
              <w:rPr>
                <w:color w:val="1A1A2A"/>
                <w:sz w:val="19"/>
              </w:rPr>
              <w:t>Eq.5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Marketing &amp; Growth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A"/>
                <w:sz w:val="19"/>
              </w:rPr>
              <w:t>Aquisicao de Aplicantes e Usuarios, comunidade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Eq.5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SAC</w:t>
            </w:r>
          </w:p>
        </w:tc>
        <w:tc>
          <w:tcPr>
            <w:tcW w:type="dxa" w:w="5040"/>
            <w:shd w:val="clear" w:color="auto" w:fill="EBF2FF"/>
          </w:tcPr>
          <w:p>
            <w:r>
              <w:rPr>
                <w:color w:val="1A1A2A"/>
                <w:sz w:val="19"/>
              </w:rPr>
              <w:t>Suporte a todas as partes</w:t>
            </w:r>
          </w:p>
        </w:tc>
        <w:tc>
          <w:tcPr>
            <w:tcW w:type="dxa" w:w="1872"/>
            <w:shd w:val="clear" w:color="auto" w:fill="EBF2FF"/>
          </w:tcPr>
          <w:p>
            <w:r>
              <w:rPr>
                <w:color w:val="1A1A2A"/>
                <w:sz w:val="19"/>
              </w:rPr>
              <w:t>Eq.15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Merchant Success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A"/>
                <w:sz w:val="19"/>
              </w:rPr>
              <w:t>Credenciamento e gestao de merchants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Eq.6</w:t>
            </w:r>
          </w:p>
        </w:tc>
      </w:tr>
      <w:tr>
        <w:tc>
          <w:tcPr>
            <w:tcW w:type="dxa" w:w="2592"/>
            <w:shd w:val="clear" w:color="auto" w:fill="EBF2FF"/>
          </w:tcPr>
          <w:p>
            <w:r>
              <w:rPr>
                <w:color w:val="1A1A2A"/>
                <w:sz w:val="19"/>
              </w:rPr>
              <w:t>Cobranca &amp; Recuperacao</w:t>
            </w:r>
          </w:p>
        </w:tc>
        <w:tc>
          <w:tcPr>
            <w:tcW w:type="dxa" w:w="5040"/>
            <w:shd w:val="clear" w:color="auto" w:fill="EBF2FF"/>
          </w:tcPr>
          <w:p>
            <w:r>
              <w:rPr>
                <w:color w:val="1A1A2A"/>
                <w:sz w:val="19"/>
              </w:rPr>
              <w:t>Negociacao de defaults, juridico de cobranca</w:t>
            </w:r>
          </w:p>
        </w:tc>
        <w:tc>
          <w:tcPr>
            <w:tcW w:type="dxa" w:w="1872"/>
            <w:shd w:val="clear" w:color="auto" w:fill="EBF2FF"/>
          </w:tcPr>
          <w:p>
            <w:r>
              <w:rPr>
                <w:color w:val="1A1A2A"/>
                <w:sz w:val="19"/>
              </w:rPr>
              <w:t>Eq.8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Auditoria Interna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2A"/>
                <w:sz w:val="19"/>
              </w:rPr>
              <w:t>OBRIGATORIO para IFs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A"/>
                <w:sz w:val="19"/>
              </w:rPr>
              <w:t>Eq.3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8. ROADMAP DE IMPLEMENTACAO — SEP NEXUS</w:t>
      </w:r>
    </w:p>
    <w:p>
      <w:pPr>
        <w:spacing w:before="80" w:after="80"/>
        <w:pBdr>
          <w:bottom w:val="single" w:sz="6" w:space="1" w:color="0091E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296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Periodo</w:t>
            </w:r>
          </w:p>
        </w:tc>
        <w:tc>
          <w:tcPr>
            <w:tcW w:type="dxa" w:w="4320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Entregas Principais</w:t>
            </w:r>
          </w:p>
        </w:tc>
        <w:tc>
          <w:tcPr>
            <w:tcW w:type="dxa" w:w="2448"/>
            <w:shd w:val="clear" w:color="auto" w:fill="0A1E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Marco Regulatorio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Fase 0 — Constituicao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Meses 1–3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S.A. constituida | R$ 1M integralizado | Contratacao CTO/CCROO/CFO | Parceria BIN Sponsor | Contratacao auditoria juridica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2A"/>
                <w:sz w:val="19"/>
              </w:rPr>
              <w:t>Protocolo pedido autorizacao Bacen OU abertura processo aquisicao SEP</w:t>
            </w:r>
          </w:p>
        </w:tc>
      </w:tr>
      <w:tr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Fase 1 — Autorizacao</w:t>
            </w:r>
          </w:p>
        </w:tc>
        <w:tc>
          <w:tcPr>
            <w:tcW w:type="dxa" w:w="1296"/>
            <w:shd w:val="clear" w:color="auto" w:fill="EBF2FF"/>
          </w:tcPr>
          <w:p>
            <w:r>
              <w:rPr>
                <w:color w:val="1A1A2A"/>
                <w:sz w:val="19"/>
              </w:rPr>
              <w:t>Meses 4–18</w:t>
            </w:r>
          </w:p>
        </w:tc>
        <w:tc>
          <w:tcPr>
            <w:tcW w:type="dxa" w:w="4320"/>
            <w:shd w:val="clear" w:color="auto" w:fill="EBF2FF"/>
          </w:tcPr>
          <w:p>
            <w:r>
              <w:rPr>
                <w:color w:val="1A1A2A"/>
                <w:sz w:val="19"/>
              </w:rPr>
              <w:t>MVP plataforma (Aplicante + Usuario) | MACRO HASH v1 | Mercado Secundario v1 | Parceria Executivos piloto (10) | FRL fundado</w:t>
            </w:r>
          </w:p>
        </w:tc>
        <w:tc>
          <w:tcPr>
            <w:tcW w:type="dxa" w:w="2448"/>
            <w:shd w:val="clear" w:color="auto" w:fill="EBF2FF"/>
          </w:tcPr>
          <w:p>
            <w:r>
              <w:rPr>
                <w:color w:val="1A1A2A"/>
                <w:sz w:val="19"/>
              </w:rPr>
              <w:t>Obtencao autorizacao Bacen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Fase 2 — Beta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Meses 19–22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50 Aplicantes seed | 5.000 Usuarios beta | 50 Executivos | Merchants piloto (100 locais) | Dashboard 360 v1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2A"/>
                <w:sz w:val="19"/>
              </w:rPr>
              <w:t>Primeiro SCR ao Bacen</w:t>
            </w:r>
          </w:p>
        </w:tc>
      </w:tr>
      <w:tr>
        <w:tc>
          <w:tcPr>
            <w:tcW w:type="dxa" w:w="1728"/>
            <w:shd w:val="clear" w:color="auto" w:fill="EBF2FF"/>
          </w:tcPr>
          <w:p>
            <w:r>
              <w:rPr>
                <w:color w:val="1A1A2A"/>
                <w:sz w:val="19"/>
              </w:rPr>
              <w:t>Fase 3 — Go-Live</w:t>
            </w:r>
          </w:p>
        </w:tc>
        <w:tc>
          <w:tcPr>
            <w:tcW w:type="dxa" w:w="1296"/>
            <w:shd w:val="clear" w:color="auto" w:fill="EBF2FF"/>
          </w:tcPr>
          <w:p>
            <w:r>
              <w:rPr>
                <w:color w:val="1A1A2A"/>
                <w:sz w:val="19"/>
              </w:rPr>
              <w:t>Meses 23–30</w:t>
            </w:r>
          </w:p>
        </w:tc>
        <w:tc>
          <w:tcPr>
            <w:tcW w:type="dxa" w:w="4320"/>
            <w:shd w:val="clear" w:color="auto" w:fill="EBF2FF"/>
          </w:tcPr>
          <w:p>
            <w:r>
              <w:rPr>
                <w:color w:val="1A1A2A"/>
                <w:sz w:val="19"/>
              </w:rPr>
              <w:t>Lancamento publico | 500 Aplicantes | 30.000 cartoes | Rede nacional Executivos | Mercado Secundario ao vivo</w:t>
            </w:r>
          </w:p>
        </w:tc>
        <w:tc>
          <w:tcPr>
            <w:tcW w:type="dxa" w:w="2448"/>
            <w:shd w:val="clear" w:color="auto" w:fill="EBF2FF"/>
          </w:tcPr>
          <w:p>
            <w:r>
              <w:rPr>
                <w:color w:val="1A1A2A"/>
                <w:sz w:val="19"/>
              </w:rPr>
              <w:t>Auditoria externa Ano 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Fase 4 — Escala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color w:val="1A1A2A"/>
                <w:sz w:val="19"/>
              </w:rPr>
              <w:t>Meses 31–42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2A"/>
                <w:sz w:val="19"/>
              </w:rPr>
              <w:t>Open Credit API lancada | 2.000 Aplicantes inst. | 120.000 cartoes | Internacionalizacao (Colombia, Mexico)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2A"/>
                <w:sz w:val="19"/>
              </w:rPr>
              <w:t>Relatorio CVM se oferta publica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9. RECOMENDACAO ESTRATEGICA — QUAL MODELO ADOTAR?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after="120" w:before="40"/>
      </w:pPr>
      <w:r>
        <w:rPr>
          <w:b w:val="0"/>
          <w:i w:val="0"/>
          <w:color w:val="333C55"/>
          <w:sz w:val="21"/>
        </w:rPr>
        <w:t>Após analise completa dos tres documentos (GREY, GREEN-SCD e GREEN-SEP), a recomendacao estratégica depende do perfil do investidor e do horizonte de tempo: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CENARIO 1 — VELOCIDADE MAXIMA + INVESTIDORES GLOBAIS: GREY</w:t>
            </w:r>
          </w:p>
          <w:p>
            <w:pPr>
              <w:spacing w:after="40"/>
            </w:pPr>
            <w:r>
              <w:rPr>
                <w:color w:val="CCDDEE"/>
                <w:sz w:val="21"/>
              </w:rPr>
              <w:t>Use o Documento GREY se: voce tem acesso a investidores globais (cripto-nativos, family offices internacionais)</w:t>
            </w:r>
          </w:p>
          <w:p>
            <w:pPr>
              <w:spacing w:after="40"/>
            </w:pPr>
            <w:r>
              <w:rPr>
                <w:color w:val="CCDDEE"/>
                <w:sz w:val="21"/>
              </w:rPr>
              <w:t>e quer lancar em 6 meses sem esperar autorizacao do Bacen.</w:t>
            </w:r>
          </w:p>
          <w:p>
            <w:pPr>
              <w:spacing w:after="40"/>
            </w:pPr>
            <w:r>
              <w:rPr>
                <w:color w:val="CCDDEE"/>
                <w:sz w:val="21"/>
              </w:rPr>
              <w:t>Risco: area cinzenta regulatoria no Brasil. Mitigacao: assessoria juridica especializada + estrutura Dubai.</w:t>
            </w:r>
          </w:p>
          <w:p>
            <w:pPr>
              <w:spacing w:after="120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A2A14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CENARIO 2 — CREDIBILIDADE MAXIMA + INVESTIDORES INSTITUCIONAIS BR: GREEN-SCD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Use o Documento SCD se: voce quer se posicionar como 'Nubank do credito rotativo' para investidores institucionais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brasileiros (fundos, family offices, bancas). O FIDC e o instrumento perfeito para grandes volumes.</w:t>
            </w:r>
          </w:p>
          <w:p>
            <w:pPr>
              <w:spacing w:after="40"/>
            </w:pPr>
            <w:r>
              <w:rPr>
                <w:color w:val="BBDDCC"/>
                <w:sz w:val="21"/>
              </w:rPr>
              <w:t>Risco: tributacao IF onerosa. Mitigacao: planejamento tributario via JCP e holding.</w:t>
            </w:r>
          </w:p>
          <w:p>
            <w:pPr>
              <w:spacing w:after="120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A1E3C"/>
          </w:tcPr>
          <w:p/>
          <w:p>
            <w:pPr>
              <w:spacing w:before="120"/>
            </w:pPr>
            <w:r>
              <w:rPr>
                <w:b/>
                <w:color w:val="F39C12"/>
                <w:sz w:val="22"/>
              </w:rPr>
              <w:t>CENARIO 3 — P2P AUTENTICO + PITCH MAIS PODEROSO: GREEN-SEP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Use o Documento SEP se: voce quer o modelo mais proximo do LendingClub/Prosper, com Aplicantes PF/PJ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sendo os credores diretos. Mercado Secundario de Contratos e o diferencial que nenhum player BR tem.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Risco: menor receita bruta para a empresa vs SCD. Compensado por menor custo de capital.</w:t>
            </w:r>
          </w:p>
          <w:p>
            <w:pPr>
              <w:spacing w:after="120"/>
            </w:pPr>
          </w:p>
        </w:tc>
      </w:tr>
    </w:tbl>
    <w:p/>
    <w:p>
      <w:pPr>
        <w:spacing w:after="120" w:before="40"/>
      </w:pPr>
      <w:r>
        <w:rPr>
          <w:b/>
          <w:i w:val="0"/>
          <w:color w:val="0A1E3C"/>
          <w:sz w:val="22"/>
        </w:rPr>
        <w:t>RECOMENDACAO FINAL DO CONSULTOR: Comece com GREEN-SEP para o mercado brasileiro (credibilidade + modelo autentico + menor capital inicial), e implemente simultaneamente a estrutura GREY para captacao de Aplicantes internacionais via Dubai/Cayman. A SCD pode ser incorporada no Ano 2 como subsidiaria que securitiza a carteira via FIDC para captacao institucional em larga escala. Este modelo 'tri-estrutura' e o mais robusto e defensavel em termos de pitch para Series A.</w:t>
      </w:r>
    </w:p>
    <w:p>
      <w:r>
        <w:br w:type="page"/>
      </w:r>
    </w:p>
    <w:p>
      <w:pPr>
        <w:spacing w:before="280" w:after="120"/>
      </w:pPr>
      <w:r>
        <w:rPr>
          <w:b/>
          <w:color w:val="0091EA"/>
          <w:sz w:val="34"/>
        </w:rPr>
        <w:t>10. REFERENCIAS</w:t>
      </w:r>
    </w:p>
    <w:p>
      <w:pPr>
        <w:spacing w:before="80" w:after="80"/>
        <w:pBdr>
          <w:bottom w:val="single" w:sz="6" w:space="1" w:color="0091EA"/>
        </w:pBdr>
      </w:pPr>
    </w:p>
    <w:p>
      <w:pPr>
        <w:spacing w:after="60"/>
      </w:pPr>
      <w:r>
        <w:rPr>
          <w:color w:val="333C55"/>
          <w:sz w:val="18"/>
        </w:rPr>
        <w:t>[1] Banco Central do Brasil. Resolucao CMN 5.050/2022 — Consolida as normas SCD e SEP.</w:t>
      </w:r>
    </w:p>
    <w:p>
      <w:pPr>
        <w:spacing w:after="60"/>
      </w:pPr>
      <w:r>
        <w:rPr>
          <w:color w:val="333C55"/>
          <w:sz w:val="18"/>
        </w:rPr>
        <w:t>[2] Banco Central do Brasil. Resolucao CMN 5.177/2024 — Atualizacao regulatoria (vigência 01/01/2025).</w:t>
      </w:r>
    </w:p>
    <w:p>
      <w:pPr>
        <w:spacing w:after="60"/>
      </w:pPr>
      <w:r>
        <w:rPr>
          <w:color w:val="333C55"/>
          <w:sz w:val="18"/>
        </w:rPr>
        <w:t>[3] Lei 4.595/1964 — Lei da Reforma Bancaria.</w:t>
      </w:r>
    </w:p>
    <w:p>
      <w:pPr>
        <w:spacing w:after="60"/>
      </w:pPr>
      <w:r>
        <w:rPr>
          <w:color w:val="333C55"/>
          <w:sz w:val="18"/>
        </w:rPr>
        <w:t>[4] Lei 10.406/2002 — Codigo Civil Brasileiro (contratos de emprestimo entre pessoas).</w:t>
      </w:r>
    </w:p>
    <w:p>
      <w:pPr>
        <w:spacing w:after="60"/>
      </w:pPr>
      <w:r>
        <w:rPr>
          <w:color w:val="333C55"/>
          <w:sz w:val="18"/>
        </w:rPr>
        <w:t>[5] CVM. Instrucao 476/2009 — Oferta pública com esforcos restritos.</w:t>
      </w:r>
    </w:p>
    <w:p>
      <w:pPr>
        <w:spacing w:after="60"/>
      </w:pPr>
      <w:r>
        <w:rPr>
          <w:color w:val="333C55"/>
          <w:sz w:val="18"/>
        </w:rPr>
        <w:t>[6] Iyer, R. et al. (2009). Screening in new credit markets (NBER W15242).</w:t>
      </w:r>
    </w:p>
    <w:p>
      <w:pPr>
        <w:spacing w:after="60"/>
      </w:pPr>
      <w:r>
        <w:rPr>
          <w:color w:val="333C55"/>
          <w:sz w:val="18"/>
        </w:rPr>
        <w:t>[7] Lin, M., Prabhala, N. R., Viswanathan, S. (2012). Judging borrowers by the company they keep.</w:t>
      </w:r>
    </w:p>
    <w:p>
      <w:pPr>
        <w:spacing w:after="60"/>
      </w:pPr>
      <w:r>
        <w:rPr>
          <w:color w:val="333C55"/>
          <w:sz w:val="18"/>
        </w:rPr>
        <w:t>[8] Herzenstein, M. et al. (2008). Tell me a good story and I may lend you money.</w:t>
      </w:r>
    </w:p>
    <w:p>
      <w:pPr>
        <w:spacing w:after="60"/>
      </w:pPr>
      <w:r>
        <w:rPr>
          <w:color w:val="333C55"/>
          <w:sz w:val="18"/>
        </w:rPr>
        <w:t>[9] Pope, D. G., Sydnor, J. R. (2011). Discrimination evidence from Prosper.com. J. Human Resources.</w:t>
      </w:r>
    </w:p>
    <w:p>
      <w:pPr>
        <w:spacing w:after="60"/>
      </w:pPr>
      <w:r>
        <w:rPr>
          <w:color w:val="333C55"/>
          <w:sz w:val="18"/>
        </w:rPr>
        <w:t>[10] Berger, S. C., Gleisner, F. (2009). Emergence of financial intermediaries. BuR Springer.</w:t>
      </w:r>
    </w:p>
    <w:p>
      <w:pPr>
        <w:spacing w:after="60"/>
      </w:pPr>
      <w:r>
        <w:rPr>
          <w:color w:val="333C55"/>
          <w:sz w:val="18"/>
        </w:rPr>
        <w:t>[11] Frerichs, A., Schumann, M. (2008). Peer-to-Peer Lending: Opportunities and Risks.</w:t>
      </w:r>
    </w:p>
    <w:p>
      <w:pPr>
        <w:spacing w:after="60"/>
      </w:pPr>
      <w:r>
        <w:rPr>
          <w:color w:val="333C55"/>
          <w:sz w:val="18"/>
        </w:rPr>
        <w:t>[12] Ashta, A., Assadi, D. (2009). Do Social Cause and Social Technology Meet? ULB Working Paper.</w:t>
      </w:r>
    </w:p>
    <w:p>
      <w:pPr>
        <w:spacing w:after="60"/>
      </w:pPr>
      <w:r>
        <w:rPr>
          <w:color w:val="333C55"/>
          <w:sz w:val="18"/>
        </w:rPr>
        <w:t>[13] Herrero-Lopez, S. (2009). Social Interactions in P2P Lending. Baruch College Working Paper.</w:t>
      </w:r>
    </w:p>
    <w:p>
      <w:pPr>
        <w:spacing w:after="60"/>
      </w:pPr>
      <w:r>
        <w:rPr>
          <w:color w:val="333C55"/>
          <w:sz w:val="18"/>
        </w:rPr>
        <w:t>[14] Mintos (2024). Annual Investor Report 2024. Mintos Marketplace.</w:t>
      </w:r>
    </w:p>
    <w:p>
      <w:pPr>
        <w:spacing w:after="60"/>
      </w:pPr>
      <w:r>
        <w:rPr>
          <w:color w:val="333C55"/>
          <w:sz w:val="18"/>
        </w:rPr>
        <w:t>[15] Bondora (2024). Go &amp; Grow — Product Documentation. Bondora Group.</w:t>
      </w:r>
    </w:p>
    <w:p>
      <w:pPr>
        <w:spacing w:after="60"/>
      </w:pPr>
      <w:r>
        <w:rPr>
          <w:color w:val="333C55"/>
          <w:sz w:val="18"/>
        </w:rPr>
        <w:t>[16] Nexoos (2024). Relatorio Anual — Plataforma SEP Brasil.</w:t>
      </w:r>
    </w:p>
    <w:p>
      <w:pPr>
        <w:spacing w:after="60"/>
      </w:pPr>
      <w:r>
        <w:rPr>
          <w:color w:val="333C55"/>
          <w:sz w:val="18"/>
        </w:rPr>
        <w:t>[17] Bacen (2023). Relatorio de Estabilidade Financeira — Fintechs de Credito.</w:t>
      </w:r>
    </w:p>
    <w:p/>
    <w:p>
      <w:pPr>
        <w:spacing w:after="120" w:before="40"/>
      </w:pPr>
      <w:r>
        <w:rPr>
          <w:b w:val="0"/>
          <w:i/>
          <w:color w:val="445588"/>
          <w:sz w:val="18"/>
        </w:rPr>
        <w:t>NEXUS GREEN-SEP v1.0 | Abril 2026 | Documento Confidencial | Todos os direitos reservados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