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360"/>
            <w:shd w:val="clear" w:color="auto" w:fill="0D1B2A"/>
          </w:tcPr>
          <w:p/>
          <w:p>
            <w:pPr>
              <w:spacing w:before="480"/>
              <w:jc w:val="center"/>
            </w:pPr>
            <w:r>
              <w:rPr>
                <w:b/>
                <w:color w:val="F5A623"/>
                <w:sz w:val="22"/>
              </w:rPr>
              <w:t>[ WHITEPAPER CONFIDENCIAL — DOCUMENTO GREY v1.0 — ABRIL 2026 ]</w:t>
            </w:r>
          </w:p>
          <w:p>
            <w:pPr>
              <w:jc w:val="center"/>
            </w:pPr>
            <w:r>
              <w:rPr>
                <w:b/>
                <w:color w:val="FFFFFF"/>
                <w:sz w:val="56"/>
              </w:rPr>
              <w:t>PROJECTO NEXUS GREY</w:t>
            </w:r>
          </w:p>
          <w:p>
            <w:pPr>
              <w:jc w:val="center"/>
            </w:pPr>
            <w:r>
              <w:rPr>
                <w:b/>
                <w:color w:val="00B4D8"/>
                <w:sz w:val="44"/>
              </w:rPr>
              <w:t>Plataforma P2P de Crédito via Stablecoins</w:t>
            </w:r>
          </w:p>
          <w:p>
            <w:pPr>
              <w:spacing w:after="560"/>
              <w:jc w:val="center"/>
            </w:pPr>
            <w:r>
              <w:rPr>
                <w:i/>
                <w:color w:val="AACCEE"/>
                <w:sz w:val="24"/>
              </w:rPr>
              <w:t>SPE Exchange Proprietária · Cartão Pré-Pago · Investidores Globais · Arquitetura Descentralizada</w:t>
            </w:r>
          </w:p>
        </w:tc>
      </w:tr>
    </w:tbl>
    <w:p/>
    <w:p>
      <w:pPr>
        <w:spacing w:after="120" w:before="40"/>
      </w:pPr>
      <w:r>
        <w:rPr>
          <w:b w:val="0"/>
          <w:i/>
          <w:color w:val="888899"/>
          <w:sz w:val="18"/>
        </w:rPr>
        <w:t>Este documento é de natureza estritamente confidencial e destinado exclusivamente a investidores, parceiros estratégicos e assessores jurídicos qualificados. Não constitui oferta pública de valores mobiliários nem instrumento de captação de recursos junto ao público em geral.</w:t>
      </w:r>
    </w:p>
    <w:p>
      <w:r>
        <w:br w:type="page"/>
      </w:r>
    </w:p>
    <w:p>
      <w:pPr>
        <w:spacing w:before="280" w:after="120"/>
      </w:pPr>
      <w:r>
        <w:rPr>
          <w:b/>
          <w:color w:val="00B4D8"/>
          <w:sz w:val="36"/>
        </w:rPr>
        <w:t>SUMÁRIO EXECUTIVO</w:t>
      </w:r>
    </w:p>
    <w:p>
      <w:pPr>
        <w:spacing w:before="80" w:after="80"/>
        <w:pBdr>
          <w:bottom w:val="single" w:sz="6" w:space="1" w:color="00B4D8"/>
        </w:pBdr>
      </w:pPr>
    </w:p>
    <w:p>
      <w:pPr>
        <w:spacing w:after="120" w:before="40"/>
      </w:pPr>
      <w:r>
        <w:rPr>
          <w:b w:val="0"/>
          <w:i w:val="0"/>
          <w:color w:val="444455"/>
          <w:sz w:val="22"/>
        </w:rPr>
        <w:t>O Projeto NEXUS GREY apresenta uma arquitetura inovadora de crédito peer-to-peer que opera inteiramente sobre infraestrutura de stablecoins (USDT/USDC), liquidando os empréstimos em reais através de cartões pré-pagos emitidos via subadquirência internacional (Visa/Mastercard). A plataforma conecta Aplicantes (investidores) globais a Usuários (tomadores) brasileiros, com retornos de 3% a 5% ao mês, risco fracionado em até 1.800 microparticipações por carteira e rastreabilidade completa via MACRO HASH em ledger imutável.</w:t>
      </w:r>
    </w:p>
    <w:p>
      <w:pPr>
        <w:spacing w:after="120" w:before="40"/>
      </w:pPr>
      <w:r>
        <w:rPr>
          <w:b w:val="0"/>
          <w:i w:val="0"/>
          <w:color w:val="444455"/>
          <w:sz w:val="22"/>
        </w:rPr>
        <w:t>A estrutura jurídica ancora-se em uma SPE Exchange (Special Purpose Entity) registrada em jurisdição favorável (preferencialmente Dubai DIFC, Ilhas Cayman ou BVI), operando como exchange de propósito específico para conversão stablecoin ↔ BRL e como compliance layer de toda a operação. Esta arquitetura posiciona a plataforma fora do perímetro regulatório direto do Banco Central do Brasil, enquanto mantém conformidade com normas internacionais de AML/KYC (FATF) e requisitos de licenciamento local de meios de pagamento.</w:t>
      </w:r>
    </w:p>
    <w:tbl>
      <w:tblPr>
        <w:tblW w:type="auto" w:w="0"/>
        <w:jc w:val="center"/>
        <w:tblLook w:firstColumn="1" w:firstRow="1" w:lastColumn="0" w:lastRow="0" w:noHBand="0" w:noVBand="1" w:val="04A0"/>
      </w:tblPr>
      <w:tblGrid>
        <w:gridCol w:w="9746"/>
      </w:tblGrid>
      <w:tr>
        <w:tc>
          <w:tcPr>
            <w:tcW w:type="dxa" w:w="9746"/>
            <w:shd w:val="clear" w:color="auto" w:fill="0D2035"/>
          </w:tcPr>
          <w:p/>
          <w:p>
            <w:pPr>
              <w:spacing w:before="120"/>
            </w:pPr>
            <w:r>
              <w:rPr>
                <w:b/>
                <w:color w:val="F5A623"/>
                <w:sz w:val="22"/>
              </w:rPr>
              <w:t>MÉTRICAS-ALVO — ANO 1 A 3</w:t>
            </w:r>
          </w:p>
          <w:p>
            <w:pPr>
              <w:spacing w:after="40"/>
            </w:pPr>
            <w:r>
              <w:rPr>
                <w:color w:val="CCDDEE"/>
                <w:sz w:val="21"/>
              </w:rPr>
              <w:t>▸  Aplicantes-alvo (Ano 1): 500 investidores | Capital sob gestão: R$ 50M–R$ 150M</w:t>
            </w:r>
          </w:p>
          <w:p>
            <w:pPr>
              <w:spacing w:after="40"/>
            </w:pPr>
            <w:r>
              <w:rPr>
                <w:color w:val="CCDDEE"/>
                <w:sz w:val="21"/>
              </w:rPr>
              <w:t>▸  Usuários-alvo (Ano 1): 90.000 cartões ativos | Ticket médio: R$ 1.500</w:t>
            </w:r>
          </w:p>
          <w:p>
            <w:pPr>
              <w:spacing w:after="40"/>
            </w:pPr>
            <w:r>
              <w:rPr>
                <w:color w:val="CCDDEE"/>
                <w:sz w:val="21"/>
              </w:rPr>
              <w:t>▸  Retorno ao Aplicante: 3,5% a 5,0% a.m. (42% a 60% a.a.)</w:t>
            </w:r>
          </w:p>
          <w:p>
            <w:pPr>
              <w:spacing w:after="40"/>
            </w:pPr>
            <w:r>
              <w:rPr>
                <w:color w:val="CCDDEE"/>
                <w:sz w:val="21"/>
              </w:rPr>
              <w:t>▸  Taxa de inadimplência projetada: ≤ 7% (mitigada pelo fracionamento)</w:t>
            </w:r>
          </w:p>
          <w:p>
            <w:pPr>
              <w:spacing w:after="40"/>
            </w:pPr>
            <w:r>
              <w:rPr>
                <w:color w:val="CCDDEE"/>
                <w:sz w:val="21"/>
              </w:rPr>
              <w:t>▸  Receita da plataforma via MDR Merchant: 3% sobre cada transação no cartão</w:t>
            </w:r>
          </w:p>
          <w:p>
            <w:pPr>
              <w:spacing w:after="40"/>
            </w:pPr>
            <w:r>
              <w:rPr>
                <w:color w:val="CCDDEE"/>
                <w:sz w:val="21"/>
              </w:rPr>
              <w:t>▸  Break-even operacional projetado: mês 18 após go-live</w:t>
            </w:r>
          </w:p>
          <w:p>
            <w:pPr>
              <w:spacing w:after="120"/>
            </w:pPr>
          </w:p>
        </w:tc>
      </w:tr>
    </w:tbl>
    <w:p/>
    <w:p>
      <w:r>
        <w:br w:type="page"/>
      </w:r>
    </w:p>
    <w:p>
      <w:pPr>
        <w:spacing w:before="280" w:after="120"/>
      </w:pPr>
      <w:r>
        <w:rPr>
          <w:b/>
          <w:color w:val="00B4D8"/>
          <w:sz w:val="36"/>
        </w:rPr>
        <w:t>1. CONTEXTO GLOBAL — BENCHMARKS INTERNACIONAIS P2P LENDING</w:t>
      </w:r>
    </w:p>
    <w:p>
      <w:pPr>
        <w:spacing w:before="80" w:after="80"/>
        <w:pBdr>
          <w:bottom w:val="single" w:sz="6" w:space="1" w:color="00B4D8"/>
        </w:pBdr>
      </w:pPr>
    </w:p>
    <w:p>
      <w:pPr>
        <w:spacing w:after="120" w:before="40"/>
      </w:pPr>
      <w:r>
        <w:rPr>
          <w:b w:val="0"/>
          <w:i w:val="0"/>
          <w:color w:val="444455"/>
          <w:sz w:val="21"/>
        </w:rPr>
        <w:t>O mercado global de P2P lending alcançou USD 134 bilhões em volume originado em 2024, com projeção de atingir USD 558 bilhões até 2030 (CAGR de 27,4%). A tabela abaixo apresenta os principais players por continente, seus modelos de negócio e métricas relevantes para orientar o posicionamento estratégico do Projeto NEXUS.</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584"/>
            <w:shd w:val="clear" w:color="auto" w:fill="0D1B2A"/>
          </w:tcPr>
          <w:p>
            <w:pPr>
              <w:jc w:val="center"/>
            </w:pPr>
            <w:r>
              <w:rPr>
                <w:b/>
                <w:color w:val="FFFFFF"/>
                <w:sz w:val="20"/>
              </w:rPr>
              <w:t>Plataforma</w:t>
            </w:r>
          </w:p>
        </w:tc>
        <w:tc>
          <w:tcPr>
            <w:tcW w:type="dxa" w:w="1440"/>
            <w:shd w:val="clear" w:color="auto" w:fill="0D1B2A"/>
          </w:tcPr>
          <w:p>
            <w:pPr>
              <w:jc w:val="center"/>
            </w:pPr>
            <w:r>
              <w:rPr>
                <w:b/>
                <w:color w:val="FFFFFF"/>
                <w:sz w:val="20"/>
              </w:rPr>
              <w:t>País/Região</w:t>
            </w:r>
          </w:p>
        </w:tc>
        <w:tc>
          <w:tcPr>
            <w:tcW w:type="dxa" w:w="1728"/>
            <w:shd w:val="clear" w:color="auto" w:fill="0D1B2A"/>
          </w:tcPr>
          <w:p>
            <w:pPr>
              <w:jc w:val="center"/>
            </w:pPr>
            <w:r>
              <w:rPr>
                <w:b/>
                <w:color w:val="FFFFFF"/>
                <w:sz w:val="20"/>
              </w:rPr>
              <w:t>Modelo</w:t>
            </w:r>
          </w:p>
        </w:tc>
        <w:tc>
          <w:tcPr>
            <w:tcW w:type="dxa" w:w="1296"/>
            <w:shd w:val="clear" w:color="auto" w:fill="0D1B2A"/>
          </w:tcPr>
          <w:p>
            <w:pPr>
              <w:jc w:val="center"/>
            </w:pPr>
            <w:r>
              <w:rPr>
                <w:b/>
                <w:color w:val="FFFFFF"/>
                <w:sz w:val="20"/>
              </w:rPr>
              <w:t>Volume Total</w:t>
            </w:r>
          </w:p>
        </w:tc>
        <w:tc>
          <w:tcPr>
            <w:tcW w:type="dxa" w:w="1152"/>
            <w:shd w:val="clear" w:color="auto" w:fill="0D1B2A"/>
          </w:tcPr>
          <w:p>
            <w:pPr>
              <w:jc w:val="center"/>
            </w:pPr>
            <w:r>
              <w:rPr>
                <w:b/>
                <w:color w:val="FFFFFF"/>
                <w:sz w:val="20"/>
              </w:rPr>
              <w:t>Retorno Inv.</w:t>
            </w:r>
          </w:p>
        </w:tc>
        <w:tc>
          <w:tcPr>
            <w:tcW w:type="dxa" w:w="2880"/>
            <w:shd w:val="clear" w:color="auto" w:fill="0D1B2A"/>
          </w:tcPr>
          <w:p>
            <w:pPr>
              <w:jc w:val="center"/>
            </w:pPr>
            <w:r>
              <w:rPr>
                <w:b/>
                <w:color w:val="FFFFFF"/>
                <w:sz w:val="20"/>
              </w:rPr>
              <w:t>Diferencial</w:t>
            </w:r>
          </w:p>
        </w:tc>
      </w:tr>
      <w:tr>
        <w:tc>
          <w:tcPr>
            <w:tcW w:type="dxa" w:w="1584"/>
            <w:shd w:val="clear" w:color="auto" w:fill="FFFFFF"/>
          </w:tcPr>
          <w:p>
            <w:r>
              <w:rPr>
                <w:color w:val="222233"/>
                <w:sz w:val="19"/>
              </w:rPr>
              <w:t>LendingClub</w:t>
            </w:r>
          </w:p>
        </w:tc>
        <w:tc>
          <w:tcPr>
            <w:tcW w:type="dxa" w:w="1440"/>
            <w:shd w:val="clear" w:color="auto" w:fill="FFFFFF"/>
          </w:tcPr>
          <w:p>
            <w:r>
              <w:rPr>
                <w:color w:val="222233"/>
                <w:sz w:val="19"/>
              </w:rPr>
              <w:t>EUA</w:t>
            </w:r>
          </w:p>
        </w:tc>
        <w:tc>
          <w:tcPr>
            <w:tcW w:type="dxa" w:w="1728"/>
            <w:shd w:val="clear" w:color="auto" w:fill="FFFFFF"/>
          </w:tcPr>
          <w:p>
            <w:r>
              <w:rPr>
                <w:color w:val="222233"/>
                <w:sz w:val="19"/>
              </w:rPr>
              <w:t>Originador direto (pós-2020)</w:t>
            </w:r>
          </w:p>
        </w:tc>
        <w:tc>
          <w:tcPr>
            <w:tcW w:type="dxa" w:w="1296"/>
            <w:shd w:val="clear" w:color="auto" w:fill="FFFFFF"/>
          </w:tcPr>
          <w:p>
            <w:r>
              <w:rPr>
                <w:color w:val="222233"/>
                <w:sz w:val="19"/>
              </w:rPr>
              <w:t>USD 70B+</w:t>
            </w:r>
          </w:p>
        </w:tc>
        <w:tc>
          <w:tcPr>
            <w:tcW w:type="dxa" w:w="1152"/>
            <w:shd w:val="clear" w:color="auto" w:fill="FFFFFF"/>
          </w:tcPr>
          <w:p>
            <w:r>
              <w:rPr>
                <w:color w:val="222233"/>
                <w:sz w:val="19"/>
              </w:rPr>
              <w:t>N/A (inst.)</w:t>
            </w:r>
          </w:p>
        </w:tc>
        <w:tc>
          <w:tcPr>
            <w:tcW w:type="dxa" w:w="2880"/>
            <w:shd w:val="clear" w:color="auto" w:fill="FFFFFF"/>
          </w:tcPr>
          <w:p>
            <w:r>
              <w:rPr>
                <w:color w:val="222233"/>
                <w:sz w:val="19"/>
              </w:rPr>
              <w:t>Maior histórico P2P; migrou para banco digital</w:t>
            </w:r>
          </w:p>
        </w:tc>
      </w:tr>
      <w:tr>
        <w:tc>
          <w:tcPr>
            <w:tcW w:type="dxa" w:w="1584"/>
            <w:shd w:val="clear" w:color="auto" w:fill="EAF4FF"/>
          </w:tcPr>
          <w:p>
            <w:r>
              <w:rPr>
                <w:color w:val="222233"/>
                <w:sz w:val="19"/>
              </w:rPr>
              <w:t>Prosper</w:t>
            </w:r>
          </w:p>
        </w:tc>
        <w:tc>
          <w:tcPr>
            <w:tcW w:type="dxa" w:w="1440"/>
            <w:shd w:val="clear" w:color="auto" w:fill="EAF4FF"/>
          </w:tcPr>
          <w:p>
            <w:r>
              <w:rPr>
                <w:color w:val="222233"/>
                <w:sz w:val="19"/>
              </w:rPr>
              <w:t>EUA</w:t>
            </w:r>
          </w:p>
        </w:tc>
        <w:tc>
          <w:tcPr>
            <w:tcW w:type="dxa" w:w="1728"/>
            <w:shd w:val="clear" w:color="auto" w:fill="EAF4FF"/>
          </w:tcPr>
          <w:p>
            <w:r>
              <w:rPr>
                <w:color w:val="222233"/>
                <w:sz w:val="19"/>
              </w:rPr>
              <w:t>P2P Marketplace puro</w:t>
            </w:r>
          </w:p>
        </w:tc>
        <w:tc>
          <w:tcPr>
            <w:tcW w:type="dxa" w:w="1296"/>
            <w:shd w:val="clear" w:color="auto" w:fill="EAF4FF"/>
          </w:tcPr>
          <w:p>
            <w:r>
              <w:rPr>
                <w:color w:val="222233"/>
                <w:sz w:val="19"/>
              </w:rPr>
              <w:t>USD 22B+</w:t>
            </w:r>
          </w:p>
        </w:tc>
        <w:tc>
          <w:tcPr>
            <w:tcW w:type="dxa" w:w="1152"/>
            <w:shd w:val="clear" w:color="auto" w:fill="EAF4FF"/>
          </w:tcPr>
          <w:p>
            <w:r>
              <w:rPr>
                <w:color w:val="222233"/>
                <w:sz w:val="19"/>
              </w:rPr>
              <w:t>5–8% a.a.</w:t>
            </w:r>
          </w:p>
        </w:tc>
        <w:tc>
          <w:tcPr>
            <w:tcW w:type="dxa" w:w="2880"/>
            <w:shd w:val="clear" w:color="auto" w:fill="EAF4FF"/>
          </w:tcPr>
          <w:p>
            <w:r>
              <w:rPr>
                <w:color w:val="222233"/>
                <w:sz w:val="19"/>
              </w:rPr>
              <w:t>Último grande P2P EUA; USD 2,2B originados 2024</w:t>
            </w:r>
          </w:p>
        </w:tc>
      </w:tr>
      <w:tr>
        <w:tc>
          <w:tcPr>
            <w:tcW w:type="dxa" w:w="1584"/>
            <w:shd w:val="clear" w:color="auto" w:fill="FFFFFF"/>
          </w:tcPr>
          <w:p>
            <w:r>
              <w:rPr>
                <w:color w:val="222233"/>
                <w:sz w:val="19"/>
              </w:rPr>
              <w:t>Mintos</w:t>
            </w:r>
          </w:p>
        </w:tc>
        <w:tc>
          <w:tcPr>
            <w:tcW w:type="dxa" w:w="1440"/>
            <w:shd w:val="clear" w:color="auto" w:fill="FFFFFF"/>
          </w:tcPr>
          <w:p>
            <w:r>
              <w:rPr>
                <w:color w:val="222233"/>
                <w:sz w:val="19"/>
              </w:rPr>
              <w:t>Letônia/UE</w:t>
            </w:r>
          </w:p>
        </w:tc>
        <w:tc>
          <w:tcPr>
            <w:tcW w:type="dxa" w:w="1728"/>
            <w:shd w:val="clear" w:color="auto" w:fill="FFFFFF"/>
          </w:tcPr>
          <w:p>
            <w:r>
              <w:rPr>
                <w:color w:val="222233"/>
                <w:sz w:val="19"/>
              </w:rPr>
              <w:t>Marketplace de crédito</w:t>
            </w:r>
          </w:p>
        </w:tc>
        <w:tc>
          <w:tcPr>
            <w:tcW w:type="dxa" w:w="1296"/>
            <w:shd w:val="clear" w:color="auto" w:fill="FFFFFF"/>
          </w:tcPr>
          <w:p>
            <w:r>
              <w:rPr>
                <w:color w:val="222233"/>
                <w:sz w:val="19"/>
              </w:rPr>
              <w:t>EUR 7B+</w:t>
            </w:r>
          </w:p>
        </w:tc>
        <w:tc>
          <w:tcPr>
            <w:tcW w:type="dxa" w:w="1152"/>
            <w:shd w:val="clear" w:color="auto" w:fill="FFFFFF"/>
          </w:tcPr>
          <w:p>
            <w:r>
              <w:rPr>
                <w:color w:val="222233"/>
                <w:sz w:val="19"/>
              </w:rPr>
              <w:t>8–12% a.a.</w:t>
            </w:r>
          </w:p>
        </w:tc>
        <w:tc>
          <w:tcPr>
            <w:tcW w:type="dxa" w:w="2880"/>
            <w:shd w:val="clear" w:color="auto" w:fill="FFFFFF"/>
          </w:tcPr>
          <w:p>
            <w:r>
              <w:rPr>
                <w:color w:val="222233"/>
                <w:sz w:val="19"/>
              </w:rPr>
              <w:t>340k investidores; mercado secundário robusto</w:t>
            </w:r>
          </w:p>
        </w:tc>
      </w:tr>
      <w:tr>
        <w:tc>
          <w:tcPr>
            <w:tcW w:type="dxa" w:w="1584"/>
            <w:shd w:val="clear" w:color="auto" w:fill="EAF4FF"/>
          </w:tcPr>
          <w:p>
            <w:r>
              <w:rPr>
                <w:color w:val="222233"/>
                <w:sz w:val="19"/>
              </w:rPr>
              <w:t>Bondora</w:t>
            </w:r>
          </w:p>
        </w:tc>
        <w:tc>
          <w:tcPr>
            <w:tcW w:type="dxa" w:w="1440"/>
            <w:shd w:val="clear" w:color="auto" w:fill="EAF4FF"/>
          </w:tcPr>
          <w:p>
            <w:r>
              <w:rPr>
                <w:color w:val="222233"/>
                <w:sz w:val="19"/>
              </w:rPr>
              <w:t>Estônia/UE</w:t>
            </w:r>
          </w:p>
        </w:tc>
        <w:tc>
          <w:tcPr>
            <w:tcW w:type="dxa" w:w="1728"/>
            <w:shd w:val="clear" w:color="auto" w:fill="EAF4FF"/>
          </w:tcPr>
          <w:p>
            <w:r>
              <w:rPr>
                <w:color w:val="222233"/>
                <w:sz w:val="19"/>
              </w:rPr>
              <w:t>Go&amp;Grow produto fixo</w:t>
            </w:r>
          </w:p>
        </w:tc>
        <w:tc>
          <w:tcPr>
            <w:tcW w:type="dxa" w:w="1296"/>
            <w:shd w:val="clear" w:color="auto" w:fill="EAF4FF"/>
          </w:tcPr>
          <w:p>
            <w:r>
              <w:rPr>
                <w:color w:val="222233"/>
                <w:sz w:val="19"/>
              </w:rPr>
              <w:t>EUR 805M+</w:t>
            </w:r>
          </w:p>
        </w:tc>
        <w:tc>
          <w:tcPr>
            <w:tcW w:type="dxa" w:w="1152"/>
            <w:shd w:val="clear" w:color="auto" w:fill="EAF4FF"/>
          </w:tcPr>
          <w:p>
            <w:r>
              <w:rPr>
                <w:color w:val="222233"/>
                <w:sz w:val="19"/>
              </w:rPr>
              <w:t>6% a.a.</w:t>
            </w:r>
          </w:p>
        </w:tc>
        <w:tc>
          <w:tcPr>
            <w:tcW w:type="dxa" w:w="2880"/>
            <w:shd w:val="clear" w:color="auto" w:fill="EAF4FF"/>
          </w:tcPr>
          <w:p>
            <w:r>
              <w:rPr>
                <w:color w:val="222233"/>
                <w:sz w:val="19"/>
              </w:rPr>
              <w:t>Liquidez diária; produto simplificado</w:t>
            </w:r>
          </w:p>
        </w:tc>
      </w:tr>
      <w:tr>
        <w:tc>
          <w:tcPr>
            <w:tcW w:type="dxa" w:w="1584"/>
            <w:shd w:val="clear" w:color="auto" w:fill="FFFFFF"/>
          </w:tcPr>
          <w:p>
            <w:r>
              <w:rPr>
                <w:color w:val="222233"/>
                <w:sz w:val="19"/>
              </w:rPr>
              <w:t>Twino</w:t>
            </w:r>
          </w:p>
        </w:tc>
        <w:tc>
          <w:tcPr>
            <w:tcW w:type="dxa" w:w="1440"/>
            <w:shd w:val="clear" w:color="auto" w:fill="FFFFFF"/>
          </w:tcPr>
          <w:p>
            <w:r>
              <w:rPr>
                <w:color w:val="222233"/>
                <w:sz w:val="19"/>
              </w:rPr>
              <w:t>Letônia/UE</w:t>
            </w:r>
          </w:p>
        </w:tc>
        <w:tc>
          <w:tcPr>
            <w:tcW w:type="dxa" w:w="1728"/>
            <w:shd w:val="clear" w:color="auto" w:fill="FFFFFF"/>
          </w:tcPr>
          <w:p>
            <w:r>
              <w:rPr>
                <w:color w:val="222233"/>
                <w:sz w:val="19"/>
              </w:rPr>
              <w:t>P2P com buyback guarantee</w:t>
            </w:r>
          </w:p>
        </w:tc>
        <w:tc>
          <w:tcPr>
            <w:tcW w:type="dxa" w:w="1296"/>
            <w:shd w:val="clear" w:color="auto" w:fill="FFFFFF"/>
          </w:tcPr>
          <w:p>
            <w:r>
              <w:rPr>
                <w:color w:val="222233"/>
                <w:sz w:val="19"/>
              </w:rPr>
              <w:t>EUR 1B+</w:t>
            </w:r>
          </w:p>
        </w:tc>
        <w:tc>
          <w:tcPr>
            <w:tcW w:type="dxa" w:w="1152"/>
            <w:shd w:val="clear" w:color="auto" w:fill="FFFFFF"/>
          </w:tcPr>
          <w:p>
            <w:r>
              <w:rPr>
                <w:color w:val="222233"/>
                <w:sz w:val="19"/>
              </w:rPr>
              <w:t>8–10% a.a.</w:t>
            </w:r>
          </w:p>
        </w:tc>
        <w:tc>
          <w:tcPr>
            <w:tcW w:type="dxa" w:w="2880"/>
            <w:shd w:val="clear" w:color="auto" w:fill="FFFFFF"/>
          </w:tcPr>
          <w:p>
            <w:r>
              <w:rPr>
                <w:color w:val="222233"/>
                <w:sz w:val="19"/>
              </w:rPr>
              <w:t>Regulado FKTK; €1 mínimo; 15+ países</w:t>
            </w:r>
          </w:p>
        </w:tc>
      </w:tr>
      <w:tr>
        <w:tc>
          <w:tcPr>
            <w:tcW w:type="dxa" w:w="1584"/>
            <w:shd w:val="clear" w:color="auto" w:fill="EAF4FF"/>
          </w:tcPr>
          <w:p>
            <w:r>
              <w:rPr>
                <w:color w:val="222233"/>
                <w:sz w:val="19"/>
              </w:rPr>
              <w:t>Funding Circle</w:t>
            </w:r>
          </w:p>
        </w:tc>
        <w:tc>
          <w:tcPr>
            <w:tcW w:type="dxa" w:w="1440"/>
            <w:shd w:val="clear" w:color="auto" w:fill="EAF4FF"/>
          </w:tcPr>
          <w:p>
            <w:r>
              <w:rPr>
                <w:color w:val="222233"/>
                <w:sz w:val="19"/>
              </w:rPr>
              <w:t>UK/EUA/Ger</w:t>
            </w:r>
          </w:p>
        </w:tc>
        <w:tc>
          <w:tcPr>
            <w:tcW w:type="dxa" w:w="1728"/>
            <w:shd w:val="clear" w:color="auto" w:fill="EAF4FF"/>
          </w:tcPr>
          <w:p>
            <w:r>
              <w:rPr>
                <w:color w:val="222233"/>
                <w:sz w:val="19"/>
              </w:rPr>
              <w:t>SME lending</w:t>
            </w:r>
          </w:p>
        </w:tc>
        <w:tc>
          <w:tcPr>
            <w:tcW w:type="dxa" w:w="1296"/>
            <w:shd w:val="clear" w:color="auto" w:fill="EAF4FF"/>
          </w:tcPr>
          <w:p>
            <w:r>
              <w:rPr>
                <w:color w:val="222233"/>
                <w:sz w:val="19"/>
              </w:rPr>
              <w:t>GBP 15B+</w:t>
            </w:r>
          </w:p>
        </w:tc>
        <w:tc>
          <w:tcPr>
            <w:tcW w:type="dxa" w:w="1152"/>
            <w:shd w:val="clear" w:color="auto" w:fill="EAF4FF"/>
          </w:tcPr>
          <w:p>
            <w:r>
              <w:rPr>
                <w:color w:val="222233"/>
                <w:sz w:val="19"/>
              </w:rPr>
              <w:t>5–7% a.a.</w:t>
            </w:r>
          </w:p>
        </w:tc>
        <w:tc>
          <w:tcPr>
            <w:tcW w:type="dxa" w:w="2880"/>
            <w:shd w:val="clear" w:color="auto" w:fill="EAF4FF"/>
          </w:tcPr>
          <w:p>
            <w:r>
              <w:rPr>
                <w:color w:val="222233"/>
                <w:sz w:val="19"/>
              </w:rPr>
              <w:t>Foco PME; parcialmente institucionalizado</w:t>
            </w:r>
          </w:p>
        </w:tc>
      </w:tr>
      <w:tr>
        <w:tc>
          <w:tcPr>
            <w:tcW w:type="dxa" w:w="1584"/>
            <w:shd w:val="clear" w:color="auto" w:fill="FFFFFF"/>
          </w:tcPr>
          <w:p>
            <w:r>
              <w:rPr>
                <w:color w:val="222233"/>
                <w:sz w:val="19"/>
              </w:rPr>
              <w:t>Lufax</w:t>
            </w:r>
          </w:p>
        </w:tc>
        <w:tc>
          <w:tcPr>
            <w:tcW w:type="dxa" w:w="1440"/>
            <w:shd w:val="clear" w:color="auto" w:fill="FFFFFF"/>
          </w:tcPr>
          <w:p>
            <w:r>
              <w:rPr>
                <w:color w:val="222233"/>
                <w:sz w:val="19"/>
              </w:rPr>
              <w:t>China</w:t>
            </w:r>
          </w:p>
        </w:tc>
        <w:tc>
          <w:tcPr>
            <w:tcW w:type="dxa" w:w="1728"/>
            <w:shd w:val="clear" w:color="auto" w:fill="FFFFFF"/>
          </w:tcPr>
          <w:p>
            <w:r>
              <w:rPr>
                <w:color w:val="222233"/>
                <w:sz w:val="19"/>
              </w:rPr>
              <w:t>Wealth mgmt + P2P</w:t>
            </w:r>
          </w:p>
        </w:tc>
        <w:tc>
          <w:tcPr>
            <w:tcW w:type="dxa" w:w="1296"/>
            <w:shd w:val="clear" w:color="auto" w:fill="FFFFFF"/>
          </w:tcPr>
          <w:p>
            <w:r>
              <w:rPr>
                <w:color w:val="222233"/>
                <w:sz w:val="19"/>
              </w:rPr>
              <w:t>CNY 100B+</w:t>
            </w:r>
          </w:p>
        </w:tc>
        <w:tc>
          <w:tcPr>
            <w:tcW w:type="dxa" w:w="1152"/>
            <w:shd w:val="clear" w:color="auto" w:fill="FFFFFF"/>
          </w:tcPr>
          <w:p>
            <w:r>
              <w:rPr>
                <w:color w:val="222233"/>
                <w:sz w:val="19"/>
              </w:rPr>
              <w:t>6–8% a.a.</w:t>
            </w:r>
          </w:p>
        </w:tc>
        <w:tc>
          <w:tcPr>
            <w:tcW w:type="dxa" w:w="2880"/>
            <w:shd w:val="clear" w:color="auto" w:fill="FFFFFF"/>
          </w:tcPr>
          <w:p>
            <w:r>
              <w:rPr>
                <w:color w:val="222233"/>
                <w:sz w:val="19"/>
              </w:rPr>
              <w:t>Maior P2P chinesa; listada NYSE</w:t>
            </w:r>
          </w:p>
        </w:tc>
      </w:tr>
      <w:tr>
        <w:tc>
          <w:tcPr>
            <w:tcW w:type="dxa" w:w="1584"/>
            <w:shd w:val="clear" w:color="auto" w:fill="EAF4FF"/>
          </w:tcPr>
          <w:p>
            <w:r>
              <w:rPr>
                <w:color w:val="222233"/>
                <w:sz w:val="19"/>
              </w:rPr>
              <w:t>Faircent</w:t>
            </w:r>
          </w:p>
        </w:tc>
        <w:tc>
          <w:tcPr>
            <w:tcW w:type="dxa" w:w="1440"/>
            <w:shd w:val="clear" w:color="auto" w:fill="EAF4FF"/>
          </w:tcPr>
          <w:p>
            <w:r>
              <w:rPr>
                <w:color w:val="222233"/>
                <w:sz w:val="19"/>
              </w:rPr>
              <w:t>Índia</w:t>
            </w:r>
          </w:p>
        </w:tc>
        <w:tc>
          <w:tcPr>
            <w:tcW w:type="dxa" w:w="1728"/>
            <w:shd w:val="clear" w:color="auto" w:fill="EAF4FF"/>
          </w:tcPr>
          <w:p>
            <w:r>
              <w:rPr>
                <w:color w:val="222233"/>
                <w:sz w:val="19"/>
              </w:rPr>
              <w:t>P2P consumer/business</w:t>
            </w:r>
          </w:p>
        </w:tc>
        <w:tc>
          <w:tcPr>
            <w:tcW w:type="dxa" w:w="1296"/>
            <w:shd w:val="clear" w:color="auto" w:fill="EAF4FF"/>
          </w:tcPr>
          <w:p>
            <w:r>
              <w:rPr>
                <w:color w:val="222233"/>
                <w:sz w:val="19"/>
              </w:rPr>
              <w:t>INR 5B+</w:t>
            </w:r>
          </w:p>
        </w:tc>
        <w:tc>
          <w:tcPr>
            <w:tcW w:type="dxa" w:w="1152"/>
            <w:shd w:val="clear" w:color="auto" w:fill="EAF4FF"/>
          </w:tcPr>
          <w:p>
            <w:r>
              <w:rPr>
                <w:color w:val="222233"/>
                <w:sz w:val="19"/>
              </w:rPr>
              <w:t>12–18% a.a.</w:t>
            </w:r>
          </w:p>
        </w:tc>
        <w:tc>
          <w:tcPr>
            <w:tcW w:type="dxa" w:w="2880"/>
            <w:shd w:val="clear" w:color="auto" w:fill="EAF4FF"/>
          </w:tcPr>
          <w:p>
            <w:r>
              <w:rPr>
                <w:color w:val="222233"/>
                <w:sz w:val="19"/>
              </w:rPr>
              <w:t>Regulado RBI; 2M+ usuários</w:t>
            </w:r>
          </w:p>
        </w:tc>
      </w:tr>
      <w:tr>
        <w:tc>
          <w:tcPr>
            <w:tcW w:type="dxa" w:w="1584"/>
            <w:shd w:val="clear" w:color="auto" w:fill="FFFFFF"/>
          </w:tcPr>
          <w:p>
            <w:r>
              <w:rPr>
                <w:color w:val="222233"/>
                <w:sz w:val="19"/>
              </w:rPr>
              <w:t>Modalku</w:t>
            </w:r>
          </w:p>
        </w:tc>
        <w:tc>
          <w:tcPr>
            <w:tcW w:type="dxa" w:w="1440"/>
            <w:shd w:val="clear" w:color="auto" w:fill="FFFFFF"/>
          </w:tcPr>
          <w:p>
            <w:r>
              <w:rPr>
                <w:color w:val="222233"/>
                <w:sz w:val="19"/>
              </w:rPr>
              <w:t>Indonésia/SE</w:t>
            </w:r>
          </w:p>
        </w:tc>
        <w:tc>
          <w:tcPr>
            <w:tcW w:type="dxa" w:w="1728"/>
            <w:shd w:val="clear" w:color="auto" w:fill="FFFFFF"/>
          </w:tcPr>
          <w:p>
            <w:r>
              <w:rPr>
                <w:color w:val="222233"/>
                <w:sz w:val="19"/>
              </w:rPr>
              <w:t>SME P2P</w:t>
            </w:r>
          </w:p>
        </w:tc>
        <w:tc>
          <w:tcPr>
            <w:tcW w:type="dxa" w:w="1296"/>
            <w:shd w:val="clear" w:color="auto" w:fill="FFFFFF"/>
          </w:tcPr>
          <w:p>
            <w:r>
              <w:rPr>
                <w:color w:val="222233"/>
                <w:sz w:val="19"/>
              </w:rPr>
              <w:t>USD 4B+</w:t>
            </w:r>
          </w:p>
        </w:tc>
        <w:tc>
          <w:tcPr>
            <w:tcW w:type="dxa" w:w="1152"/>
            <w:shd w:val="clear" w:color="auto" w:fill="FFFFFF"/>
          </w:tcPr>
          <w:p>
            <w:r>
              <w:rPr>
                <w:color w:val="222233"/>
                <w:sz w:val="19"/>
              </w:rPr>
              <w:t>10–14% a.a.</w:t>
            </w:r>
          </w:p>
        </w:tc>
        <w:tc>
          <w:tcPr>
            <w:tcW w:type="dxa" w:w="2880"/>
            <w:shd w:val="clear" w:color="auto" w:fill="FFFFFF"/>
          </w:tcPr>
          <w:p>
            <w:r>
              <w:rPr>
                <w:color w:val="222233"/>
                <w:sz w:val="19"/>
              </w:rPr>
              <w:t>Funding Societies; 6 países ASEAN</w:t>
            </w:r>
          </w:p>
        </w:tc>
      </w:tr>
      <w:tr>
        <w:tc>
          <w:tcPr>
            <w:tcW w:type="dxa" w:w="1584"/>
            <w:shd w:val="clear" w:color="auto" w:fill="EAF4FF"/>
          </w:tcPr>
          <w:p>
            <w:r>
              <w:rPr>
                <w:color w:val="222233"/>
                <w:sz w:val="19"/>
              </w:rPr>
              <w:t>Beehive</w:t>
            </w:r>
          </w:p>
        </w:tc>
        <w:tc>
          <w:tcPr>
            <w:tcW w:type="dxa" w:w="1440"/>
            <w:shd w:val="clear" w:color="auto" w:fill="EAF4FF"/>
          </w:tcPr>
          <w:p>
            <w:r>
              <w:rPr>
                <w:color w:val="222233"/>
                <w:sz w:val="19"/>
              </w:rPr>
              <w:t>Dubai/MENA</w:t>
            </w:r>
          </w:p>
        </w:tc>
        <w:tc>
          <w:tcPr>
            <w:tcW w:type="dxa" w:w="1728"/>
            <w:shd w:val="clear" w:color="auto" w:fill="EAF4FF"/>
          </w:tcPr>
          <w:p>
            <w:r>
              <w:rPr>
                <w:color w:val="222233"/>
                <w:sz w:val="19"/>
              </w:rPr>
              <w:t>SME P2P, Sharia-compliant</w:t>
            </w:r>
          </w:p>
        </w:tc>
        <w:tc>
          <w:tcPr>
            <w:tcW w:type="dxa" w:w="1296"/>
            <w:shd w:val="clear" w:color="auto" w:fill="EAF4FF"/>
          </w:tcPr>
          <w:p>
            <w:r>
              <w:rPr>
                <w:color w:val="222233"/>
                <w:sz w:val="19"/>
              </w:rPr>
              <w:t>AED 2B+</w:t>
            </w:r>
          </w:p>
        </w:tc>
        <w:tc>
          <w:tcPr>
            <w:tcW w:type="dxa" w:w="1152"/>
            <w:shd w:val="clear" w:color="auto" w:fill="EAF4FF"/>
          </w:tcPr>
          <w:p>
            <w:r>
              <w:rPr>
                <w:color w:val="222233"/>
                <w:sz w:val="19"/>
              </w:rPr>
              <w:t>9–14% a.a.</w:t>
            </w:r>
          </w:p>
        </w:tc>
        <w:tc>
          <w:tcPr>
            <w:tcW w:type="dxa" w:w="2880"/>
            <w:shd w:val="clear" w:color="auto" w:fill="EAF4FF"/>
          </w:tcPr>
          <w:p>
            <w:r>
              <w:rPr>
                <w:color w:val="222233"/>
                <w:sz w:val="19"/>
              </w:rPr>
              <w:t>Primeiro P2P regulado DIFC; adquirido e&amp; enterprise</w:t>
            </w:r>
          </w:p>
        </w:tc>
      </w:tr>
      <w:tr>
        <w:tc>
          <w:tcPr>
            <w:tcW w:type="dxa" w:w="1584"/>
            <w:shd w:val="clear" w:color="auto" w:fill="FFFFFF"/>
          </w:tcPr>
          <w:p>
            <w:r>
              <w:rPr>
                <w:color w:val="222233"/>
                <w:sz w:val="19"/>
              </w:rPr>
              <w:t>Nexoos</w:t>
            </w:r>
          </w:p>
        </w:tc>
        <w:tc>
          <w:tcPr>
            <w:tcW w:type="dxa" w:w="1440"/>
            <w:shd w:val="clear" w:color="auto" w:fill="FFFFFF"/>
          </w:tcPr>
          <w:p>
            <w:r>
              <w:rPr>
                <w:color w:val="222233"/>
                <w:sz w:val="19"/>
              </w:rPr>
              <w:t>Brasil</w:t>
            </w:r>
          </w:p>
        </w:tc>
        <w:tc>
          <w:tcPr>
            <w:tcW w:type="dxa" w:w="1728"/>
            <w:shd w:val="clear" w:color="auto" w:fill="FFFFFF"/>
          </w:tcPr>
          <w:p>
            <w:r>
              <w:rPr>
                <w:color w:val="222233"/>
                <w:sz w:val="19"/>
              </w:rPr>
              <w:t>PME P2P (SEP)</w:t>
            </w:r>
          </w:p>
        </w:tc>
        <w:tc>
          <w:tcPr>
            <w:tcW w:type="dxa" w:w="1296"/>
            <w:shd w:val="clear" w:color="auto" w:fill="FFFFFF"/>
          </w:tcPr>
          <w:p>
            <w:r>
              <w:rPr>
                <w:color w:val="222233"/>
                <w:sz w:val="19"/>
              </w:rPr>
              <w:t>R$ 500M+</w:t>
            </w:r>
          </w:p>
        </w:tc>
        <w:tc>
          <w:tcPr>
            <w:tcW w:type="dxa" w:w="1152"/>
            <w:shd w:val="clear" w:color="auto" w:fill="FFFFFF"/>
          </w:tcPr>
          <w:p>
            <w:r>
              <w:rPr>
                <w:color w:val="222233"/>
                <w:sz w:val="19"/>
              </w:rPr>
              <w:t>15–25% a.a.</w:t>
            </w:r>
          </w:p>
        </w:tc>
        <w:tc>
          <w:tcPr>
            <w:tcW w:type="dxa" w:w="2880"/>
            <w:shd w:val="clear" w:color="auto" w:fill="FFFFFF"/>
          </w:tcPr>
          <w:p>
            <w:r>
              <w:rPr>
                <w:color w:val="222233"/>
                <w:sz w:val="19"/>
              </w:rPr>
              <w:t>Licença SEP Bacen; foco PME</w:t>
            </w:r>
          </w:p>
        </w:tc>
      </w:tr>
      <w:tr>
        <w:tc>
          <w:tcPr>
            <w:tcW w:type="dxa" w:w="1584"/>
            <w:shd w:val="clear" w:color="auto" w:fill="EAF4FF"/>
          </w:tcPr>
          <w:p>
            <w:r>
              <w:rPr>
                <w:color w:val="222233"/>
                <w:sz w:val="19"/>
              </w:rPr>
              <w:t>Biva</w:t>
            </w:r>
          </w:p>
        </w:tc>
        <w:tc>
          <w:tcPr>
            <w:tcW w:type="dxa" w:w="1440"/>
            <w:shd w:val="clear" w:color="auto" w:fill="EAF4FF"/>
          </w:tcPr>
          <w:p>
            <w:r>
              <w:rPr>
                <w:color w:val="222233"/>
                <w:sz w:val="19"/>
              </w:rPr>
              <w:t>Brasil</w:t>
            </w:r>
          </w:p>
        </w:tc>
        <w:tc>
          <w:tcPr>
            <w:tcW w:type="dxa" w:w="1728"/>
            <w:shd w:val="clear" w:color="auto" w:fill="EAF4FF"/>
          </w:tcPr>
          <w:p>
            <w:r>
              <w:rPr>
                <w:color w:val="222233"/>
                <w:sz w:val="19"/>
              </w:rPr>
              <w:t>SMB community lending</w:t>
            </w:r>
          </w:p>
        </w:tc>
        <w:tc>
          <w:tcPr>
            <w:tcW w:type="dxa" w:w="1296"/>
            <w:shd w:val="clear" w:color="auto" w:fill="EAF4FF"/>
          </w:tcPr>
          <w:p>
            <w:r>
              <w:rPr>
                <w:color w:val="222233"/>
                <w:sz w:val="19"/>
              </w:rPr>
              <w:t>R$ 200M+</w:t>
            </w:r>
          </w:p>
        </w:tc>
        <w:tc>
          <w:tcPr>
            <w:tcW w:type="dxa" w:w="1152"/>
            <w:shd w:val="clear" w:color="auto" w:fill="EAF4FF"/>
          </w:tcPr>
          <w:p>
            <w:r>
              <w:rPr>
                <w:color w:val="222233"/>
                <w:sz w:val="19"/>
              </w:rPr>
              <w:t>18–22% a.a.</w:t>
            </w:r>
          </w:p>
        </w:tc>
        <w:tc>
          <w:tcPr>
            <w:tcW w:type="dxa" w:w="2880"/>
            <w:shd w:val="clear" w:color="auto" w:fill="EAF4FF"/>
          </w:tcPr>
          <w:p>
            <w:r>
              <w:rPr>
                <w:color w:val="222233"/>
                <w:sz w:val="19"/>
              </w:rPr>
              <w:t>Comunidade investidores pessoa física</w:t>
            </w:r>
          </w:p>
        </w:tc>
      </w:tr>
      <w:tr>
        <w:tc>
          <w:tcPr>
            <w:tcW w:type="dxa" w:w="1584"/>
            <w:shd w:val="clear" w:color="auto" w:fill="FFFFFF"/>
          </w:tcPr>
          <w:p>
            <w:r>
              <w:rPr>
                <w:color w:val="222233"/>
                <w:sz w:val="19"/>
              </w:rPr>
              <w:t>SocietyOne</w:t>
            </w:r>
          </w:p>
        </w:tc>
        <w:tc>
          <w:tcPr>
            <w:tcW w:type="dxa" w:w="1440"/>
            <w:shd w:val="clear" w:color="auto" w:fill="FFFFFF"/>
          </w:tcPr>
          <w:p>
            <w:r>
              <w:rPr>
                <w:color w:val="222233"/>
                <w:sz w:val="19"/>
              </w:rPr>
              <w:t>Austrália</w:t>
            </w:r>
          </w:p>
        </w:tc>
        <w:tc>
          <w:tcPr>
            <w:tcW w:type="dxa" w:w="1728"/>
            <w:shd w:val="clear" w:color="auto" w:fill="FFFFFF"/>
          </w:tcPr>
          <w:p>
            <w:r>
              <w:rPr>
                <w:color w:val="222233"/>
                <w:sz w:val="19"/>
              </w:rPr>
              <w:t>Consumer P2P</w:t>
            </w:r>
          </w:p>
        </w:tc>
        <w:tc>
          <w:tcPr>
            <w:tcW w:type="dxa" w:w="1296"/>
            <w:shd w:val="clear" w:color="auto" w:fill="FFFFFF"/>
          </w:tcPr>
          <w:p>
            <w:r>
              <w:rPr>
                <w:color w:val="222233"/>
                <w:sz w:val="19"/>
              </w:rPr>
              <w:t>AUD 1B+</w:t>
            </w:r>
          </w:p>
        </w:tc>
        <w:tc>
          <w:tcPr>
            <w:tcW w:type="dxa" w:w="1152"/>
            <w:shd w:val="clear" w:color="auto" w:fill="FFFFFF"/>
          </w:tcPr>
          <w:p>
            <w:r>
              <w:rPr>
                <w:color w:val="222233"/>
                <w:sz w:val="19"/>
              </w:rPr>
              <w:t>7–10% a.a.</w:t>
            </w:r>
          </w:p>
        </w:tc>
        <w:tc>
          <w:tcPr>
            <w:tcW w:type="dxa" w:w="2880"/>
            <w:shd w:val="clear" w:color="auto" w:fill="FFFFFF"/>
          </w:tcPr>
          <w:p>
            <w:r>
              <w:rPr>
                <w:color w:val="222233"/>
                <w:sz w:val="19"/>
              </w:rPr>
              <w:t>1º P2P Austrália (2012); trust units</w:t>
            </w:r>
          </w:p>
        </w:tc>
      </w:tr>
      <w:tr>
        <w:tc>
          <w:tcPr>
            <w:tcW w:type="dxa" w:w="1584"/>
            <w:shd w:val="clear" w:color="auto" w:fill="EAF4FF"/>
          </w:tcPr>
          <w:p>
            <w:r>
              <w:rPr>
                <w:color w:val="222233"/>
                <w:sz w:val="19"/>
              </w:rPr>
              <w:t>Squirrel NZ</w:t>
            </w:r>
          </w:p>
        </w:tc>
        <w:tc>
          <w:tcPr>
            <w:tcW w:type="dxa" w:w="1440"/>
            <w:shd w:val="clear" w:color="auto" w:fill="EAF4FF"/>
          </w:tcPr>
          <w:p>
            <w:r>
              <w:rPr>
                <w:color w:val="222233"/>
                <w:sz w:val="19"/>
              </w:rPr>
              <w:t>Nova Zelândia</w:t>
            </w:r>
          </w:p>
        </w:tc>
        <w:tc>
          <w:tcPr>
            <w:tcW w:type="dxa" w:w="1728"/>
            <w:shd w:val="clear" w:color="auto" w:fill="EAF4FF"/>
          </w:tcPr>
          <w:p>
            <w:r>
              <w:rPr>
                <w:color w:val="222233"/>
                <w:sz w:val="19"/>
              </w:rPr>
              <w:t>P2P com secondary market</w:t>
            </w:r>
          </w:p>
        </w:tc>
        <w:tc>
          <w:tcPr>
            <w:tcW w:type="dxa" w:w="1296"/>
            <w:shd w:val="clear" w:color="auto" w:fill="EAF4FF"/>
          </w:tcPr>
          <w:p>
            <w:r>
              <w:rPr>
                <w:color w:val="222233"/>
                <w:sz w:val="19"/>
              </w:rPr>
              <w:t>NZD 500M+</w:t>
            </w:r>
          </w:p>
        </w:tc>
        <w:tc>
          <w:tcPr>
            <w:tcW w:type="dxa" w:w="1152"/>
            <w:shd w:val="clear" w:color="auto" w:fill="EAF4FF"/>
          </w:tcPr>
          <w:p>
            <w:r>
              <w:rPr>
                <w:color w:val="222233"/>
                <w:sz w:val="19"/>
              </w:rPr>
              <w:t>6–9% a.a.</w:t>
            </w:r>
          </w:p>
        </w:tc>
        <w:tc>
          <w:tcPr>
            <w:tcW w:type="dxa" w:w="2880"/>
            <w:shd w:val="clear" w:color="auto" w:fill="EAF4FF"/>
          </w:tcPr>
          <w:p>
            <w:r>
              <w:rPr>
                <w:color w:val="222233"/>
                <w:sz w:val="19"/>
              </w:rPr>
              <w:t>1º com mercado secundário na NZ</w:t>
            </w:r>
          </w:p>
        </w:tc>
      </w:tr>
      <w:tr>
        <w:tc>
          <w:tcPr>
            <w:tcW w:type="dxa" w:w="1584"/>
            <w:shd w:val="clear" w:color="auto" w:fill="FFFFFF"/>
          </w:tcPr>
          <w:p>
            <w:r>
              <w:rPr>
                <w:color w:val="222233"/>
                <w:sz w:val="19"/>
              </w:rPr>
              <w:t>Goldfinch</w:t>
            </w:r>
          </w:p>
        </w:tc>
        <w:tc>
          <w:tcPr>
            <w:tcW w:type="dxa" w:w="1440"/>
            <w:shd w:val="clear" w:color="auto" w:fill="FFFFFF"/>
          </w:tcPr>
          <w:p>
            <w:r>
              <w:rPr>
                <w:color w:val="222233"/>
                <w:sz w:val="19"/>
              </w:rPr>
              <w:t>Global/DeFi</w:t>
            </w:r>
          </w:p>
        </w:tc>
        <w:tc>
          <w:tcPr>
            <w:tcW w:type="dxa" w:w="1728"/>
            <w:shd w:val="clear" w:color="auto" w:fill="FFFFFF"/>
          </w:tcPr>
          <w:p>
            <w:r>
              <w:rPr>
                <w:color w:val="222233"/>
                <w:sz w:val="19"/>
              </w:rPr>
              <w:t>DeFi P2P stablecoin</w:t>
            </w:r>
          </w:p>
        </w:tc>
        <w:tc>
          <w:tcPr>
            <w:tcW w:type="dxa" w:w="1296"/>
            <w:shd w:val="clear" w:color="auto" w:fill="FFFFFF"/>
          </w:tcPr>
          <w:p>
            <w:r>
              <w:rPr>
                <w:color w:val="222233"/>
                <w:sz w:val="19"/>
              </w:rPr>
              <w:t>USD 150M+</w:t>
            </w:r>
          </w:p>
        </w:tc>
        <w:tc>
          <w:tcPr>
            <w:tcW w:type="dxa" w:w="1152"/>
            <w:shd w:val="clear" w:color="auto" w:fill="FFFFFF"/>
          </w:tcPr>
          <w:p>
            <w:r>
              <w:rPr>
                <w:color w:val="222233"/>
                <w:sz w:val="19"/>
              </w:rPr>
              <w:t>10–15% a.a.</w:t>
            </w:r>
          </w:p>
        </w:tc>
        <w:tc>
          <w:tcPr>
            <w:tcW w:type="dxa" w:w="2880"/>
            <w:shd w:val="clear" w:color="auto" w:fill="FFFFFF"/>
          </w:tcPr>
          <w:p>
            <w:r>
              <w:rPr>
                <w:color w:val="222233"/>
                <w:sz w:val="19"/>
              </w:rPr>
              <w:t>USDC para mercados emergentes; defaults em 2024</w:t>
            </w:r>
          </w:p>
        </w:tc>
      </w:tr>
      <w:tr>
        <w:tc>
          <w:tcPr>
            <w:tcW w:type="dxa" w:w="1584"/>
            <w:shd w:val="clear" w:color="auto" w:fill="EAF4FF"/>
          </w:tcPr>
          <w:p>
            <w:r>
              <w:rPr>
                <w:color w:val="222233"/>
                <w:sz w:val="19"/>
              </w:rPr>
              <w:t>Maple Finance</w:t>
            </w:r>
          </w:p>
        </w:tc>
        <w:tc>
          <w:tcPr>
            <w:tcW w:type="dxa" w:w="1440"/>
            <w:shd w:val="clear" w:color="auto" w:fill="EAF4FF"/>
          </w:tcPr>
          <w:p>
            <w:r>
              <w:rPr>
                <w:color w:val="222233"/>
                <w:sz w:val="19"/>
              </w:rPr>
              <w:t>Global/DeFi</w:t>
            </w:r>
          </w:p>
        </w:tc>
        <w:tc>
          <w:tcPr>
            <w:tcW w:type="dxa" w:w="1728"/>
            <w:shd w:val="clear" w:color="auto" w:fill="EAF4FF"/>
          </w:tcPr>
          <w:p>
            <w:r>
              <w:rPr>
                <w:color w:val="222233"/>
                <w:sz w:val="19"/>
              </w:rPr>
              <w:t>Institutional DeFi lending</w:t>
            </w:r>
          </w:p>
        </w:tc>
        <w:tc>
          <w:tcPr>
            <w:tcW w:type="dxa" w:w="1296"/>
            <w:shd w:val="clear" w:color="auto" w:fill="EAF4FF"/>
          </w:tcPr>
          <w:p>
            <w:r>
              <w:rPr>
                <w:color w:val="222233"/>
                <w:sz w:val="19"/>
              </w:rPr>
              <w:t>USD 4B+</w:t>
            </w:r>
          </w:p>
        </w:tc>
        <w:tc>
          <w:tcPr>
            <w:tcW w:type="dxa" w:w="1152"/>
            <w:shd w:val="clear" w:color="auto" w:fill="EAF4FF"/>
          </w:tcPr>
          <w:p>
            <w:r>
              <w:rPr>
                <w:color w:val="222233"/>
                <w:sz w:val="19"/>
              </w:rPr>
              <w:t>8–12% a.a.</w:t>
            </w:r>
          </w:p>
        </w:tc>
        <w:tc>
          <w:tcPr>
            <w:tcW w:type="dxa" w:w="2880"/>
            <w:shd w:val="clear" w:color="auto" w:fill="EAF4FF"/>
          </w:tcPr>
          <w:p>
            <w:r>
              <w:rPr>
                <w:color w:val="222233"/>
                <w:sz w:val="19"/>
              </w:rPr>
              <w:t>500%+ crescimento 2024; foco institucional</w:t>
            </w:r>
          </w:p>
        </w:tc>
      </w:tr>
    </w:tbl>
    <w:p/>
    <w:p>
      <w:pPr>
        <w:spacing w:before="160" w:after="120"/>
      </w:pPr>
      <w:r>
        <w:rPr>
          <w:b/>
          <w:color w:val="F5A623"/>
          <w:sz w:val="28"/>
        </w:rPr>
        <w:t>1.1 Lições Críticas dos Benchmarks para o NEXUS GREY</w:t>
      </w:r>
    </w:p>
    <w:p>
      <w:pPr>
        <w:spacing w:after="120" w:before="40"/>
      </w:pPr>
      <w:r>
        <w:rPr>
          <w:b w:val="0"/>
          <w:i w:val="0"/>
          <w:color w:val="444455"/>
          <w:sz w:val="21"/>
        </w:rPr>
        <w:t>A análise comparativa dos principais players globais revela seis lições estruturantes que fundamentam as escolhas de design do Projeto NEXUS:</w:t>
      </w:r>
    </w:p>
    <w:p>
      <w:pPr>
        <w:pStyle w:val="ListBullet"/>
        <w:spacing w:after="60"/>
      </w:pPr>
      <w:r>
        <w:rPr>
          <w:color w:val="444455"/>
          <w:sz w:val="21"/>
        </w:rPr>
        <w:t>Fracionamento de risco (Mintos, Twino): distribuição por múltiplos originadores reduz correlação de default. O NEXUS leva isso ao extremo com microparcelas de até 1.800 usuários por portfólio.</w:t>
      </w:r>
    </w:p>
    <w:p>
      <w:pPr>
        <w:pStyle w:val="ListBullet"/>
        <w:spacing w:after="60"/>
      </w:pPr>
      <w:r>
        <w:rPr>
          <w:color w:val="444455"/>
          <w:sz w:val="21"/>
        </w:rPr>
        <w:t>Buyback guarantee como âncora de confiança (Twino, Mintos): garantias de recompra aumentam conversão de novos investidores. O NEXUS implementa Fundo de Reserva de Liquidez (FRL) como equivalente.</w:t>
      </w:r>
    </w:p>
    <w:p>
      <w:pPr>
        <w:pStyle w:val="ListBullet"/>
        <w:spacing w:after="60"/>
      </w:pPr>
      <w:r>
        <w:rPr>
          <w:color w:val="444455"/>
          <w:sz w:val="21"/>
        </w:rPr>
        <w:t>Stablecoin como camada de liquidação (Goldfinch, Maple): elimina risco cambial intraoperação. NEXUS usa USDT/USDC com conversão BRL apenas no on-ramp do cartão.</w:t>
      </w:r>
    </w:p>
    <w:p>
      <w:pPr>
        <w:pStyle w:val="ListBullet"/>
        <w:spacing w:after="60"/>
      </w:pPr>
      <w:r>
        <w:rPr>
          <w:color w:val="444455"/>
          <w:sz w:val="21"/>
        </w:rPr>
        <w:t>Dashboard de investidor rico e transparente (Prosper, Maple): investidores exigem visibilidade granular. O MACRO HASH do NEXUS entrega rastreabilidade de centavo a centavo.</w:t>
      </w:r>
    </w:p>
    <w:p>
      <w:pPr>
        <w:pStyle w:val="ListBullet"/>
        <w:spacing w:after="60"/>
      </w:pPr>
      <w:r>
        <w:rPr>
          <w:color w:val="444455"/>
          <w:sz w:val="21"/>
        </w:rPr>
        <w:t>Regulação como produto (Bondora, Beehive): regulação clara vira vantagem competitiva no pitch para investidores institucionais. Estratégia de jurisdição Dubai DIFC/Cayman é deliberada.</w:t>
      </w:r>
    </w:p>
    <w:p>
      <w:pPr>
        <w:pStyle w:val="ListBullet"/>
        <w:spacing w:after="60"/>
      </w:pPr>
      <w:r>
        <w:rPr>
          <w:color w:val="444455"/>
          <w:sz w:val="21"/>
        </w:rPr>
        <w:t>Cautela com DeFi puro (Goldfinch): defaults de USD 14M+ em 2024 mostram que o modelo DeFi puro sem curadoria humana é frágil. NEXUS combina smart contracts com Executivos de Contas presenciais.</w:t>
      </w:r>
    </w:p>
    <w:p>
      <w:r>
        <w:br w:type="page"/>
      </w:r>
    </w:p>
    <w:p>
      <w:pPr>
        <w:spacing w:before="280" w:after="120"/>
      </w:pPr>
      <w:r>
        <w:rPr>
          <w:b/>
          <w:color w:val="00B4D8"/>
          <w:sz w:val="36"/>
        </w:rPr>
        <w:t>2. ARQUITETURA DO MODELO DE NEGÓCIO</w:t>
      </w:r>
    </w:p>
    <w:p>
      <w:pPr>
        <w:spacing w:before="80" w:after="80"/>
        <w:pBdr>
          <w:bottom w:val="single" w:sz="6" w:space="1" w:color="00B4D8"/>
        </w:pBdr>
      </w:pPr>
    </w:p>
    <w:p>
      <w:pPr>
        <w:spacing w:before="160" w:after="120"/>
      </w:pPr>
      <w:r>
        <w:rPr>
          <w:b/>
          <w:color w:val="F5A623"/>
          <w:sz w:val="28"/>
        </w:rPr>
        <w:t>2.1 Fluxo Operacional Macro</w:t>
      </w:r>
    </w:p>
    <w:p>
      <w:pPr>
        <w:spacing w:after="120" w:before="40"/>
      </w:pPr>
      <w:r>
        <w:rPr>
          <w:b w:val="0"/>
          <w:i w:val="0"/>
          <w:color w:val="444455"/>
          <w:sz w:val="21"/>
        </w:rPr>
        <w:t>O modelo opera em quatro camadas sequenciais, cada uma separada por controles de compliance e tecnologia de ledger distribuído:</w:t>
      </w:r>
    </w:p>
    <w:tbl>
      <w:tblPr>
        <w:tblW w:type="auto" w:w="0"/>
        <w:jc w:val="center"/>
        <w:tblLook w:firstColumn="1" w:firstRow="1" w:lastColumn="0" w:lastRow="0" w:noHBand="0" w:noVBand="1" w:val="04A0"/>
      </w:tblPr>
      <w:tblGrid>
        <w:gridCol w:w="9746"/>
      </w:tblGrid>
      <w:tr>
        <w:tc>
          <w:tcPr>
            <w:tcW w:type="dxa" w:w="9746"/>
            <w:shd w:val="clear" w:color="auto" w:fill="0D2035"/>
          </w:tcPr>
          <w:p/>
          <w:p>
            <w:pPr>
              <w:spacing w:before="120"/>
            </w:pPr>
            <w:r>
              <w:rPr>
                <w:b/>
                <w:color w:val="F5A623"/>
                <w:sz w:val="22"/>
              </w:rPr>
              <w:t>CAMADA 1 — CAPTAÇÃO (Aplicante → SPE Exchange)</w:t>
            </w:r>
          </w:p>
          <w:p>
            <w:pPr>
              <w:spacing w:after="40"/>
            </w:pPr>
            <w:r>
              <w:rPr>
                <w:color w:val="CCDDEE"/>
                <w:sz w:val="21"/>
              </w:rPr>
              <w:t>Aplicante (global) converte capital fiat/crypto em USDT/USDC via SPE Exchange proprietária</w:t>
            </w:r>
          </w:p>
          <w:p>
            <w:pPr>
              <w:spacing w:after="40"/>
            </w:pPr>
            <w:r>
              <w:rPr>
                <w:color w:val="CCDDEE"/>
                <w:sz w:val="21"/>
              </w:rPr>
              <w:t>Capital entra em Smart Contract de Pool segregado por portfólio (hash único por Aplicante)</w:t>
            </w:r>
          </w:p>
          <w:p>
            <w:pPr>
              <w:spacing w:after="40"/>
            </w:pPr>
            <w:r>
              <w:rPr>
                <w:color w:val="CCDDEE"/>
                <w:sz w:val="21"/>
              </w:rPr>
              <w:t>KYC/AML do Aplicante realizado pela SPE Exchange (padrão FATF Recommendation 16)</w:t>
            </w:r>
          </w:p>
          <w:p>
            <w:pPr>
              <w:spacing w:after="40"/>
            </w:pPr>
            <w:r>
              <w:rPr>
                <w:color w:val="CCDDEE"/>
                <w:sz w:val="21"/>
              </w:rPr>
              <w:t>Contrato mínimo de 18 meses | Reinvestimento automático de juros recebidos na cota</w:t>
            </w:r>
          </w:p>
          <w:p>
            <w:pPr>
              <w:spacing w:after="40"/>
            </w:pPr>
            <w:r>
              <w:rPr>
                <w:color w:val="CCDDEE"/>
                <w:sz w:val="21"/>
              </w:rPr>
              <w:t>Retorno prometido: 3,5% a.m. (portfólios baixo risco) até 5,0% a.m. (portfólios alto risco)</w:t>
            </w:r>
          </w:p>
          <w:p>
            <w:pPr>
              <w:spacing w:after="120"/>
            </w:pPr>
          </w:p>
        </w:tc>
      </w:tr>
    </w:tbl>
    <w:p/>
    <w:tbl>
      <w:tblPr>
        <w:tblW w:type="auto" w:w="0"/>
        <w:jc w:val="center"/>
        <w:tblLook w:firstColumn="1" w:firstRow="1" w:lastColumn="0" w:lastRow="0" w:noHBand="0" w:noVBand="1" w:val="04A0"/>
      </w:tblPr>
      <w:tblGrid>
        <w:gridCol w:w="9746"/>
      </w:tblGrid>
      <w:tr>
        <w:tc>
          <w:tcPr>
            <w:tcW w:type="dxa" w:w="9746"/>
            <w:shd w:val="clear" w:color="auto" w:fill="132040"/>
          </w:tcPr>
          <w:p/>
          <w:p>
            <w:pPr>
              <w:spacing w:before="120"/>
            </w:pPr>
            <w:r>
              <w:rPr>
                <w:b/>
                <w:color w:val="F5A623"/>
                <w:sz w:val="22"/>
              </w:rPr>
              <w:t>CAMADA 2 — DISTRIBUIÇÃO (SPE Exchange → Cartão Usuário)</w:t>
            </w:r>
          </w:p>
          <w:p>
            <w:pPr>
              <w:spacing w:after="40"/>
            </w:pPr>
            <w:r>
              <w:rPr>
                <w:color w:val="CCDDEE"/>
                <w:sz w:val="21"/>
              </w:rPr>
              <w:t>Motor de matching atribui microcréditos do pool a Usuários qualificados por vertical</w:t>
            </w:r>
          </w:p>
          <w:p>
            <w:pPr>
              <w:spacing w:after="40"/>
            </w:pPr>
            <w:r>
              <w:rPr>
                <w:color w:val="CCDDEE"/>
                <w:sz w:val="21"/>
              </w:rPr>
              <w:t>Cada Usuário recebe microparcelas de N Aplicantes diferentes (máx. R$ 40/Aplicante por cartão)</w:t>
            </w:r>
          </w:p>
          <w:p>
            <w:pPr>
              <w:spacing w:after="40"/>
            </w:pPr>
            <w:r>
              <w:rPr>
                <w:color w:val="CCDDEE"/>
                <w:sz w:val="21"/>
              </w:rPr>
              <w:t>Conversão USDT → BRL executada via parceiro de câmbio licenciado (ex: Transfero, Hashdex, BS2)</w:t>
            </w:r>
          </w:p>
          <w:p>
            <w:pPr>
              <w:spacing w:after="40"/>
            </w:pPr>
            <w:r>
              <w:rPr>
                <w:color w:val="CCDDEE"/>
                <w:sz w:val="21"/>
              </w:rPr>
              <w:t>Valor creditado no cartão pré-pago emitido via BIN Sponsor (Visa/Mastercard via Rain, Reap ou Gnosis Pay)</w:t>
            </w:r>
          </w:p>
          <w:p>
            <w:pPr>
              <w:spacing w:after="40"/>
            </w:pPr>
            <w:r>
              <w:rPr>
                <w:color w:val="CCDDEE"/>
                <w:sz w:val="21"/>
              </w:rPr>
              <w:t>Limite do cartão: R$ 500 a R$ 2.500 | Uso compulsório mensal do crédito disponível</w:t>
            </w:r>
          </w:p>
          <w:p>
            <w:pPr>
              <w:spacing w:after="120"/>
            </w:pPr>
          </w:p>
        </w:tc>
      </w:tr>
    </w:tbl>
    <w:p/>
    <w:tbl>
      <w:tblPr>
        <w:tblW w:type="auto" w:w="0"/>
        <w:jc w:val="center"/>
        <w:tblLook w:firstColumn="1" w:firstRow="1" w:lastColumn="0" w:lastRow="0" w:noHBand="0" w:noVBand="1" w:val="04A0"/>
      </w:tblPr>
      <w:tblGrid>
        <w:gridCol w:w="9746"/>
      </w:tblGrid>
      <w:tr>
        <w:tc>
          <w:tcPr>
            <w:tcW w:type="dxa" w:w="9746"/>
            <w:shd w:val="clear" w:color="auto" w:fill="0A1828"/>
          </w:tcPr>
          <w:p/>
          <w:p>
            <w:pPr>
              <w:spacing w:before="120"/>
            </w:pPr>
            <w:r>
              <w:rPr>
                <w:b/>
                <w:color w:val="F5A623"/>
                <w:sz w:val="22"/>
              </w:rPr>
              <w:t>CAMADA 3 — REPAGAMENTO (Usuário → Motor de Distribuição)</w:t>
            </w:r>
          </w:p>
          <w:p>
            <w:pPr>
              <w:spacing w:after="40"/>
            </w:pPr>
            <w:r>
              <w:rPr>
                <w:color w:val="CCDDEE"/>
                <w:sz w:val="21"/>
              </w:rPr>
              <w:t>Usuário paga fatura do cartão + 6% de ágio sobre o valor total utilizado</w:t>
            </w:r>
          </w:p>
          <w:p>
            <w:pPr>
              <w:spacing w:after="40"/>
            </w:pPr>
            <w:r>
              <w:rPr>
                <w:color w:val="CCDDEE"/>
                <w:sz w:val="21"/>
              </w:rPr>
              <w:t>Sistema AGENTIC AI identifica o bloco de crédito de cada Aplicante no repagamento</w:t>
            </w:r>
          </w:p>
          <w:p>
            <w:pPr>
              <w:spacing w:after="40"/>
            </w:pPr>
            <w:r>
              <w:rPr>
                <w:color w:val="CCDDEE"/>
                <w:sz w:val="21"/>
              </w:rPr>
              <w:t>Capital repago convertido de BRL → USDT e retorna ao pool do Aplicante (+ rendimento)</w:t>
            </w:r>
          </w:p>
          <w:p>
            <w:pPr>
              <w:spacing w:after="40"/>
            </w:pPr>
            <w:r>
              <w:rPr>
                <w:color w:val="CCDDEE"/>
                <w:sz w:val="21"/>
              </w:rPr>
              <w:t>Ciclo se reinicia: crédito disponibilizado novamente no cartão do Usuário (recorrência)</w:t>
            </w:r>
          </w:p>
          <w:p>
            <w:pPr>
              <w:spacing w:after="40"/>
            </w:pPr>
            <w:r>
              <w:rPr>
                <w:color w:val="CCDDEE"/>
                <w:sz w:val="21"/>
              </w:rPr>
              <w:t>Inadimplência &gt;30 dias: bloqueio do cartão + acionamento do Executivo de Contas</w:t>
            </w:r>
          </w:p>
          <w:p>
            <w:pPr>
              <w:spacing w:after="120"/>
            </w:pPr>
          </w:p>
        </w:tc>
      </w:tr>
    </w:tbl>
    <w:p/>
    <w:tbl>
      <w:tblPr>
        <w:tblW w:type="auto" w:w="0"/>
        <w:jc w:val="center"/>
        <w:tblLook w:firstColumn="1" w:firstRow="1" w:lastColumn="0" w:lastRow="0" w:noHBand="0" w:noVBand="1" w:val="04A0"/>
      </w:tblPr>
      <w:tblGrid>
        <w:gridCol w:w="9746"/>
      </w:tblGrid>
      <w:tr>
        <w:tc>
          <w:tcPr>
            <w:tcW w:type="dxa" w:w="9746"/>
            <w:shd w:val="clear" w:color="auto" w:fill="0D1B2A"/>
          </w:tcPr>
          <w:p/>
          <w:p>
            <w:pPr>
              <w:spacing w:before="120"/>
            </w:pPr>
            <w:r>
              <w:rPr>
                <w:b/>
                <w:color w:val="F5A623"/>
                <w:sz w:val="22"/>
              </w:rPr>
              <w:t>CAMADA 4 — LEDGER &amp; TRANSPARÊNCIA (MACRO HASH)</w:t>
            </w:r>
          </w:p>
          <w:p>
            <w:pPr>
              <w:spacing w:after="40"/>
            </w:pPr>
            <w:r>
              <w:rPr>
                <w:color w:val="CCDDEE"/>
                <w:sz w:val="21"/>
              </w:rPr>
              <w:t>Cada portfólio gera um hash único imutável no ledger da SPE Exchange</w:t>
            </w:r>
          </w:p>
          <w:p>
            <w:pPr>
              <w:spacing w:after="40"/>
            </w:pPr>
            <w:r>
              <w:rPr>
                <w:color w:val="CCDDEE"/>
                <w:sz w:val="21"/>
              </w:rPr>
              <w:t>Cada microcrédito dentro do portfólio tem um sub-hash rastreável</w:t>
            </w:r>
          </w:p>
          <w:p>
            <w:pPr>
              <w:spacing w:after="40"/>
            </w:pPr>
            <w:r>
              <w:rPr>
                <w:color w:val="CCDDEE"/>
                <w:sz w:val="21"/>
              </w:rPr>
              <w:t>Estados possíveis de cada bloco: DEPLOYED | ACTIVE_USE | IDLE | REPAID | DEFAULT</w:t>
            </w:r>
          </w:p>
          <w:p>
            <w:pPr>
              <w:spacing w:after="40"/>
            </w:pPr>
            <w:r>
              <w:rPr>
                <w:color w:val="CCDDEE"/>
                <w:sz w:val="21"/>
              </w:rPr>
              <w:t>Aplicante visualiza em tempo real % do capital em cada estado (sem dados pessoais do Usuário)</w:t>
            </w:r>
          </w:p>
          <w:p>
            <w:pPr>
              <w:spacing w:after="40"/>
            </w:pPr>
            <w:r>
              <w:rPr>
                <w:color w:val="CCDDEE"/>
                <w:sz w:val="21"/>
              </w:rPr>
              <w:t>Relatórios contábeis exportados automaticamente para ODOO (módulo contabilidade)</w:t>
            </w:r>
          </w:p>
          <w:p>
            <w:pPr>
              <w:spacing w:after="120"/>
            </w:pPr>
          </w:p>
        </w:tc>
      </w:tr>
    </w:tbl>
    <w:p/>
    <w:p>
      <w:pPr>
        <w:spacing w:before="160" w:after="120"/>
      </w:pPr>
      <w:r>
        <w:rPr>
          <w:b/>
          <w:color w:val="F5A623"/>
          <w:sz w:val="28"/>
        </w:rPr>
        <w:t>2.2 Estrutura de Verticais de Consumo</w:t>
      </w:r>
    </w:p>
    <w:p>
      <w:pPr>
        <w:spacing w:after="120" w:before="40"/>
      </w:pPr>
      <w:r>
        <w:rPr>
          <w:b w:val="0"/>
          <w:i w:val="0"/>
          <w:color w:val="444455"/>
          <w:sz w:val="21"/>
        </w:rPr>
        <w:t>Os Usuários são classificados em Verticais de Consumo durante o processo de qualificação, definindo onde os créditos do cartão poderão ser utilizados (MCCs habilitados). Cada vertical tem um perfil de risco, retorno ao Aplicante e score de adimplência associados: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440"/>
            <w:shd w:val="clear" w:color="auto" w:fill="0A2040"/>
          </w:tcPr>
          <w:p>
            <w:pPr>
              <w:jc w:val="center"/>
            </w:pPr>
            <w:r>
              <w:rPr>
                <w:b/>
                <w:color w:val="FFFFFF"/>
                <w:sz w:val="20"/>
              </w:rPr>
              <w:t>Vertical</w:t>
            </w:r>
          </w:p>
        </w:tc>
        <w:tc>
          <w:tcPr>
            <w:tcW w:type="dxa" w:w="3600"/>
            <w:shd w:val="clear" w:color="auto" w:fill="0A2040"/>
          </w:tcPr>
          <w:p>
            <w:pPr>
              <w:jc w:val="center"/>
            </w:pPr>
            <w:r>
              <w:rPr>
                <w:b/>
                <w:color w:val="FFFFFF"/>
                <w:sz w:val="20"/>
              </w:rPr>
              <w:t>Descrição dos MCCs habilitados</w:t>
            </w:r>
          </w:p>
        </w:tc>
        <w:tc>
          <w:tcPr>
            <w:tcW w:type="dxa" w:w="1224"/>
            <w:shd w:val="clear" w:color="auto" w:fill="0A2040"/>
          </w:tcPr>
          <w:p>
            <w:pPr>
              <w:jc w:val="center"/>
            </w:pPr>
            <w:r>
              <w:rPr>
                <w:b/>
                <w:color w:val="FFFFFF"/>
                <w:sz w:val="20"/>
              </w:rPr>
              <w:t>Score Risco</w:t>
            </w:r>
          </w:p>
        </w:tc>
        <w:tc>
          <w:tcPr>
            <w:tcW w:type="dxa" w:w="1584"/>
            <w:shd w:val="clear" w:color="auto" w:fill="0A2040"/>
          </w:tcPr>
          <w:p>
            <w:pPr>
              <w:jc w:val="center"/>
            </w:pPr>
            <w:r>
              <w:rPr>
                <w:b/>
                <w:color w:val="FFFFFF"/>
                <w:sz w:val="20"/>
              </w:rPr>
              <w:t>Ret. Aplicante/mês</w:t>
            </w:r>
          </w:p>
        </w:tc>
        <w:tc>
          <w:tcPr>
            <w:tcW w:type="dxa" w:w="1584"/>
            <w:shd w:val="clear" w:color="auto" w:fill="0A2040"/>
          </w:tcPr>
          <w:p>
            <w:pPr>
              <w:jc w:val="center"/>
            </w:pPr>
            <w:r>
              <w:rPr>
                <w:b/>
                <w:color w:val="FFFFFF"/>
                <w:sz w:val="20"/>
              </w:rPr>
              <w:t>Adimplência Projetada</w:t>
            </w:r>
          </w:p>
        </w:tc>
      </w:tr>
      <w:tr>
        <w:tc>
          <w:tcPr>
            <w:tcW w:type="dxa" w:w="1440"/>
            <w:shd w:val="clear" w:color="auto" w:fill="FFFFFF"/>
          </w:tcPr>
          <w:p>
            <w:r>
              <w:rPr>
                <w:color w:val="222233"/>
                <w:sz w:val="19"/>
              </w:rPr>
              <w:t>SAÚDE</w:t>
            </w:r>
          </w:p>
        </w:tc>
        <w:tc>
          <w:tcPr>
            <w:tcW w:type="dxa" w:w="3600"/>
            <w:shd w:val="clear" w:color="auto" w:fill="FFFFFF"/>
          </w:tcPr>
          <w:p>
            <w:r>
              <w:rPr>
                <w:color w:val="222233"/>
                <w:sz w:val="19"/>
              </w:rPr>
              <w:t>Planos de saúde, farmácias, medicamentos, clínicas</w:t>
            </w:r>
          </w:p>
        </w:tc>
        <w:tc>
          <w:tcPr>
            <w:tcW w:type="dxa" w:w="1224"/>
            <w:shd w:val="clear" w:color="auto" w:fill="FFFFFF"/>
          </w:tcPr>
          <w:p>
            <w:r>
              <w:rPr>
                <w:color w:val="222233"/>
                <w:sz w:val="19"/>
              </w:rPr>
              <w:t>BAIXO</w:t>
            </w:r>
          </w:p>
        </w:tc>
        <w:tc>
          <w:tcPr>
            <w:tcW w:type="dxa" w:w="1584"/>
            <w:shd w:val="clear" w:color="auto" w:fill="FFFFFF"/>
          </w:tcPr>
          <w:p>
            <w:r>
              <w:rPr>
                <w:color w:val="222233"/>
                <w:sz w:val="19"/>
              </w:rPr>
              <w:t>3,5%</w:t>
            </w:r>
          </w:p>
        </w:tc>
        <w:tc>
          <w:tcPr>
            <w:tcW w:type="dxa" w:w="1584"/>
            <w:shd w:val="clear" w:color="auto" w:fill="FFFFFF"/>
          </w:tcPr>
          <w:p>
            <w:r>
              <w:rPr>
                <w:color w:val="222233"/>
                <w:sz w:val="19"/>
              </w:rPr>
              <w:t>96%</w:t>
            </w:r>
          </w:p>
        </w:tc>
      </w:tr>
      <w:tr>
        <w:tc>
          <w:tcPr>
            <w:tcW w:type="dxa" w:w="1440"/>
            <w:shd w:val="clear" w:color="auto" w:fill="EAF4FF"/>
          </w:tcPr>
          <w:p>
            <w:r>
              <w:rPr>
                <w:color w:val="222233"/>
                <w:sz w:val="19"/>
              </w:rPr>
              <w:t>SEGUROS</w:t>
            </w:r>
          </w:p>
        </w:tc>
        <w:tc>
          <w:tcPr>
            <w:tcW w:type="dxa" w:w="3600"/>
            <w:shd w:val="clear" w:color="auto" w:fill="EAF4FF"/>
          </w:tcPr>
          <w:p>
            <w:r>
              <w:rPr>
                <w:color w:val="222233"/>
                <w:sz w:val="19"/>
              </w:rPr>
              <w:t>Seguros auto, vida, residencial, prestamista</w:t>
            </w:r>
          </w:p>
        </w:tc>
        <w:tc>
          <w:tcPr>
            <w:tcW w:type="dxa" w:w="1224"/>
            <w:shd w:val="clear" w:color="auto" w:fill="EAF4FF"/>
          </w:tcPr>
          <w:p>
            <w:r>
              <w:rPr>
                <w:color w:val="222233"/>
                <w:sz w:val="19"/>
              </w:rPr>
              <w:t>BAIXO</w:t>
            </w:r>
          </w:p>
        </w:tc>
        <w:tc>
          <w:tcPr>
            <w:tcW w:type="dxa" w:w="1584"/>
            <w:shd w:val="clear" w:color="auto" w:fill="EAF4FF"/>
          </w:tcPr>
          <w:p>
            <w:r>
              <w:rPr>
                <w:color w:val="222233"/>
                <w:sz w:val="19"/>
              </w:rPr>
              <w:t>3,5%</w:t>
            </w:r>
          </w:p>
        </w:tc>
        <w:tc>
          <w:tcPr>
            <w:tcW w:type="dxa" w:w="1584"/>
            <w:shd w:val="clear" w:color="auto" w:fill="EAF4FF"/>
          </w:tcPr>
          <w:p>
            <w:r>
              <w:rPr>
                <w:color w:val="222233"/>
                <w:sz w:val="19"/>
              </w:rPr>
              <w:t>95%</w:t>
            </w:r>
          </w:p>
        </w:tc>
      </w:tr>
      <w:tr>
        <w:tc>
          <w:tcPr>
            <w:tcW w:type="dxa" w:w="1440"/>
            <w:shd w:val="clear" w:color="auto" w:fill="FFFFFF"/>
          </w:tcPr>
          <w:p>
            <w:r>
              <w:rPr>
                <w:color w:val="222233"/>
                <w:sz w:val="19"/>
              </w:rPr>
              <w:t>EDUCAÇÃO</w:t>
            </w:r>
          </w:p>
        </w:tc>
        <w:tc>
          <w:tcPr>
            <w:tcW w:type="dxa" w:w="3600"/>
            <w:shd w:val="clear" w:color="auto" w:fill="FFFFFF"/>
          </w:tcPr>
          <w:p>
            <w:r>
              <w:rPr>
                <w:color w:val="222233"/>
                <w:sz w:val="19"/>
              </w:rPr>
              <w:t>Mensalidades escolares, cursos, universidades privadas</w:t>
            </w:r>
          </w:p>
        </w:tc>
        <w:tc>
          <w:tcPr>
            <w:tcW w:type="dxa" w:w="1224"/>
            <w:shd w:val="clear" w:color="auto" w:fill="FFFFFF"/>
          </w:tcPr>
          <w:p>
            <w:r>
              <w:rPr>
                <w:color w:val="222233"/>
                <w:sz w:val="19"/>
              </w:rPr>
              <w:t>BAIXO-MED</w:t>
            </w:r>
          </w:p>
        </w:tc>
        <w:tc>
          <w:tcPr>
            <w:tcW w:type="dxa" w:w="1584"/>
            <w:shd w:val="clear" w:color="auto" w:fill="FFFFFF"/>
          </w:tcPr>
          <w:p>
            <w:r>
              <w:rPr>
                <w:color w:val="222233"/>
                <w:sz w:val="19"/>
              </w:rPr>
              <w:t>3,8%</w:t>
            </w:r>
          </w:p>
        </w:tc>
        <w:tc>
          <w:tcPr>
            <w:tcW w:type="dxa" w:w="1584"/>
            <w:shd w:val="clear" w:color="auto" w:fill="FFFFFF"/>
          </w:tcPr>
          <w:p>
            <w:r>
              <w:rPr>
                <w:color w:val="222233"/>
                <w:sz w:val="19"/>
              </w:rPr>
              <w:t>94%</w:t>
            </w:r>
          </w:p>
        </w:tc>
      </w:tr>
      <w:tr>
        <w:tc>
          <w:tcPr>
            <w:tcW w:type="dxa" w:w="1440"/>
            <w:shd w:val="clear" w:color="auto" w:fill="EAF4FF"/>
          </w:tcPr>
          <w:p>
            <w:r>
              <w:rPr>
                <w:color w:val="222233"/>
                <w:sz w:val="19"/>
              </w:rPr>
              <w:t>CONTAS FIXED</w:t>
            </w:r>
          </w:p>
        </w:tc>
        <w:tc>
          <w:tcPr>
            <w:tcW w:type="dxa" w:w="3600"/>
            <w:shd w:val="clear" w:color="auto" w:fill="EAF4FF"/>
          </w:tcPr>
          <w:p>
            <w:r>
              <w:rPr>
                <w:color w:val="222233"/>
                <w:sz w:val="19"/>
              </w:rPr>
              <w:t>Energia, água, gás, internet, telefonia (débito auto)</w:t>
            </w:r>
          </w:p>
        </w:tc>
        <w:tc>
          <w:tcPr>
            <w:tcW w:type="dxa" w:w="1224"/>
            <w:shd w:val="clear" w:color="auto" w:fill="EAF4FF"/>
          </w:tcPr>
          <w:p>
            <w:r>
              <w:rPr>
                <w:color w:val="222233"/>
                <w:sz w:val="19"/>
              </w:rPr>
              <w:t>BAIXO</w:t>
            </w:r>
          </w:p>
        </w:tc>
        <w:tc>
          <w:tcPr>
            <w:tcW w:type="dxa" w:w="1584"/>
            <w:shd w:val="clear" w:color="auto" w:fill="EAF4FF"/>
          </w:tcPr>
          <w:p>
            <w:r>
              <w:rPr>
                <w:color w:val="222233"/>
                <w:sz w:val="19"/>
              </w:rPr>
              <w:t>3,5%</w:t>
            </w:r>
          </w:p>
        </w:tc>
        <w:tc>
          <w:tcPr>
            <w:tcW w:type="dxa" w:w="1584"/>
            <w:shd w:val="clear" w:color="auto" w:fill="EAF4FF"/>
          </w:tcPr>
          <w:p>
            <w:r>
              <w:rPr>
                <w:color w:val="222233"/>
                <w:sz w:val="19"/>
              </w:rPr>
              <w:t>96%</w:t>
            </w:r>
          </w:p>
        </w:tc>
      </w:tr>
      <w:tr>
        <w:tc>
          <w:tcPr>
            <w:tcW w:type="dxa" w:w="1440"/>
            <w:shd w:val="clear" w:color="auto" w:fill="FFFFFF"/>
          </w:tcPr>
          <w:p>
            <w:r>
              <w:rPr>
                <w:color w:val="222233"/>
                <w:sz w:val="19"/>
              </w:rPr>
              <w:t>SUPERMERCADO</w:t>
            </w:r>
          </w:p>
        </w:tc>
        <w:tc>
          <w:tcPr>
            <w:tcW w:type="dxa" w:w="3600"/>
            <w:shd w:val="clear" w:color="auto" w:fill="FFFFFF"/>
          </w:tcPr>
          <w:p>
            <w:r>
              <w:rPr>
                <w:color w:val="222233"/>
                <w:sz w:val="19"/>
              </w:rPr>
              <w:t>Supermercados, hipermercados, atacarejo</w:t>
            </w:r>
          </w:p>
        </w:tc>
        <w:tc>
          <w:tcPr>
            <w:tcW w:type="dxa" w:w="1224"/>
            <w:shd w:val="clear" w:color="auto" w:fill="FFFFFF"/>
          </w:tcPr>
          <w:p>
            <w:r>
              <w:rPr>
                <w:color w:val="222233"/>
                <w:sz w:val="19"/>
              </w:rPr>
              <w:t>MÉDIO</w:t>
            </w:r>
          </w:p>
        </w:tc>
        <w:tc>
          <w:tcPr>
            <w:tcW w:type="dxa" w:w="1584"/>
            <w:shd w:val="clear" w:color="auto" w:fill="FFFFFF"/>
          </w:tcPr>
          <w:p>
            <w:r>
              <w:rPr>
                <w:color w:val="222233"/>
                <w:sz w:val="19"/>
              </w:rPr>
              <w:t>4,0%</w:t>
            </w:r>
          </w:p>
        </w:tc>
        <w:tc>
          <w:tcPr>
            <w:tcW w:type="dxa" w:w="1584"/>
            <w:shd w:val="clear" w:color="auto" w:fill="FFFFFF"/>
          </w:tcPr>
          <w:p>
            <w:r>
              <w:rPr>
                <w:color w:val="222233"/>
                <w:sz w:val="19"/>
              </w:rPr>
              <w:t>93%</w:t>
            </w:r>
          </w:p>
        </w:tc>
      </w:tr>
      <w:tr>
        <w:tc>
          <w:tcPr>
            <w:tcW w:type="dxa" w:w="1440"/>
            <w:shd w:val="clear" w:color="auto" w:fill="EAF4FF"/>
          </w:tcPr>
          <w:p>
            <w:r>
              <w:rPr>
                <w:color w:val="222233"/>
                <w:sz w:val="19"/>
              </w:rPr>
              <w:t>TRANSPORTE</w:t>
            </w:r>
          </w:p>
        </w:tc>
        <w:tc>
          <w:tcPr>
            <w:tcW w:type="dxa" w:w="3600"/>
            <w:shd w:val="clear" w:color="auto" w:fill="EAF4FF"/>
          </w:tcPr>
          <w:p>
            <w:r>
              <w:rPr>
                <w:color w:val="222233"/>
                <w:sz w:val="19"/>
              </w:rPr>
              <w:t>Combustível, pedágio, transporte de carga, frete</w:t>
            </w:r>
          </w:p>
        </w:tc>
        <w:tc>
          <w:tcPr>
            <w:tcW w:type="dxa" w:w="1224"/>
            <w:shd w:val="clear" w:color="auto" w:fill="EAF4FF"/>
          </w:tcPr>
          <w:p>
            <w:r>
              <w:rPr>
                <w:color w:val="222233"/>
                <w:sz w:val="19"/>
              </w:rPr>
              <w:t>MÉDIO</w:t>
            </w:r>
          </w:p>
        </w:tc>
        <w:tc>
          <w:tcPr>
            <w:tcW w:type="dxa" w:w="1584"/>
            <w:shd w:val="clear" w:color="auto" w:fill="EAF4FF"/>
          </w:tcPr>
          <w:p>
            <w:r>
              <w:rPr>
                <w:color w:val="222233"/>
                <w:sz w:val="19"/>
              </w:rPr>
              <w:t>4,0%</w:t>
            </w:r>
          </w:p>
        </w:tc>
        <w:tc>
          <w:tcPr>
            <w:tcW w:type="dxa" w:w="1584"/>
            <w:shd w:val="clear" w:color="auto" w:fill="EAF4FF"/>
          </w:tcPr>
          <w:p>
            <w:r>
              <w:rPr>
                <w:color w:val="222233"/>
                <w:sz w:val="19"/>
              </w:rPr>
              <w:t>92%</w:t>
            </w:r>
          </w:p>
        </w:tc>
      </w:tr>
      <w:tr>
        <w:tc>
          <w:tcPr>
            <w:tcW w:type="dxa" w:w="1440"/>
            <w:shd w:val="clear" w:color="auto" w:fill="FFFFFF"/>
          </w:tcPr>
          <w:p>
            <w:r>
              <w:rPr>
                <w:color w:val="222233"/>
                <w:sz w:val="19"/>
              </w:rPr>
              <w:t>ALIMENTAÇÃO</w:t>
            </w:r>
          </w:p>
        </w:tc>
        <w:tc>
          <w:tcPr>
            <w:tcW w:type="dxa" w:w="3600"/>
            <w:shd w:val="clear" w:color="auto" w:fill="FFFFFF"/>
          </w:tcPr>
          <w:p>
            <w:r>
              <w:rPr>
                <w:color w:val="222233"/>
                <w:sz w:val="19"/>
              </w:rPr>
              <w:t>Restaurantes, delivery, refeições</w:t>
            </w:r>
          </w:p>
        </w:tc>
        <w:tc>
          <w:tcPr>
            <w:tcW w:type="dxa" w:w="1224"/>
            <w:shd w:val="clear" w:color="auto" w:fill="FFFFFF"/>
          </w:tcPr>
          <w:p>
            <w:r>
              <w:rPr>
                <w:color w:val="222233"/>
                <w:sz w:val="19"/>
              </w:rPr>
              <w:t>MÉDIO</w:t>
            </w:r>
          </w:p>
        </w:tc>
        <w:tc>
          <w:tcPr>
            <w:tcW w:type="dxa" w:w="1584"/>
            <w:shd w:val="clear" w:color="auto" w:fill="FFFFFF"/>
          </w:tcPr>
          <w:p>
            <w:r>
              <w:rPr>
                <w:color w:val="222233"/>
                <w:sz w:val="19"/>
              </w:rPr>
              <w:t>4,2%</w:t>
            </w:r>
          </w:p>
        </w:tc>
        <w:tc>
          <w:tcPr>
            <w:tcW w:type="dxa" w:w="1584"/>
            <w:shd w:val="clear" w:color="auto" w:fill="FFFFFF"/>
          </w:tcPr>
          <w:p>
            <w:r>
              <w:rPr>
                <w:color w:val="222233"/>
                <w:sz w:val="19"/>
              </w:rPr>
              <w:t>91%</w:t>
            </w:r>
          </w:p>
        </w:tc>
      </w:tr>
      <w:tr>
        <w:tc>
          <w:tcPr>
            <w:tcW w:type="dxa" w:w="1440"/>
            <w:shd w:val="clear" w:color="auto" w:fill="EAF4FF"/>
          </w:tcPr>
          <w:p>
            <w:r>
              <w:rPr>
                <w:color w:val="222233"/>
                <w:sz w:val="19"/>
              </w:rPr>
              <w:t>VEÍCULOS</w:t>
            </w:r>
          </w:p>
        </w:tc>
        <w:tc>
          <w:tcPr>
            <w:tcW w:type="dxa" w:w="3600"/>
            <w:shd w:val="clear" w:color="auto" w:fill="EAF4FF"/>
          </w:tcPr>
          <w:p>
            <w:r>
              <w:rPr>
                <w:color w:val="222233"/>
                <w:sz w:val="19"/>
              </w:rPr>
              <w:t>Financiamento de veículos, manutenção, seguros auto</w:t>
            </w:r>
          </w:p>
        </w:tc>
        <w:tc>
          <w:tcPr>
            <w:tcW w:type="dxa" w:w="1224"/>
            <w:shd w:val="clear" w:color="auto" w:fill="EAF4FF"/>
          </w:tcPr>
          <w:p>
            <w:r>
              <w:rPr>
                <w:color w:val="222233"/>
                <w:sz w:val="19"/>
              </w:rPr>
              <w:t>MÉDIO-ALT</w:t>
            </w:r>
          </w:p>
        </w:tc>
        <w:tc>
          <w:tcPr>
            <w:tcW w:type="dxa" w:w="1584"/>
            <w:shd w:val="clear" w:color="auto" w:fill="EAF4FF"/>
          </w:tcPr>
          <w:p>
            <w:r>
              <w:rPr>
                <w:color w:val="222233"/>
                <w:sz w:val="19"/>
              </w:rPr>
              <w:t>4,5%</w:t>
            </w:r>
          </w:p>
        </w:tc>
        <w:tc>
          <w:tcPr>
            <w:tcW w:type="dxa" w:w="1584"/>
            <w:shd w:val="clear" w:color="auto" w:fill="EAF4FF"/>
          </w:tcPr>
          <w:p>
            <w:r>
              <w:rPr>
                <w:color w:val="222233"/>
                <w:sz w:val="19"/>
              </w:rPr>
              <w:t>90%</w:t>
            </w:r>
          </w:p>
        </w:tc>
      </w:tr>
      <w:tr>
        <w:tc>
          <w:tcPr>
            <w:tcW w:type="dxa" w:w="1440"/>
            <w:shd w:val="clear" w:color="auto" w:fill="FFFFFF"/>
          </w:tcPr>
          <w:p>
            <w:r>
              <w:rPr>
                <w:color w:val="222233"/>
                <w:sz w:val="19"/>
              </w:rPr>
              <w:t>VIAGEM</w:t>
            </w:r>
          </w:p>
        </w:tc>
        <w:tc>
          <w:tcPr>
            <w:tcW w:type="dxa" w:w="3600"/>
            <w:shd w:val="clear" w:color="auto" w:fill="FFFFFF"/>
          </w:tcPr>
          <w:p>
            <w:r>
              <w:rPr>
                <w:color w:val="222233"/>
                <w:sz w:val="19"/>
              </w:rPr>
              <w:t>Passagens aéreas, hotéis, pacotes de viagem, Airbnb</w:t>
            </w:r>
          </w:p>
        </w:tc>
        <w:tc>
          <w:tcPr>
            <w:tcW w:type="dxa" w:w="1224"/>
            <w:shd w:val="clear" w:color="auto" w:fill="FFFFFF"/>
          </w:tcPr>
          <w:p>
            <w:r>
              <w:rPr>
                <w:color w:val="222233"/>
                <w:sz w:val="19"/>
              </w:rPr>
              <w:t>MÉDIO-ALT</w:t>
            </w:r>
          </w:p>
        </w:tc>
        <w:tc>
          <w:tcPr>
            <w:tcW w:type="dxa" w:w="1584"/>
            <w:shd w:val="clear" w:color="auto" w:fill="FFFFFF"/>
          </w:tcPr>
          <w:p>
            <w:r>
              <w:rPr>
                <w:color w:val="222233"/>
                <w:sz w:val="19"/>
              </w:rPr>
              <w:t>4,5%</w:t>
            </w:r>
          </w:p>
        </w:tc>
        <w:tc>
          <w:tcPr>
            <w:tcW w:type="dxa" w:w="1584"/>
            <w:shd w:val="clear" w:color="auto" w:fill="FFFFFF"/>
          </w:tcPr>
          <w:p>
            <w:r>
              <w:rPr>
                <w:color w:val="222233"/>
                <w:sz w:val="19"/>
              </w:rPr>
              <w:t>89%</w:t>
            </w:r>
          </w:p>
        </w:tc>
      </w:tr>
      <w:tr>
        <w:tc>
          <w:tcPr>
            <w:tcW w:type="dxa" w:w="1440"/>
            <w:shd w:val="clear" w:color="auto" w:fill="EAF4FF"/>
          </w:tcPr>
          <w:p>
            <w:r>
              <w:rPr>
                <w:color w:val="222233"/>
                <w:sz w:val="19"/>
              </w:rPr>
              <w:t>AGRO MICRO</w:t>
            </w:r>
          </w:p>
        </w:tc>
        <w:tc>
          <w:tcPr>
            <w:tcW w:type="dxa" w:w="3600"/>
            <w:shd w:val="clear" w:color="auto" w:fill="EAF4FF"/>
          </w:tcPr>
          <w:p>
            <w:r>
              <w:rPr>
                <w:color w:val="222233"/>
                <w:sz w:val="19"/>
              </w:rPr>
              <w:t>Implementos agrícolas, insumos, equipamentos micro</w:t>
            </w:r>
          </w:p>
        </w:tc>
        <w:tc>
          <w:tcPr>
            <w:tcW w:type="dxa" w:w="1224"/>
            <w:shd w:val="clear" w:color="auto" w:fill="EAF4FF"/>
          </w:tcPr>
          <w:p>
            <w:r>
              <w:rPr>
                <w:color w:val="222233"/>
                <w:sz w:val="19"/>
              </w:rPr>
              <w:t>MÉDIO-ALT</w:t>
            </w:r>
          </w:p>
        </w:tc>
        <w:tc>
          <w:tcPr>
            <w:tcW w:type="dxa" w:w="1584"/>
            <w:shd w:val="clear" w:color="auto" w:fill="EAF4FF"/>
          </w:tcPr>
          <w:p>
            <w:r>
              <w:rPr>
                <w:color w:val="222233"/>
                <w:sz w:val="19"/>
              </w:rPr>
              <w:t>4,8%</w:t>
            </w:r>
          </w:p>
        </w:tc>
        <w:tc>
          <w:tcPr>
            <w:tcW w:type="dxa" w:w="1584"/>
            <w:shd w:val="clear" w:color="auto" w:fill="EAF4FF"/>
          </w:tcPr>
          <w:p>
            <w:r>
              <w:rPr>
                <w:color w:val="222233"/>
                <w:sz w:val="19"/>
              </w:rPr>
              <w:t>88%</w:t>
            </w:r>
          </w:p>
        </w:tc>
      </w:tr>
      <w:tr>
        <w:tc>
          <w:tcPr>
            <w:tcW w:type="dxa" w:w="1440"/>
            <w:shd w:val="clear" w:color="auto" w:fill="FFFFFF"/>
          </w:tcPr>
          <w:p>
            <w:r>
              <w:rPr>
                <w:color w:val="222233"/>
                <w:sz w:val="19"/>
              </w:rPr>
              <w:t>REFORMA/CONS</w:t>
            </w:r>
          </w:p>
        </w:tc>
        <w:tc>
          <w:tcPr>
            <w:tcW w:type="dxa" w:w="3600"/>
            <w:shd w:val="clear" w:color="auto" w:fill="FFFFFF"/>
          </w:tcPr>
          <w:p>
            <w:r>
              <w:rPr>
                <w:color w:val="222233"/>
                <w:sz w:val="19"/>
              </w:rPr>
              <w:t>Material de construção, reformas, home improvement</w:t>
            </w:r>
          </w:p>
        </w:tc>
        <w:tc>
          <w:tcPr>
            <w:tcW w:type="dxa" w:w="1224"/>
            <w:shd w:val="clear" w:color="auto" w:fill="FFFFFF"/>
          </w:tcPr>
          <w:p>
            <w:r>
              <w:rPr>
                <w:color w:val="222233"/>
                <w:sz w:val="19"/>
              </w:rPr>
              <w:t>ALTO</w:t>
            </w:r>
          </w:p>
        </w:tc>
        <w:tc>
          <w:tcPr>
            <w:tcW w:type="dxa" w:w="1584"/>
            <w:shd w:val="clear" w:color="auto" w:fill="FFFFFF"/>
          </w:tcPr>
          <w:p>
            <w:r>
              <w:rPr>
                <w:color w:val="222233"/>
                <w:sz w:val="19"/>
              </w:rPr>
              <w:t>5,0%</w:t>
            </w:r>
          </w:p>
        </w:tc>
        <w:tc>
          <w:tcPr>
            <w:tcW w:type="dxa" w:w="1584"/>
            <w:shd w:val="clear" w:color="auto" w:fill="FFFFFF"/>
          </w:tcPr>
          <w:p>
            <w:r>
              <w:rPr>
                <w:color w:val="222233"/>
                <w:sz w:val="19"/>
              </w:rPr>
              <w:t>87%</w:t>
            </w:r>
          </w:p>
        </w:tc>
      </w:tr>
      <w:tr>
        <w:tc>
          <w:tcPr>
            <w:tcW w:type="dxa" w:w="1440"/>
            <w:shd w:val="clear" w:color="auto" w:fill="EAF4FF"/>
          </w:tcPr>
          <w:p>
            <w:r>
              <w:rPr>
                <w:color w:val="222233"/>
                <w:sz w:val="19"/>
              </w:rPr>
              <w:t>CONSUMO GERAL</w:t>
            </w:r>
          </w:p>
        </w:tc>
        <w:tc>
          <w:tcPr>
            <w:tcW w:type="dxa" w:w="3600"/>
            <w:shd w:val="clear" w:color="auto" w:fill="EAF4FF"/>
          </w:tcPr>
          <w:p>
            <w:r>
              <w:rPr>
                <w:color w:val="222233"/>
                <w:sz w:val="19"/>
              </w:rPr>
              <w:t>Eletrodomésticos, eletrônicos, bens duráveis</w:t>
            </w:r>
          </w:p>
        </w:tc>
        <w:tc>
          <w:tcPr>
            <w:tcW w:type="dxa" w:w="1224"/>
            <w:shd w:val="clear" w:color="auto" w:fill="EAF4FF"/>
          </w:tcPr>
          <w:p>
            <w:r>
              <w:rPr>
                <w:color w:val="222233"/>
                <w:sz w:val="19"/>
              </w:rPr>
              <w:t>ALTO</w:t>
            </w:r>
          </w:p>
        </w:tc>
        <w:tc>
          <w:tcPr>
            <w:tcW w:type="dxa" w:w="1584"/>
            <w:shd w:val="clear" w:color="auto" w:fill="EAF4FF"/>
          </w:tcPr>
          <w:p>
            <w:r>
              <w:rPr>
                <w:color w:val="222233"/>
                <w:sz w:val="19"/>
              </w:rPr>
              <w:t>5,0%</w:t>
            </w:r>
          </w:p>
        </w:tc>
        <w:tc>
          <w:tcPr>
            <w:tcW w:type="dxa" w:w="1584"/>
            <w:shd w:val="clear" w:color="auto" w:fill="EAF4FF"/>
          </w:tcPr>
          <w:p>
            <w:r>
              <w:rPr>
                <w:color w:val="222233"/>
                <w:sz w:val="19"/>
              </w:rPr>
              <w:t>86%</w:t>
            </w:r>
          </w:p>
        </w:tc>
      </w:tr>
    </w:tbl>
    <w:p/>
    <w:p>
      <w:pPr>
        <w:spacing w:after="120" w:before="40"/>
      </w:pPr>
      <w:r>
        <w:rPr>
          <w:b/>
          <w:i w:val="0"/>
          <w:color w:val="222233"/>
          <w:sz w:val="21"/>
        </w:rPr>
        <w:t>REGRA DE DIVERSIFICAÇÃO OBRIGATÓRIA: Nenhum Aplicante pode ter mais de 25% do portfólio em uma única vertical. A plataforma impõe automaticamente essa restrição no momento da composição da carteira, garantindo exposição mínima a verticais de maior risco para balancear retorno e estabilidade.</w:t>
      </w:r>
    </w:p>
    <w:p>
      <w:r>
        <w:br w:type="page"/>
      </w:r>
    </w:p>
    <w:p>
      <w:pPr>
        <w:spacing w:before="280" w:after="120"/>
      </w:pPr>
      <w:r>
        <w:rPr>
          <w:b/>
          <w:color w:val="00B4D8"/>
          <w:sz w:val="36"/>
        </w:rPr>
        <w:t>3. SPE EXCHANGE — ARQUITETURA JURÍDICA E OPERACIONAL</w:t>
      </w:r>
    </w:p>
    <w:p>
      <w:pPr>
        <w:spacing w:before="80" w:after="80"/>
        <w:pBdr>
          <w:bottom w:val="single" w:sz="6" w:space="1" w:color="00B4D8"/>
        </w:pBdr>
      </w:pPr>
    </w:p>
    <w:p>
      <w:pPr>
        <w:spacing w:after="120" w:before="40"/>
      </w:pPr>
      <w:r>
        <w:rPr>
          <w:b w:val="0"/>
          <w:i w:val="0"/>
          <w:color w:val="444455"/>
          <w:sz w:val="21"/>
        </w:rPr>
        <w:t>A SPE Exchange (Special Purpose Entity Exchange) é o coração jurídico e operacional do Documento GREY. Ela opera como exchange de propósito específico, sendo responsável por: (i) custódia de stablecoins dos Aplicantes; (ii) compliance AML/KYC; (iii) liquidação das operações de câmbio stablecoin ↔ BRL; e (iv) emissão e gestão dos contratos de participação nos portfólios.</w:t>
      </w:r>
    </w:p>
    <w:p>
      <w:pPr>
        <w:spacing w:before="160" w:after="120"/>
      </w:pPr>
      <w:r>
        <w:rPr>
          <w:b/>
          <w:color w:val="F5A623"/>
          <w:sz w:val="28"/>
        </w:rPr>
        <w:t>3.1 Jurisdições Candidatas e Análise Comparativa</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440"/>
            <w:shd w:val="clear" w:color="auto" w:fill="0D1B2A"/>
          </w:tcPr>
          <w:p>
            <w:pPr>
              <w:jc w:val="center"/>
            </w:pPr>
            <w:r>
              <w:rPr>
                <w:b/>
                <w:color w:val="FFFFFF"/>
                <w:sz w:val="20"/>
              </w:rPr>
              <w:t>Jurisdição</w:t>
            </w:r>
          </w:p>
        </w:tc>
        <w:tc>
          <w:tcPr>
            <w:tcW w:type="dxa" w:w="2592"/>
            <w:shd w:val="clear" w:color="auto" w:fill="0D1B2A"/>
          </w:tcPr>
          <w:p>
            <w:pPr>
              <w:jc w:val="center"/>
            </w:pPr>
            <w:r>
              <w:rPr>
                <w:b/>
                <w:color w:val="FFFFFF"/>
                <w:sz w:val="20"/>
              </w:rPr>
              <w:t>Regime Regulatório</w:t>
            </w:r>
          </w:p>
        </w:tc>
        <w:tc>
          <w:tcPr>
            <w:tcW w:type="dxa" w:w="2160"/>
            <w:shd w:val="clear" w:color="auto" w:fill="0D1B2A"/>
          </w:tcPr>
          <w:p>
            <w:pPr>
              <w:jc w:val="center"/>
            </w:pPr>
            <w:r>
              <w:rPr>
                <w:b/>
                <w:color w:val="FFFFFF"/>
                <w:sz w:val="20"/>
              </w:rPr>
              <w:t>Licença Necessária</w:t>
            </w:r>
          </w:p>
        </w:tc>
        <w:tc>
          <w:tcPr>
            <w:tcW w:type="dxa" w:w="1296"/>
            <w:shd w:val="clear" w:color="auto" w:fill="0D1B2A"/>
          </w:tcPr>
          <w:p>
            <w:pPr>
              <w:jc w:val="center"/>
            </w:pPr>
            <w:r>
              <w:rPr>
                <w:b/>
                <w:color w:val="FFFFFF"/>
                <w:sz w:val="20"/>
              </w:rPr>
              <w:t>Capital Mínimo</w:t>
            </w:r>
          </w:p>
        </w:tc>
        <w:tc>
          <w:tcPr>
            <w:tcW w:type="dxa" w:w="1584"/>
            <w:shd w:val="clear" w:color="auto" w:fill="0D1B2A"/>
          </w:tcPr>
          <w:p>
            <w:pPr>
              <w:jc w:val="center"/>
            </w:pPr>
            <w:r>
              <w:rPr>
                <w:b/>
                <w:color w:val="FFFFFF"/>
                <w:sz w:val="20"/>
              </w:rPr>
              <w:t>Tributação</w:t>
            </w:r>
          </w:p>
        </w:tc>
        <w:tc>
          <w:tcPr>
            <w:tcW w:type="dxa" w:w="1008"/>
            <w:shd w:val="clear" w:color="auto" w:fill="0D1B2A"/>
          </w:tcPr>
          <w:p>
            <w:pPr>
              <w:jc w:val="center"/>
            </w:pPr>
            <w:r>
              <w:rPr>
                <w:b/>
                <w:color w:val="FFFFFF"/>
                <w:sz w:val="20"/>
              </w:rPr>
              <w:t>Score</w:t>
            </w:r>
          </w:p>
        </w:tc>
      </w:tr>
      <w:tr>
        <w:tc>
          <w:tcPr>
            <w:tcW w:type="dxa" w:w="1440"/>
            <w:shd w:val="clear" w:color="auto" w:fill="FFFFFF"/>
          </w:tcPr>
          <w:p>
            <w:r>
              <w:rPr>
                <w:color w:val="222233"/>
                <w:sz w:val="19"/>
              </w:rPr>
              <w:t>Dubai (DIFC)</w:t>
            </w:r>
          </w:p>
        </w:tc>
        <w:tc>
          <w:tcPr>
            <w:tcW w:type="dxa" w:w="2592"/>
            <w:shd w:val="clear" w:color="auto" w:fill="FFFFFF"/>
          </w:tcPr>
          <w:p>
            <w:r>
              <w:rPr>
                <w:color w:val="222233"/>
                <w:sz w:val="19"/>
              </w:rPr>
              <w:t>DFSA — Dubai Financial Services Authority</w:t>
            </w:r>
          </w:p>
        </w:tc>
        <w:tc>
          <w:tcPr>
            <w:tcW w:type="dxa" w:w="2160"/>
            <w:shd w:val="clear" w:color="auto" w:fill="FFFFFF"/>
          </w:tcPr>
          <w:p>
            <w:r>
              <w:rPr>
                <w:color w:val="222233"/>
                <w:sz w:val="19"/>
              </w:rPr>
              <w:t>Category 3C (Arranging Credit)</w:t>
            </w:r>
          </w:p>
        </w:tc>
        <w:tc>
          <w:tcPr>
            <w:tcW w:type="dxa" w:w="1296"/>
            <w:shd w:val="clear" w:color="auto" w:fill="FFFFFF"/>
          </w:tcPr>
          <w:p>
            <w:r>
              <w:rPr>
                <w:color w:val="222233"/>
                <w:sz w:val="19"/>
              </w:rPr>
              <w:t>USD 500k</w:t>
            </w:r>
          </w:p>
        </w:tc>
        <w:tc>
          <w:tcPr>
            <w:tcW w:type="dxa" w:w="1584"/>
            <w:shd w:val="clear" w:color="auto" w:fill="FFFFFF"/>
          </w:tcPr>
          <w:p>
            <w:r>
              <w:rPr>
                <w:color w:val="222233"/>
                <w:sz w:val="19"/>
              </w:rPr>
              <w:t>0% IR corporativo</w:t>
            </w:r>
          </w:p>
        </w:tc>
        <w:tc>
          <w:tcPr>
            <w:tcW w:type="dxa" w:w="1008"/>
            <w:shd w:val="clear" w:color="auto" w:fill="FFFFFF"/>
          </w:tcPr>
          <w:p>
            <w:r>
              <w:rPr>
                <w:color w:val="222233"/>
                <w:sz w:val="19"/>
              </w:rPr>
              <w:t>★★★★★</w:t>
            </w:r>
          </w:p>
        </w:tc>
      </w:tr>
      <w:tr>
        <w:tc>
          <w:tcPr>
            <w:tcW w:type="dxa" w:w="1440"/>
            <w:shd w:val="clear" w:color="auto" w:fill="EAF4FF"/>
          </w:tcPr>
          <w:p>
            <w:r>
              <w:rPr>
                <w:color w:val="222233"/>
                <w:sz w:val="19"/>
              </w:rPr>
              <w:t>Dubai (ADGM)</w:t>
            </w:r>
          </w:p>
        </w:tc>
        <w:tc>
          <w:tcPr>
            <w:tcW w:type="dxa" w:w="2592"/>
            <w:shd w:val="clear" w:color="auto" w:fill="EAF4FF"/>
          </w:tcPr>
          <w:p>
            <w:r>
              <w:rPr>
                <w:color w:val="222233"/>
                <w:sz w:val="19"/>
              </w:rPr>
              <w:t>FSRA — Financial Services Regulatory Auth.</w:t>
            </w:r>
          </w:p>
        </w:tc>
        <w:tc>
          <w:tcPr>
            <w:tcW w:type="dxa" w:w="2160"/>
            <w:shd w:val="clear" w:color="auto" w:fill="EAF4FF"/>
          </w:tcPr>
          <w:p>
            <w:r>
              <w:rPr>
                <w:color w:val="222233"/>
                <w:sz w:val="19"/>
              </w:rPr>
              <w:t>Lending / Arranging</w:t>
            </w:r>
          </w:p>
        </w:tc>
        <w:tc>
          <w:tcPr>
            <w:tcW w:type="dxa" w:w="1296"/>
            <w:shd w:val="clear" w:color="auto" w:fill="EAF4FF"/>
          </w:tcPr>
          <w:p>
            <w:r>
              <w:rPr>
                <w:color w:val="222233"/>
                <w:sz w:val="19"/>
              </w:rPr>
              <w:t>USD 250k</w:t>
            </w:r>
          </w:p>
        </w:tc>
        <w:tc>
          <w:tcPr>
            <w:tcW w:type="dxa" w:w="1584"/>
            <w:shd w:val="clear" w:color="auto" w:fill="EAF4FF"/>
          </w:tcPr>
          <w:p>
            <w:r>
              <w:rPr>
                <w:color w:val="222233"/>
                <w:sz w:val="19"/>
              </w:rPr>
              <w:t>0% IR corporativo</w:t>
            </w:r>
          </w:p>
        </w:tc>
        <w:tc>
          <w:tcPr>
            <w:tcW w:type="dxa" w:w="1008"/>
            <w:shd w:val="clear" w:color="auto" w:fill="EAF4FF"/>
          </w:tcPr>
          <w:p>
            <w:r>
              <w:rPr>
                <w:color w:val="222233"/>
                <w:sz w:val="19"/>
              </w:rPr>
              <w:t>★★★★★</w:t>
            </w:r>
          </w:p>
        </w:tc>
      </w:tr>
      <w:tr>
        <w:tc>
          <w:tcPr>
            <w:tcW w:type="dxa" w:w="1440"/>
            <w:shd w:val="clear" w:color="auto" w:fill="FFFFFF"/>
          </w:tcPr>
          <w:p>
            <w:r>
              <w:rPr>
                <w:color w:val="222233"/>
                <w:sz w:val="19"/>
              </w:rPr>
              <w:t>Ilhas Cayman</w:t>
            </w:r>
          </w:p>
        </w:tc>
        <w:tc>
          <w:tcPr>
            <w:tcW w:type="dxa" w:w="2592"/>
            <w:shd w:val="clear" w:color="auto" w:fill="FFFFFF"/>
          </w:tcPr>
          <w:p>
            <w:r>
              <w:rPr>
                <w:color w:val="222233"/>
                <w:sz w:val="19"/>
              </w:rPr>
              <w:t>CIMA — Cayman Islands Monetary Authority</w:t>
            </w:r>
          </w:p>
        </w:tc>
        <w:tc>
          <w:tcPr>
            <w:tcW w:type="dxa" w:w="2160"/>
            <w:shd w:val="clear" w:color="auto" w:fill="FFFFFF"/>
          </w:tcPr>
          <w:p>
            <w:r>
              <w:rPr>
                <w:color w:val="222233"/>
                <w:sz w:val="19"/>
              </w:rPr>
              <w:t>Virtual Asset Service Provider</w:t>
            </w:r>
          </w:p>
        </w:tc>
        <w:tc>
          <w:tcPr>
            <w:tcW w:type="dxa" w:w="1296"/>
            <w:shd w:val="clear" w:color="auto" w:fill="FFFFFF"/>
          </w:tcPr>
          <w:p>
            <w:r>
              <w:rPr>
                <w:color w:val="222233"/>
                <w:sz w:val="19"/>
              </w:rPr>
              <w:t>USD 100k</w:t>
            </w:r>
          </w:p>
        </w:tc>
        <w:tc>
          <w:tcPr>
            <w:tcW w:type="dxa" w:w="1584"/>
            <w:shd w:val="clear" w:color="auto" w:fill="FFFFFF"/>
          </w:tcPr>
          <w:p>
            <w:r>
              <w:rPr>
                <w:color w:val="222233"/>
                <w:sz w:val="19"/>
              </w:rPr>
              <w:t>0% qualquer tributo</w:t>
            </w:r>
          </w:p>
        </w:tc>
        <w:tc>
          <w:tcPr>
            <w:tcW w:type="dxa" w:w="1008"/>
            <w:shd w:val="clear" w:color="auto" w:fill="FFFFFF"/>
          </w:tcPr>
          <w:p>
            <w:r>
              <w:rPr>
                <w:color w:val="222233"/>
                <w:sz w:val="19"/>
              </w:rPr>
              <w:t>★★★★☆</w:t>
            </w:r>
          </w:p>
        </w:tc>
      </w:tr>
      <w:tr>
        <w:tc>
          <w:tcPr>
            <w:tcW w:type="dxa" w:w="1440"/>
            <w:shd w:val="clear" w:color="auto" w:fill="EAF4FF"/>
          </w:tcPr>
          <w:p>
            <w:r>
              <w:rPr>
                <w:color w:val="222233"/>
                <w:sz w:val="19"/>
              </w:rPr>
              <w:t>BVI</w:t>
            </w:r>
          </w:p>
        </w:tc>
        <w:tc>
          <w:tcPr>
            <w:tcW w:type="dxa" w:w="2592"/>
            <w:shd w:val="clear" w:color="auto" w:fill="EAF4FF"/>
          </w:tcPr>
          <w:p>
            <w:r>
              <w:rPr>
                <w:color w:val="222233"/>
                <w:sz w:val="19"/>
              </w:rPr>
              <w:t>FSC — Financial Services Commission</w:t>
            </w:r>
          </w:p>
        </w:tc>
        <w:tc>
          <w:tcPr>
            <w:tcW w:type="dxa" w:w="2160"/>
            <w:shd w:val="clear" w:color="auto" w:fill="EAF4FF"/>
          </w:tcPr>
          <w:p>
            <w:r>
              <w:rPr>
                <w:color w:val="222233"/>
                <w:sz w:val="19"/>
              </w:rPr>
              <w:t>Money Services Business</w:t>
            </w:r>
          </w:p>
        </w:tc>
        <w:tc>
          <w:tcPr>
            <w:tcW w:type="dxa" w:w="1296"/>
            <w:shd w:val="clear" w:color="auto" w:fill="EAF4FF"/>
          </w:tcPr>
          <w:p>
            <w:r>
              <w:rPr>
                <w:color w:val="222233"/>
                <w:sz w:val="19"/>
              </w:rPr>
              <w:t>USD 50k</w:t>
            </w:r>
          </w:p>
        </w:tc>
        <w:tc>
          <w:tcPr>
            <w:tcW w:type="dxa" w:w="1584"/>
            <w:shd w:val="clear" w:color="auto" w:fill="EAF4FF"/>
          </w:tcPr>
          <w:p>
            <w:r>
              <w:rPr>
                <w:color w:val="222233"/>
                <w:sz w:val="19"/>
              </w:rPr>
              <w:t>0% IR corporativo</w:t>
            </w:r>
          </w:p>
        </w:tc>
        <w:tc>
          <w:tcPr>
            <w:tcW w:type="dxa" w:w="1008"/>
            <w:shd w:val="clear" w:color="auto" w:fill="EAF4FF"/>
          </w:tcPr>
          <w:p>
            <w:r>
              <w:rPr>
                <w:color w:val="222233"/>
                <w:sz w:val="19"/>
              </w:rPr>
              <w:t>★★★★☆</w:t>
            </w:r>
          </w:p>
        </w:tc>
      </w:tr>
      <w:tr>
        <w:tc>
          <w:tcPr>
            <w:tcW w:type="dxa" w:w="1440"/>
            <w:shd w:val="clear" w:color="auto" w:fill="FFFFFF"/>
          </w:tcPr>
          <w:p>
            <w:r>
              <w:rPr>
                <w:color w:val="222233"/>
                <w:sz w:val="19"/>
              </w:rPr>
              <w:t>Malta</w:t>
            </w:r>
          </w:p>
        </w:tc>
        <w:tc>
          <w:tcPr>
            <w:tcW w:type="dxa" w:w="2592"/>
            <w:shd w:val="clear" w:color="auto" w:fill="FFFFFF"/>
          </w:tcPr>
          <w:p>
            <w:r>
              <w:rPr>
                <w:color w:val="222233"/>
                <w:sz w:val="19"/>
              </w:rPr>
              <w:t>MiCA (UE) + MFSA</w:t>
            </w:r>
          </w:p>
        </w:tc>
        <w:tc>
          <w:tcPr>
            <w:tcW w:type="dxa" w:w="2160"/>
            <w:shd w:val="clear" w:color="auto" w:fill="FFFFFF"/>
          </w:tcPr>
          <w:p>
            <w:r>
              <w:rPr>
                <w:color w:val="222233"/>
                <w:sz w:val="19"/>
              </w:rPr>
              <w:t>VASP + E-Money Institution</w:t>
            </w:r>
          </w:p>
        </w:tc>
        <w:tc>
          <w:tcPr>
            <w:tcW w:type="dxa" w:w="1296"/>
            <w:shd w:val="clear" w:color="auto" w:fill="FFFFFF"/>
          </w:tcPr>
          <w:p>
            <w:r>
              <w:rPr>
                <w:color w:val="222233"/>
                <w:sz w:val="19"/>
              </w:rPr>
              <w:t>EUR 730k</w:t>
            </w:r>
          </w:p>
        </w:tc>
        <w:tc>
          <w:tcPr>
            <w:tcW w:type="dxa" w:w="1584"/>
            <w:shd w:val="clear" w:color="auto" w:fill="FFFFFF"/>
          </w:tcPr>
          <w:p>
            <w:r>
              <w:rPr>
                <w:color w:val="222233"/>
                <w:sz w:val="19"/>
              </w:rPr>
              <w:t>35% (créditos possíveis)</w:t>
            </w:r>
          </w:p>
        </w:tc>
        <w:tc>
          <w:tcPr>
            <w:tcW w:type="dxa" w:w="1008"/>
            <w:shd w:val="clear" w:color="auto" w:fill="FFFFFF"/>
          </w:tcPr>
          <w:p>
            <w:r>
              <w:rPr>
                <w:color w:val="222233"/>
                <w:sz w:val="19"/>
              </w:rPr>
              <w:t>★★★☆☆</w:t>
            </w:r>
          </w:p>
        </w:tc>
      </w:tr>
      <w:tr>
        <w:tc>
          <w:tcPr>
            <w:tcW w:type="dxa" w:w="1440"/>
            <w:shd w:val="clear" w:color="auto" w:fill="EAF4FF"/>
          </w:tcPr>
          <w:p>
            <w:r>
              <w:rPr>
                <w:color w:val="222233"/>
                <w:sz w:val="19"/>
              </w:rPr>
              <w:t>Singapura</w:t>
            </w:r>
          </w:p>
        </w:tc>
        <w:tc>
          <w:tcPr>
            <w:tcW w:type="dxa" w:w="2592"/>
            <w:shd w:val="clear" w:color="auto" w:fill="EAF4FF"/>
          </w:tcPr>
          <w:p>
            <w:r>
              <w:rPr>
                <w:color w:val="222233"/>
                <w:sz w:val="19"/>
              </w:rPr>
              <w:t>MAS — Monetary Authority of Singapore</w:t>
            </w:r>
          </w:p>
        </w:tc>
        <w:tc>
          <w:tcPr>
            <w:tcW w:type="dxa" w:w="2160"/>
            <w:shd w:val="clear" w:color="auto" w:fill="EAF4FF"/>
          </w:tcPr>
          <w:p>
            <w:r>
              <w:rPr>
                <w:color w:val="222233"/>
                <w:sz w:val="19"/>
              </w:rPr>
              <w:t>Major Payment Institution</w:t>
            </w:r>
          </w:p>
        </w:tc>
        <w:tc>
          <w:tcPr>
            <w:tcW w:type="dxa" w:w="1296"/>
            <w:shd w:val="clear" w:color="auto" w:fill="EAF4FF"/>
          </w:tcPr>
          <w:p>
            <w:r>
              <w:rPr>
                <w:color w:val="222233"/>
                <w:sz w:val="19"/>
              </w:rPr>
              <w:t>SGD 250k</w:t>
            </w:r>
          </w:p>
        </w:tc>
        <w:tc>
          <w:tcPr>
            <w:tcW w:type="dxa" w:w="1584"/>
            <w:shd w:val="clear" w:color="auto" w:fill="EAF4FF"/>
          </w:tcPr>
          <w:p>
            <w:r>
              <w:rPr>
                <w:color w:val="222233"/>
                <w:sz w:val="19"/>
              </w:rPr>
              <w:t>17% IR corp (territorial)</w:t>
            </w:r>
          </w:p>
        </w:tc>
        <w:tc>
          <w:tcPr>
            <w:tcW w:type="dxa" w:w="1008"/>
            <w:shd w:val="clear" w:color="auto" w:fill="EAF4FF"/>
          </w:tcPr>
          <w:p>
            <w:r>
              <w:rPr>
                <w:color w:val="222233"/>
                <w:sz w:val="19"/>
              </w:rPr>
              <w:t>★★★★☆</w:t>
            </w:r>
          </w:p>
        </w:tc>
      </w:tr>
      <w:tr>
        <w:tc>
          <w:tcPr>
            <w:tcW w:type="dxa" w:w="1440"/>
            <w:shd w:val="clear" w:color="auto" w:fill="FFFFFF"/>
          </w:tcPr>
          <w:p>
            <w:r>
              <w:rPr>
                <w:color w:val="222233"/>
                <w:sz w:val="19"/>
              </w:rPr>
              <w:t>El Salvador</w:t>
            </w:r>
          </w:p>
        </w:tc>
        <w:tc>
          <w:tcPr>
            <w:tcW w:type="dxa" w:w="2592"/>
            <w:shd w:val="clear" w:color="auto" w:fill="FFFFFF"/>
          </w:tcPr>
          <w:p>
            <w:r>
              <w:rPr>
                <w:color w:val="222233"/>
                <w:sz w:val="19"/>
              </w:rPr>
              <w:t>BCR — Banco Central de Reserva</w:t>
            </w:r>
          </w:p>
        </w:tc>
        <w:tc>
          <w:tcPr>
            <w:tcW w:type="dxa" w:w="2160"/>
            <w:shd w:val="clear" w:color="auto" w:fill="FFFFFF"/>
          </w:tcPr>
          <w:p>
            <w:r>
              <w:rPr>
                <w:color w:val="222233"/>
                <w:sz w:val="19"/>
              </w:rPr>
              <w:t>Digital Asset Service Provider</w:t>
            </w:r>
          </w:p>
        </w:tc>
        <w:tc>
          <w:tcPr>
            <w:tcW w:type="dxa" w:w="1296"/>
            <w:shd w:val="clear" w:color="auto" w:fill="FFFFFF"/>
          </w:tcPr>
          <w:p>
            <w:r>
              <w:rPr>
                <w:color w:val="222233"/>
                <w:sz w:val="19"/>
              </w:rPr>
              <w:t>USD 50k</w:t>
            </w:r>
          </w:p>
        </w:tc>
        <w:tc>
          <w:tcPr>
            <w:tcW w:type="dxa" w:w="1584"/>
            <w:shd w:val="clear" w:color="auto" w:fill="FFFFFF"/>
          </w:tcPr>
          <w:p>
            <w:r>
              <w:rPr>
                <w:color w:val="222233"/>
                <w:sz w:val="19"/>
              </w:rPr>
              <w:t>0% crypto gains</w:t>
            </w:r>
          </w:p>
        </w:tc>
        <w:tc>
          <w:tcPr>
            <w:tcW w:type="dxa" w:w="1008"/>
            <w:shd w:val="clear" w:color="auto" w:fill="FFFFFF"/>
          </w:tcPr>
          <w:p>
            <w:r>
              <w:rPr>
                <w:color w:val="222233"/>
                <w:sz w:val="19"/>
              </w:rPr>
              <w:t>★★★☆☆</w:t>
            </w:r>
          </w:p>
        </w:tc>
      </w:tr>
    </w:tbl>
    <w:p/>
    <w:p>
      <w:pPr>
        <w:spacing w:after="120" w:before="40"/>
      </w:pPr>
      <w:r>
        <w:rPr>
          <w:b/>
          <w:i w:val="0"/>
          <w:color w:val="222233"/>
          <w:sz w:val="21"/>
        </w:rPr>
        <w:t>RECOMENDAÇÃO: Dubai DIFC ou ADGM como jurisdição primária, com estrutura holding em Cayman para segregação patrimonial. Dubai oferece a combinação única de regulação reconhecida internacionalmente (padrão FATF), acesso a investidores do Golfo/Ásia, tributação zero e infraestrutura bancária de ponta para fintechs.</w:t>
      </w:r>
    </w:p>
    <w:p>
      <w:pPr>
        <w:spacing w:before="160" w:after="120"/>
      </w:pPr>
      <w:r>
        <w:rPr>
          <w:b/>
          <w:color w:val="F5A623"/>
          <w:sz w:val="28"/>
        </w:rPr>
        <w:t>3.2 Infraestrutura de Cartão — Subadquirência Internacional</w:t>
      </w:r>
    </w:p>
    <w:p>
      <w:pPr>
        <w:spacing w:after="120" w:before="40"/>
      </w:pPr>
      <w:r>
        <w:rPr>
          <w:b w:val="0"/>
          <w:i w:val="0"/>
          <w:color w:val="444455"/>
          <w:sz w:val="21"/>
        </w:rPr>
        <w:t>Para a emissão do cartão pré-pago que materializa o crédito do Usuário, o NEXUS utiliza a infraestrutura de BIN Sponsorship e stablecoin-to-fiat já disponível no mercado global. Os principais parceiros avaliados são:</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728"/>
            <w:shd w:val="clear" w:color="auto" w:fill="0A2040"/>
          </w:tcPr>
          <w:p>
            <w:pPr>
              <w:jc w:val="center"/>
            </w:pPr>
            <w:r>
              <w:rPr>
                <w:b/>
                <w:color w:val="FFFFFF"/>
                <w:sz w:val="20"/>
              </w:rPr>
              <w:t>Parceiro</w:t>
            </w:r>
          </w:p>
        </w:tc>
        <w:tc>
          <w:tcPr>
            <w:tcW w:type="dxa" w:w="1584"/>
            <w:shd w:val="clear" w:color="auto" w:fill="0A2040"/>
          </w:tcPr>
          <w:p>
            <w:pPr>
              <w:jc w:val="center"/>
            </w:pPr>
            <w:r>
              <w:rPr>
                <w:b/>
                <w:color w:val="FFFFFF"/>
                <w:sz w:val="20"/>
              </w:rPr>
              <w:t>Tipo</w:t>
            </w:r>
          </w:p>
        </w:tc>
        <w:tc>
          <w:tcPr>
            <w:tcW w:type="dxa" w:w="1440"/>
            <w:shd w:val="clear" w:color="auto" w:fill="0A2040"/>
          </w:tcPr>
          <w:p>
            <w:pPr>
              <w:jc w:val="center"/>
            </w:pPr>
            <w:r>
              <w:rPr>
                <w:b/>
                <w:color w:val="FFFFFF"/>
                <w:sz w:val="20"/>
              </w:rPr>
              <w:t>Bandeiras</w:t>
            </w:r>
          </w:p>
        </w:tc>
        <w:tc>
          <w:tcPr>
            <w:tcW w:type="dxa" w:w="1872"/>
            <w:shd w:val="clear" w:color="auto" w:fill="0A2040"/>
          </w:tcPr>
          <w:p>
            <w:pPr>
              <w:jc w:val="center"/>
            </w:pPr>
            <w:r>
              <w:rPr>
                <w:b/>
                <w:color w:val="FFFFFF"/>
                <w:sz w:val="20"/>
              </w:rPr>
              <w:t>Moedas Suportadas</w:t>
            </w:r>
          </w:p>
        </w:tc>
        <w:tc>
          <w:tcPr>
            <w:tcW w:type="dxa" w:w="1584"/>
            <w:shd w:val="clear" w:color="auto" w:fill="0A2040"/>
          </w:tcPr>
          <w:p>
            <w:pPr>
              <w:jc w:val="center"/>
            </w:pPr>
            <w:r>
              <w:rPr>
                <w:b/>
                <w:color w:val="FFFFFF"/>
                <w:sz w:val="20"/>
              </w:rPr>
              <w:t>Cobertura Brasil</w:t>
            </w:r>
          </w:p>
        </w:tc>
        <w:tc>
          <w:tcPr>
            <w:tcW w:type="dxa" w:w="2448"/>
            <w:shd w:val="clear" w:color="auto" w:fill="0A2040"/>
          </w:tcPr>
          <w:p>
            <w:pPr>
              <w:jc w:val="center"/>
            </w:pPr>
            <w:r>
              <w:rPr>
                <w:b/>
                <w:color w:val="FFFFFF"/>
                <w:sz w:val="20"/>
              </w:rPr>
              <w:t>Modelo</w:t>
            </w:r>
          </w:p>
        </w:tc>
      </w:tr>
      <w:tr>
        <w:tc>
          <w:tcPr>
            <w:tcW w:type="dxa" w:w="1728"/>
            <w:shd w:val="clear" w:color="auto" w:fill="FFFFFF"/>
          </w:tcPr>
          <w:p>
            <w:r>
              <w:rPr>
                <w:color w:val="222233"/>
                <w:sz w:val="19"/>
              </w:rPr>
              <w:t>Rain (rain.xyz)</w:t>
            </w:r>
          </w:p>
        </w:tc>
        <w:tc>
          <w:tcPr>
            <w:tcW w:type="dxa" w:w="1584"/>
            <w:shd w:val="clear" w:color="auto" w:fill="FFFFFF"/>
          </w:tcPr>
          <w:p>
            <w:r>
              <w:rPr>
                <w:color w:val="222233"/>
                <w:sz w:val="19"/>
              </w:rPr>
              <w:t>Full-stack issuer</w:t>
            </w:r>
          </w:p>
        </w:tc>
        <w:tc>
          <w:tcPr>
            <w:tcW w:type="dxa" w:w="1440"/>
            <w:shd w:val="clear" w:color="auto" w:fill="FFFFFF"/>
          </w:tcPr>
          <w:p>
            <w:r>
              <w:rPr>
                <w:color w:val="222233"/>
                <w:sz w:val="19"/>
              </w:rPr>
              <w:t>Visa</w:t>
            </w:r>
          </w:p>
        </w:tc>
        <w:tc>
          <w:tcPr>
            <w:tcW w:type="dxa" w:w="1872"/>
            <w:shd w:val="clear" w:color="auto" w:fill="FFFFFF"/>
          </w:tcPr>
          <w:p>
            <w:r>
              <w:rPr>
                <w:color w:val="222233"/>
                <w:sz w:val="19"/>
              </w:rPr>
              <w:t>USDC, USDT, USDB</w:t>
            </w:r>
          </w:p>
        </w:tc>
        <w:tc>
          <w:tcPr>
            <w:tcW w:type="dxa" w:w="1584"/>
            <w:shd w:val="clear" w:color="auto" w:fill="FFFFFF"/>
          </w:tcPr>
          <w:p>
            <w:r>
              <w:rPr>
                <w:color w:val="222233"/>
                <w:sz w:val="19"/>
              </w:rPr>
              <w:t>Sim (via parceiro local)</w:t>
            </w:r>
          </w:p>
        </w:tc>
        <w:tc>
          <w:tcPr>
            <w:tcW w:type="dxa" w:w="2448"/>
            <w:shd w:val="clear" w:color="auto" w:fill="FFFFFF"/>
          </w:tcPr>
          <w:p>
            <w:r>
              <w:rPr>
                <w:color w:val="222233"/>
                <w:sz w:val="19"/>
              </w:rPr>
              <w:t>BIN Sponsor + on-ramp fiat</w:t>
            </w:r>
          </w:p>
        </w:tc>
      </w:tr>
      <w:tr>
        <w:tc>
          <w:tcPr>
            <w:tcW w:type="dxa" w:w="1728"/>
            <w:shd w:val="clear" w:color="auto" w:fill="EAF4FF"/>
          </w:tcPr>
          <w:p>
            <w:r>
              <w:rPr>
                <w:color w:val="222233"/>
                <w:sz w:val="19"/>
              </w:rPr>
              <w:t>Gnosis Pay</w:t>
            </w:r>
          </w:p>
        </w:tc>
        <w:tc>
          <w:tcPr>
            <w:tcW w:type="dxa" w:w="1584"/>
            <w:shd w:val="clear" w:color="auto" w:fill="EAF4FF"/>
          </w:tcPr>
          <w:p>
            <w:r>
              <w:rPr>
                <w:color w:val="222233"/>
                <w:sz w:val="19"/>
              </w:rPr>
              <w:t>Self-custodial card</w:t>
            </w:r>
          </w:p>
        </w:tc>
        <w:tc>
          <w:tcPr>
            <w:tcW w:type="dxa" w:w="1440"/>
            <w:shd w:val="clear" w:color="auto" w:fill="EAF4FF"/>
          </w:tcPr>
          <w:p>
            <w:r>
              <w:rPr>
                <w:color w:val="222233"/>
                <w:sz w:val="19"/>
              </w:rPr>
              <w:t>Visa</w:t>
            </w:r>
          </w:p>
        </w:tc>
        <w:tc>
          <w:tcPr>
            <w:tcW w:type="dxa" w:w="1872"/>
            <w:shd w:val="clear" w:color="auto" w:fill="EAF4FF"/>
          </w:tcPr>
          <w:p>
            <w:r>
              <w:rPr>
                <w:color w:val="222233"/>
                <w:sz w:val="19"/>
              </w:rPr>
              <w:t>EURe, USDC</w:t>
            </w:r>
          </w:p>
        </w:tc>
        <w:tc>
          <w:tcPr>
            <w:tcW w:type="dxa" w:w="1584"/>
            <w:shd w:val="clear" w:color="auto" w:fill="EAF4FF"/>
          </w:tcPr>
          <w:p>
            <w:r>
              <w:rPr>
                <w:color w:val="222233"/>
                <w:sz w:val="19"/>
              </w:rPr>
              <w:t>Em expansão</w:t>
            </w:r>
          </w:p>
        </w:tc>
        <w:tc>
          <w:tcPr>
            <w:tcW w:type="dxa" w:w="2448"/>
            <w:shd w:val="clear" w:color="auto" w:fill="EAF4FF"/>
          </w:tcPr>
          <w:p>
            <w:r>
              <w:rPr>
                <w:color w:val="222233"/>
                <w:sz w:val="19"/>
              </w:rPr>
              <w:t>Smart contract wallet → Visa</w:t>
            </w:r>
          </w:p>
        </w:tc>
      </w:tr>
      <w:tr>
        <w:tc>
          <w:tcPr>
            <w:tcW w:type="dxa" w:w="1728"/>
            <w:shd w:val="clear" w:color="auto" w:fill="FFFFFF"/>
          </w:tcPr>
          <w:p>
            <w:r>
              <w:rPr>
                <w:color w:val="222233"/>
                <w:sz w:val="19"/>
              </w:rPr>
              <w:t>Reap</w:t>
            </w:r>
          </w:p>
        </w:tc>
        <w:tc>
          <w:tcPr>
            <w:tcW w:type="dxa" w:w="1584"/>
            <w:shd w:val="clear" w:color="auto" w:fill="FFFFFF"/>
          </w:tcPr>
          <w:p>
            <w:r>
              <w:rPr>
                <w:color w:val="222233"/>
                <w:sz w:val="19"/>
              </w:rPr>
              <w:t>Card-as-a-Service</w:t>
            </w:r>
          </w:p>
        </w:tc>
        <w:tc>
          <w:tcPr>
            <w:tcW w:type="dxa" w:w="1440"/>
            <w:shd w:val="clear" w:color="auto" w:fill="FFFFFF"/>
          </w:tcPr>
          <w:p>
            <w:r>
              <w:rPr>
                <w:color w:val="222233"/>
                <w:sz w:val="19"/>
              </w:rPr>
              <w:t>Visa/Mastercard</w:t>
            </w:r>
          </w:p>
        </w:tc>
        <w:tc>
          <w:tcPr>
            <w:tcW w:type="dxa" w:w="1872"/>
            <w:shd w:val="clear" w:color="auto" w:fill="FFFFFF"/>
          </w:tcPr>
          <w:p>
            <w:r>
              <w:rPr>
                <w:color w:val="222233"/>
                <w:sz w:val="19"/>
              </w:rPr>
              <w:t>Multi-stablecoin</w:t>
            </w:r>
          </w:p>
        </w:tc>
        <w:tc>
          <w:tcPr>
            <w:tcW w:type="dxa" w:w="1584"/>
            <w:shd w:val="clear" w:color="auto" w:fill="FFFFFF"/>
          </w:tcPr>
          <w:p>
            <w:r>
              <w:rPr>
                <w:color w:val="222233"/>
                <w:sz w:val="19"/>
              </w:rPr>
              <w:t>API disponível</w:t>
            </w:r>
          </w:p>
        </w:tc>
        <w:tc>
          <w:tcPr>
            <w:tcW w:type="dxa" w:w="2448"/>
            <w:shd w:val="clear" w:color="auto" w:fill="FFFFFF"/>
          </w:tcPr>
          <w:p>
            <w:r>
              <w:rPr>
                <w:color w:val="222233"/>
                <w:sz w:val="19"/>
              </w:rPr>
              <w:t>White-label B2B</w:t>
            </w:r>
          </w:p>
        </w:tc>
      </w:tr>
      <w:tr>
        <w:tc>
          <w:tcPr>
            <w:tcW w:type="dxa" w:w="1728"/>
            <w:shd w:val="clear" w:color="auto" w:fill="EAF4FF"/>
          </w:tcPr>
          <w:p>
            <w:r>
              <w:rPr>
                <w:color w:val="222233"/>
                <w:sz w:val="19"/>
              </w:rPr>
              <w:t>Baanx</w:t>
            </w:r>
          </w:p>
        </w:tc>
        <w:tc>
          <w:tcPr>
            <w:tcW w:type="dxa" w:w="1584"/>
            <w:shd w:val="clear" w:color="auto" w:fill="EAF4FF"/>
          </w:tcPr>
          <w:p>
            <w:r>
              <w:rPr>
                <w:color w:val="222233"/>
                <w:sz w:val="19"/>
              </w:rPr>
              <w:t>Card platform</w:t>
            </w:r>
          </w:p>
        </w:tc>
        <w:tc>
          <w:tcPr>
            <w:tcW w:type="dxa" w:w="1440"/>
            <w:shd w:val="clear" w:color="auto" w:fill="EAF4FF"/>
          </w:tcPr>
          <w:p>
            <w:r>
              <w:rPr>
                <w:color w:val="222233"/>
                <w:sz w:val="19"/>
              </w:rPr>
              <w:t>Visa/Mastercard</w:t>
            </w:r>
          </w:p>
        </w:tc>
        <w:tc>
          <w:tcPr>
            <w:tcW w:type="dxa" w:w="1872"/>
            <w:shd w:val="clear" w:color="auto" w:fill="EAF4FF"/>
          </w:tcPr>
          <w:p>
            <w:r>
              <w:rPr>
                <w:color w:val="222233"/>
                <w:sz w:val="19"/>
              </w:rPr>
              <w:t>USDT, USDC, BTC</w:t>
            </w:r>
          </w:p>
        </w:tc>
        <w:tc>
          <w:tcPr>
            <w:tcW w:type="dxa" w:w="1584"/>
            <w:shd w:val="clear" w:color="auto" w:fill="EAF4FF"/>
          </w:tcPr>
          <w:p>
            <w:r>
              <w:rPr>
                <w:color w:val="222233"/>
                <w:sz w:val="19"/>
              </w:rPr>
              <w:t>Verificar</w:t>
            </w:r>
          </w:p>
        </w:tc>
        <w:tc>
          <w:tcPr>
            <w:tcW w:type="dxa" w:w="2448"/>
            <w:shd w:val="clear" w:color="auto" w:fill="EAF4FF"/>
          </w:tcPr>
          <w:p>
            <w:r>
              <w:rPr>
                <w:color w:val="222233"/>
                <w:sz w:val="19"/>
              </w:rPr>
              <w:t>Embeddable card SDK</w:t>
            </w:r>
          </w:p>
        </w:tc>
      </w:tr>
      <w:tr>
        <w:tc>
          <w:tcPr>
            <w:tcW w:type="dxa" w:w="1728"/>
            <w:shd w:val="clear" w:color="auto" w:fill="FFFFFF"/>
          </w:tcPr>
          <w:p>
            <w:r>
              <w:rPr>
                <w:color w:val="222233"/>
                <w:sz w:val="19"/>
              </w:rPr>
              <w:t>Transfero (Brazil)</w:t>
            </w:r>
          </w:p>
        </w:tc>
        <w:tc>
          <w:tcPr>
            <w:tcW w:type="dxa" w:w="1584"/>
            <w:shd w:val="clear" w:color="auto" w:fill="FFFFFF"/>
          </w:tcPr>
          <w:p>
            <w:r>
              <w:rPr>
                <w:color w:val="222233"/>
                <w:sz w:val="19"/>
              </w:rPr>
              <w:t>BRL on/off ramp</w:t>
            </w:r>
          </w:p>
        </w:tc>
        <w:tc>
          <w:tcPr>
            <w:tcW w:type="dxa" w:w="1440"/>
            <w:shd w:val="clear" w:color="auto" w:fill="FFFFFF"/>
          </w:tcPr>
          <w:p>
            <w:r>
              <w:rPr>
                <w:color w:val="222233"/>
                <w:sz w:val="19"/>
              </w:rPr>
              <w:t>Mastercard</w:t>
            </w:r>
          </w:p>
        </w:tc>
        <w:tc>
          <w:tcPr>
            <w:tcW w:type="dxa" w:w="1872"/>
            <w:shd w:val="clear" w:color="auto" w:fill="FFFFFF"/>
          </w:tcPr>
          <w:p>
            <w:r>
              <w:rPr>
                <w:color w:val="222233"/>
                <w:sz w:val="19"/>
              </w:rPr>
              <w:t>USDT→BRL</w:t>
            </w:r>
          </w:p>
        </w:tc>
        <w:tc>
          <w:tcPr>
            <w:tcW w:type="dxa" w:w="1584"/>
            <w:shd w:val="clear" w:color="auto" w:fill="FFFFFF"/>
          </w:tcPr>
          <w:p>
            <w:r>
              <w:rPr>
                <w:color w:val="222233"/>
                <w:sz w:val="19"/>
              </w:rPr>
              <w:t>Sim (local)</w:t>
            </w:r>
          </w:p>
        </w:tc>
        <w:tc>
          <w:tcPr>
            <w:tcW w:type="dxa" w:w="2448"/>
            <w:shd w:val="clear" w:color="auto" w:fill="FFFFFF"/>
          </w:tcPr>
          <w:p>
            <w:r>
              <w:rPr>
                <w:color w:val="222233"/>
                <w:sz w:val="19"/>
              </w:rPr>
              <w:t>Licença BC + câmbio crypto</w:t>
            </w:r>
          </w:p>
        </w:tc>
      </w:tr>
      <w:tr>
        <w:tc>
          <w:tcPr>
            <w:tcW w:type="dxa" w:w="1728"/>
            <w:shd w:val="clear" w:color="auto" w:fill="EAF4FF"/>
          </w:tcPr>
          <w:p>
            <w:r>
              <w:rPr>
                <w:color w:val="222233"/>
                <w:sz w:val="19"/>
              </w:rPr>
              <w:t>BS2 Bank</w:t>
            </w:r>
          </w:p>
        </w:tc>
        <w:tc>
          <w:tcPr>
            <w:tcW w:type="dxa" w:w="1584"/>
            <w:shd w:val="clear" w:color="auto" w:fill="EAF4FF"/>
          </w:tcPr>
          <w:p>
            <w:r>
              <w:rPr>
                <w:color w:val="222233"/>
                <w:sz w:val="19"/>
              </w:rPr>
              <w:t>Banco parceiro local</w:t>
            </w:r>
          </w:p>
        </w:tc>
        <w:tc>
          <w:tcPr>
            <w:tcW w:type="dxa" w:w="1440"/>
            <w:shd w:val="clear" w:color="auto" w:fill="EAF4FF"/>
          </w:tcPr>
          <w:p>
            <w:r>
              <w:rPr>
                <w:color w:val="222233"/>
                <w:sz w:val="19"/>
              </w:rPr>
              <w:t>Visa/Mastercard</w:t>
            </w:r>
          </w:p>
        </w:tc>
        <w:tc>
          <w:tcPr>
            <w:tcW w:type="dxa" w:w="1872"/>
            <w:shd w:val="clear" w:color="auto" w:fill="EAF4FF"/>
          </w:tcPr>
          <w:p>
            <w:r>
              <w:rPr>
                <w:color w:val="222233"/>
                <w:sz w:val="19"/>
              </w:rPr>
              <w:t>BRL (fiat)</w:t>
            </w:r>
          </w:p>
        </w:tc>
        <w:tc>
          <w:tcPr>
            <w:tcW w:type="dxa" w:w="1584"/>
            <w:shd w:val="clear" w:color="auto" w:fill="EAF4FF"/>
          </w:tcPr>
          <w:p>
            <w:r>
              <w:rPr>
                <w:color w:val="222233"/>
                <w:sz w:val="19"/>
              </w:rPr>
              <w:t>Sim (completo)</w:t>
            </w:r>
          </w:p>
        </w:tc>
        <w:tc>
          <w:tcPr>
            <w:tcW w:type="dxa" w:w="2448"/>
            <w:shd w:val="clear" w:color="auto" w:fill="EAF4FF"/>
          </w:tcPr>
          <w:p>
            <w:r>
              <w:rPr>
                <w:color w:val="222233"/>
                <w:sz w:val="19"/>
              </w:rPr>
              <w:t>Subadquirente + BIN emissor</w:t>
            </w:r>
          </w:p>
        </w:tc>
      </w:tr>
    </w:tbl>
    <w:p/>
    <w:p>
      <w:pPr>
        <w:spacing w:after="120" w:before="40"/>
      </w:pPr>
      <w:r>
        <w:rPr>
          <w:b w:val="0"/>
          <w:i w:val="0"/>
          <w:color w:val="444455"/>
          <w:sz w:val="21"/>
        </w:rPr>
        <w:t>ESTRATÉGIA RECOMENDADA: Parceria primária com Rain ou Reap para infraestrutura de stablecoin-to-card no nível SPE Exchange + Transfero ou BS2 como parceiro local de câmbio e emissão BRL. Esta estrutura dual separa a camada crypto (offshore) da camada fiat (onshore), mantendo a SPE Exchange como ponto de controle.</w:t>
      </w:r>
    </w:p>
    <w:p>
      <w:r>
        <w:br w:type="page"/>
      </w:r>
    </w:p>
    <w:p>
      <w:pPr>
        <w:spacing w:before="280" w:after="120"/>
      </w:pPr>
      <w:r>
        <w:rPr>
          <w:b/>
          <w:color w:val="00B4D8"/>
          <w:sz w:val="36"/>
        </w:rPr>
        <w:t>4. NÚCLEO TECNOLÓGICO — MACRO HASH &amp; AGENTIC AI</w:t>
      </w:r>
    </w:p>
    <w:p>
      <w:pPr>
        <w:spacing w:before="80" w:after="80"/>
        <w:pBdr>
          <w:bottom w:val="single" w:sz="6" w:space="1" w:color="00B4D8"/>
        </w:pBdr>
      </w:pPr>
    </w:p>
    <w:p>
      <w:pPr>
        <w:spacing w:after="120" w:before="40"/>
      </w:pPr>
      <w:r>
        <w:rPr>
          <w:b w:val="0"/>
          <w:i w:val="0"/>
          <w:color w:val="444455"/>
          <w:sz w:val="21"/>
        </w:rPr>
        <w:t>O MACRO HASH é o sistema nervoso central da plataforma. Cada operação — do crédito de um único centavo ao portfólio agregado — possui uma identidade rastreável no ledger da SPE Exchange. O motor AGENTIC AI distribui créditos, executa repagamentos e atualiza os estados dos blocos em tempo real.</w:t>
      </w:r>
    </w:p>
    <w:p>
      <w:pPr>
        <w:spacing w:before="160" w:after="120"/>
      </w:pPr>
      <w:r>
        <w:rPr>
          <w:b/>
          <w:color w:val="F5A623"/>
          <w:sz w:val="28"/>
        </w:rPr>
        <w:t>4.1 Hierarquia de Hashes</w:t>
      </w:r>
    </w:p>
    <w:tbl>
      <w:tblPr>
        <w:tblW w:type="auto" w:w="0"/>
        <w:jc w:val="center"/>
        <w:tblLook w:firstColumn="1" w:firstRow="1" w:lastColumn="0" w:lastRow="0" w:noHBand="0" w:noVBand="1" w:val="04A0"/>
      </w:tblPr>
      <w:tblGrid>
        <w:gridCol w:w="9746"/>
      </w:tblGrid>
      <w:tr>
        <w:tc>
          <w:tcPr>
            <w:tcW w:type="dxa" w:w="9746"/>
            <w:shd w:val="clear" w:color="auto" w:fill="0D1B2A"/>
          </w:tcPr>
          <w:p/>
          <w:p>
            <w:pPr>
              <w:spacing w:before="120"/>
            </w:pPr>
            <w:r>
              <w:rPr>
                <w:b/>
                <w:color w:val="F5A623"/>
                <w:sz w:val="22"/>
              </w:rPr>
              <w:t>ESTRUTURA HIERÁRQUICA DO LEDGER</w:t>
            </w:r>
          </w:p>
          <w:p>
            <w:pPr>
              <w:spacing w:after="40"/>
            </w:pPr>
            <w:r>
              <w:rPr>
                <w:color w:val="CCDDEE"/>
                <w:sz w:val="21"/>
              </w:rPr>
              <w:t>PLATFORM HASH        → Hash global de toda a operação da plataforma</w:t>
            </w:r>
          </w:p>
          <w:p>
            <w:pPr>
              <w:spacing w:after="40"/>
            </w:pPr>
            <w:r>
              <w:rPr>
                <w:color w:val="CCDDEE"/>
                <w:sz w:val="21"/>
              </w:rPr>
              <w:t xml:space="preserve">   └── INVESTOR HASH    → Hash único por Aplicante (portfólio agregado)</w:t>
            </w:r>
          </w:p>
          <w:p>
            <w:pPr>
              <w:spacing w:after="40"/>
            </w:pPr>
            <w:r>
              <w:rPr>
                <w:color w:val="CCDDEE"/>
                <w:sz w:val="21"/>
              </w:rPr>
              <w:t xml:space="preserve">         └── PORTFOLIO HASH  → Hash por carteira/composição escolhida</w:t>
            </w:r>
          </w:p>
          <w:p>
            <w:pPr>
              <w:spacing w:after="40"/>
            </w:pPr>
            <w:r>
              <w:rPr>
                <w:color w:val="CCDDEE"/>
                <w:sz w:val="21"/>
              </w:rPr>
              <w:t xml:space="preserve">               └── MICRO HASH    → Hash de cada microcrédito em cada Usuário</w:t>
            </w:r>
          </w:p>
          <w:p>
            <w:pPr>
              <w:spacing w:after="40"/>
            </w:pPr>
            <w:r>
              <w:rPr>
                <w:color w:val="CCDDEE"/>
                <w:sz w:val="21"/>
              </w:rPr>
              <w:t xml:space="preserve">                     └── BLOCK STATE  → DEPLOYED | ACTIVE | IDLE | REPAID | DEFAULT | RENEGOTIATED</w:t>
            </w:r>
          </w:p>
          <w:p>
            <w:pPr>
              <w:spacing w:after="120"/>
            </w:pPr>
          </w:p>
        </w:tc>
      </w:tr>
    </w:tbl>
    <w:p/>
    <w:p>
      <w:pPr>
        <w:spacing w:before="160" w:after="120"/>
      </w:pPr>
      <w:r>
        <w:rPr>
          <w:b/>
          <w:color w:val="F5A623"/>
          <w:sz w:val="28"/>
        </w:rPr>
        <w:t>4.2 Motor AGENTIC AI — Distribuição de Blocos</w:t>
      </w:r>
    </w:p>
    <w:p>
      <w:pPr>
        <w:spacing w:after="120" w:before="40"/>
      </w:pPr>
      <w:r>
        <w:rPr>
          <w:b w:val="0"/>
          <w:i w:val="0"/>
          <w:color w:val="444455"/>
          <w:sz w:val="21"/>
        </w:rPr>
        <w:t>No momento em que o Usuário realiza uma compra com o cartão, o Motor AGENTIC AI executa os seguintes passos em tempo real (latência alvo &lt; 200ms):</w:t>
      </w:r>
    </w:p>
    <w:p>
      <w:pPr>
        <w:pStyle w:val="ListBullet"/>
        <w:spacing w:after="60"/>
      </w:pPr>
      <w:r>
        <w:rPr>
          <w:color w:val="444455"/>
          <w:sz w:val="21"/>
        </w:rPr>
        <w:t>Identifica o bloco de microcrédito disponível de maior prioridade na carteira do Usuário (FIFO por data de alocação)</w:t>
      </w:r>
    </w:p>
    <w:p>
      <w:pPr>
        <w:pStyle w:val="ListBullet"/>
        <w:spacing w:after="60"/>
      </w:pPr>
      <w:r>
        <w:rPr>
          <w:color w:val="444455"/>
          <w:sz w:val="21"/>
        </w:rPr>
        <w:t>Debita o valor da transação do(s) bloco(s) correspondente(s)</w:t>
      </w:r>
    </w:p>
    <w:p>
      <w:pPr>
        <w:pStyle w:val="ListBullet"/>
        <w:spacing w:after="60"/>
      </w:pPr>
      <w:r>
        <w:rPr>
          <w:color w:val="444455"/>
          <w:sz w:val="21"/>
        </w:rPr>
        <w:t>Atualiza o estado do bloco para ACTIVE_USE no hash do Aplicante correspondente</w:t>
      </w:r>
    </w:p>
    <w:p>
      <w:pPr>
        <w:pStyle w:val="ListBullet"/>
        <w:spacing w:after="60"/>
      </w:pPr>
      <w:r>
        <w:rPr>
          <w:color w:val="444455"/>
          <w:sz w:val="21"/>
        </w:rPr>
        <w:t>Gera notificação push ao Aplicante mostrando utilização percentual do portfólio</w:t>
      </w:r>
    </w:p>
    <w:p>
      <w:pPr>
        <w:pStyle w:val="ListBullet"/>
        <w:spacing w:after="60"/>
      </w:pPr>
      <w:r>
        <w:rPr>
          <w:color w:val="444455"/>
          <w:sz w:val="21"/>
        </w:rPr>
        <w:t>Registra o MCC da transação para análise de vertical e scoring de comportamento</w:t>
      </w:r>
    </w:p>
    <w:p>
      <w:pPr>
        <w:pStyle w:val="ListBullet"/>
        <w:spacing w:after="60"/>
      </w:pPr>
      <w:r>
        <w:rPr>
          <w:color w:val="444455"/>
          <w:sz w:val="21"/>
        </w:rPr>
        <w:t>Alimenta o dashboard 360° do BOARD com o evento em tempo real</w:t>
      </w:r>
    </w:p>
    <w:p>
      <w:pPr>
        <w:spacing w:before="160" w:after="120"/>
      </w:pPr>
      <w:r>
        <w:rPr>
          <w:b/>
          <w:color w:val="F5A623"/>
          <w:sz w:val="28"/>
        </w:rPr>
        <w:t>4.3 Dashboard do Aplicante — Métricas e Visualizações</w:t>
      </w:r>
    </w:p>
    <w:p>
      <w:pPr>
        <w:spacing w:after="120" w:before="40"/>
      </w:pPr>
      <w:r>
        <w:rPr>
          <w:b w:val="0"/>
          <w:i w:val="0"/>
          <w:color w:val="444455"/>
          <w:sz w:val="21"/>
        </w:rPr>
        <w:t>O painel do Aplicante é inspirado em dashboards de cripto-ativos e plataformas de investimento sofisticadas (Maple Finance, Nexo, Trading View). As métricas disponíveis são:</w:t>
      </w:r>
    </w:p>
    <w:tbl>
      <w:tblPr>
        <w:tblStyle w:val="TableGrid"/>
        <w:tblW w:type="auto" w:w="0"/>
        <w:jc w:val="center"/>
        <w:tblLook w:firstColumn="1" w:firstRow="1" w:lastColumn="0" w:lastRow="0" w:noHBand="0" w:noVBand="1" w:val="04A0"/>
      </w:tblPr>
      <w:tblGrid>
        <w:gridCol w:w="3249"/>
        <w:gridCol w:w="3249"/>
        <w:gridCol w:w="3249"/>
      </w:tblGrid>
      <w:tr>
        <w:tc>
          <w:tcPr>
            <w:tcW w:type="dxa" w:w="1872"/>
            <w:shd w:val="clear" w:color="auto" w:fill="0A2040"/>
          </w:tcPr>
          <w:p>
            <w:pPr>
              <w:jc w:val="center"/>
            </w:pPr>
            <w:r>
              <w:rPr>
                <w:b/>
                <w:color w:val="FFFFFF"/>
                <w:sz w:val="20"/>
              </w:rPr>
              <w:t>Módulo</w:t>
            </w:r>
          </w:p>
        </w:tc>
        <w:tc>
          <w:tcPr>
            <w:tcW w:type="dxa" w:w="5184"/>
            <w:shd w:val="clear" w:color="auto" w:fill="0A2040"/>
          </w:tcPr>
          <w:p>
            <w:pPr>
              <w:jc w:val="center"/>
            </w:pPr>
            <w:r>
              <w:rPr>
                <w:b/>
                <w:color w:val="FFFFFF"/>
                <w:sz w:val="20"/>
              </w:rPr>
              <w:t>Métricas Exibidas</w:t>
            </w:r>
          </w:p>
        </w:tc>
        <w:tc>
          <w:tcPr>
            <w:tcW w:type="dxa" w:w="1872"/>
            <w:shd w:val="clear" w:color="auto" w:fill="0A2040"/>
          </w:tcPr>
          <w:p>
            <w:pPr>
              <w:jc w:val="center"/>
            </w:pPr>
            <w:r>
              <w:rPr>
                <w:b/>
                <w:color w:val="FFFFFF"/>
                <w:sz w:val="20"/>
              </w:rPr>
              <w:t>Granularidade</w:t>
            </w:r>
          </w:p>
        </w:tc>
      </w:tr>
      <w:tr>
        <w:tc>
          <w:tcPr>
            <w:tcW w:type="dxa" w:w="1872"/>
            <w:shd w:val="clear" w:color="auto" w:fill="FFFFFF"/>
          </w:tcPr>
          <w:p>
            <w:r>
              <w:rPr>
                <w:color w:val="222233"/>
                <w:sz w:val="19"/>
              </w:rPr>
              <w:t>Visão Geral</w:t>
            </w:r>
          </w:p>
        </w:tc>
        <w:tc>
          <w:tcPr>
            <w:tcW w:type="dxa" w:w="5184"/>
            <w:shd w:val="clear" w:color="auto" w:fill="FFFFFF"/>
          </w:tcPr>
          <w:p>
            <w:r>
              <w:rPr>
                <w:color w:val="222233"/>
                <w:sz w:val="19"/>
              </w:rPr>
              <w:t>Capital total aplicado | Capital em uso | Capital ocioso | Rendimento acumulado | Projeção de retorno 12/24/36m</w:t>
            </w:r>
          </w:p>
        </w:tc>
        <w:tc>
          <w:tcPr>
            <w:tcW w:type="dxa" w:w="1872"/>
            <w:shd w:val="clear" w:color="auto" w:fill="FFFFFF"/>
          </w:tcPr>
          <w:p>
            <w:r>
              <w:rPr>
                <w:color w:val="222233"/>
                <w:sz w:val="19"/>
              </w:rPr>
              <w:t>Tempo real</w:t>
            </w:r>
          </w:p>
        </w:tc>
      </w:tr>
      <w:tr>
        <w:tc>
          <w:tcPr>
            <w:tcW w:type="dxa" w:w="1872"/>
            <w:shd w:val="clear" w:color="auto" w:fill="EAF4FF"/>
          </w:tcPr>
          <w:p>
            <w:r>
              <w:rPr>
                <w:color w:val="222233"/>
                <w:sz w:val="19"/>
              </w:rPr>
              <w:t>Por Portfólio</w:t>
            </w:r>
          </w:p>
        </w:tc>
        <w:tc>
          <w:tcPr>
            <w:tcW w:type="dxa" w:w="5184"/>
            <w:shd w:val="clear" w:color="auto" w:fill="EAF4FF"/>
          </w:tcPr>
          <w:p>
            <w:r>
              <w:rPr>
                <w:color w:val="222233"/>
                <w:sz w:val="19"/>
              </w:rPr>
              <w:t>Hash do portfólio | % por vertical | # usuários ativos | Taxa de uso média | Inadimplência %</w:t>
            </w:r>
          </w:p>
        </w:tc>
        <w:tc>
          <w:tcPr>
            <w:tcW w:type="dxa" w:w="1872"/>
            <w:shd w:val="clear" w:color="auto" w:fill="EAF4FF"/>
          </w:tcPr>
          <w:p>
            <w:r>
              <w:rPr>
                <w:color w:val="222233"/>
                <w:sz w:val="19"/>
              </w:rPr>
              <w:t>Diário</w:t>
            </w:r>
          </w:p>
        </w:tc>
      </w:tr>
      <w:tr>
        <w:tc>
          <w:tcPr>
            <w:tcW w:type="dxa" w:w="1872"/>
            <w:shd w:val="clear" w:color="auto" w:fill="FFFFFF"/>
          </w:tcPr>
          <w:p>
            <w:r>
              <w:rPr>
                <w:color w:val="222233"/>
                <w:sz w:val="19"/>
              </w:rPr>
              <w:t>Por Micro-Bloco</w:t>
            </w:r>
          </w:p>
        </w:tc>
        <w:tc>
          <w:tcPr>
            <w:tcW w:type="dxa" w:w="5184"/>
            <w:shd w:val="clear" w:color="auto" w:fill="FFFFFF"/>
          </w:tcPr>
          <w:p>
            <w:r>
              <w:rPr>
                <w:color w:val="222233"/>
                <w:sz w:val="19"/>
              </w:rPr>
              <w:t>Hash do bloco | Usuário (ID anônimo) | Estado atual | Histórico de uso | Dias até vencimento</w:t>
            </w:r>
          </w:p>
        </w:tc>
        <w:tc>
          <w:tcPr>
            <w:tcW w:type="dxa" w:w="1872"/>
            <w:shd w:val="clear" w:color="auto" w:fill="FFFFFF"/>
          </w:tcPr>
          <w:p>
            <w:r>
              <w:rPr>
                <w:color w:val="222233"/>
                <w:sz w:val="19"/>
              </w:rPr>
              <w:t>Por transação</w:t>
            </w:r>
          </w:p>
        </w:tc>
      </w:tr>
      <w:tr>
        <w:tc>
          <w:tcPr>
            <w:tcW w:type="dxa" w:w="1872"/>
            <w:shd w:val="clear" w:color="auto" w:fill="EAF4FF"/>
          </w:tcPr>
          <w:p>
            <w:r>
              <w:rPr>
                <w:color w:val="222233"/>
                <w:sz w:val="19"/>
              </w:rPr>
              <w:t>Gerente de Contas</w:t>
            </w:r>
          </w:p>
        </w:tc>
        <w:tc>
          <w:tcPr>
            <w:tcW w:type="dxa" w:w="5184"/>
            <w:shd w:val="clear" w:color="auto" w:fill="EAF4FF"/>
          </w:tcPr>
          <w:p>
            <w:r>
              <w:rPr>
                <w:color w:val="222233"/>
                <w:sz w:val="19"/>
              </w:rPr>
              <w:t>Nome e contato do Gerente responsável | Carteira sob gestão | NPS do gerente | Solicitação de reunião</w:t>
            </w:r>
          </w:p>
        </w:tc>
        <w:tc>
          <w:tcPr>
            <w:tcW w:type="dxa" w:w="1872"/>
            <w:shd w:val="clear" w:color="auto" w:fill="EAF4FF"/>
          </w:tcPr>
          <w:p>
            <w:r>
              <w:rPr>
                <w:color w:val="222233"/>
                <w:sz w:val="19"/>
              </w:rPr>
              <w:t>Ao vivo</w:t>
            </w:r>
          </w:p>
        </w:tc>
      </w:tr>
      <w:tr>
        <w:tc>
          <w:tcPr>
            <w:tcW w:type="dxa" w:w="1872"/>
            <w:shd w:val="clear" w:color="auto" w:fill="FFFFFF"/>
          </w:tcPr>
          <w:p>
            <w:r>
              <w:rPr>
                <w:color w:val="222233"/>
                <w:sz w:val="19"/>
              </w:rPr>
              <w:t>Forecast</w:t>
            </w:r>
          </w:p>
        </w:tc>
        <w:tc>
          <w:tcPr>
            <w:tcW w:type="dxa" w:w="5184"/>
            <w:shd w:val="clear" w:color="auto" w:fill="FFFFFF"/>
          </w:tcPr>
          <w:p>
            <w:r>
              <w:rPr>
                <w:color w:val="222233"/>
                <w:sz w:val="19"/>
              </w:rPr>
              <w:t>Simulador de reinvestimento | Curva de rendimento composto | Stress test de inadimplência</w:t>
            </w:r>
          </w:p>
        </w:tc>
        <w:tc>
          <w:tcPr>
            <w:tcW w:type="dxa" w:w="1872"/>
            <w:shd w:val="clear" w:color="auto" w:fill="FFFFFF"/>
          </w:tcPr>
          <w:p>
            <w:r>
              <w:rPr>
                <w:color w:val="222233"/>
                <w:sz w:val="19"/>
              </w:rPr>
              <w:t>Sob demanda</w:t>
            </w:r>
          </w:p>
        </w:tc>
      </w:tr>
      <w:tr>
        <w:tc>
          <w:tcPr>
            <w:tcW w:type="dxa" w:w="1872"/>
            <w:shd w:val="clear" w:color="auto" w:fill="EAF4FF"/>
          </w:tcPr>
          <w:p>
            <w:r>
              <w:rPr>
                <w:color w:val="222233"/>
                <w:sz w:val="19"/>
              </w:rPr>
              <w:t>Relatórios</w:t>
            </w:r>
          </w:p>
        </w:tc>
        <w:tc>
          <w:tcPr>
            <w:tcW w:type="dxa" w:w="5184"/>
            <w:shd w:val="clear" w:color="auto" w:fill="EAF4FF"/>
          </w:tcPr>
          <w:p>
            <w:r>
              <w:rPr>
                <w:color w:val="222233"/>
                <w:sz w:val="19"/>
              </w:rPr>
              <w:t>Extrato PDF/Excel | Informe de rendimentos | DARF automático | Relatório FATCA (para estrangeiros)</w:t>
            </w:r>
          </w:p>
        </w:tc>
        <w:tc>
          <w:tcPr>
            <w:tcW w:type="dxa" w:w="1872"/>
            <w:shd w:val="clear" w:color="auto" w:fill="EAF4FF"/>
          </w:tcPr>
          <w:p>
            <w:r>
              <w:rPr>
                <w:color w:val="222233"/>
                <w:sz w:val="19"/>
              </w:rPr>
              <w:t>Mensal/Anual</w:t>
            </w:r>
          </w:p>
        </w:tc>
      </w:tr>
    </w:tbl>
    <w:p/>
    <w:p>
      <w:r>
        <w:br w:type="page"/>
      </w:r>
    </w:p>
    <w:p>
      <w:pPr>
        <w:spacing w:before="280" w:after="120"/>
      </w:pPr>
      <w:r>
        <w:rPr>
          <w:b/>
          <w:color w:val="00B4D8"/>
          <w:sz w:val="36"/>
        </w:rPr>
        <w:t>5. ESTRUTURA COMERCIAL E EQUIPE DE CAMPO</w:t>
      </w:r>
    </w:p>
    <w:p>
      <w:pPr>
        <w:spacing w:before="80" w:after="80"/>
        <w:pBdr>
          <w:bottom w:val="single" w:sz="6" w:space="1" w:color="00B4D8"/>
        </w:pBdr>
      </w:pPr>
    </w:p>
    <w:p>
      <w:pPr>
        <w:spacing w:after="120" w:before="40"/>
      </w:pPr>
      <w:r>
        <w:rPr>
          <w:b w:val="0"/>
          <w:i w:val="0"/>
          <w:color w:val="444455"/>
          <w:sz w:val="21"/>
        </w:rPr>
        <w:t>A rede de Executivos de Contas é o diferencial humano da plataforma frente a modelos puramente digitais. Eles são responsáveis por qualificação de Usuários, credenciamento de merchants e expansão da base territorial.</w:t>
      </w:r>
    </w:p>
    <w:p>
      <w:pPr>
        <w:spacing w:before="160" w:after="120"/>
      </w:pPr>
      <w:r>
        <w:rPr>
          <w:b/>
          <w:color w:val="F5A623"/>
          <w:sz w:val="28"/>
        </w:rPr>
        <w:t>5.1 Hierarquia Comercial</w:t>
      </w:r>
    </w:p>
    <w:tbl>
      <w:tblPr>
        <w:tblW w:type="auto" w:w="0"/>
        <w:jc w:val="center"/>
        <w:tblLook w:firstColumn="1" w:firstRow="1" w:lastColumn="0" w:lastRow="0" w:noHBand="0" w:noVBand="1" w:val="04A0"/>
      </w:tblPr>
      <w:tblGrid>
        <w:gridCol w:w="9746"/>
      </w:tblGrid>
      <w:tr>
        <w:tc>
          <w:tcPr>
            <w:tcW w:type="dxa" w:w="9746"/>
            <w:shd w:val="clear" w:color="auto" w:fill="0D1B2A"/>
          </w:tcPr>
          <w:p/>
          <w:p>
            <w:pPr>
              <w:spacing w:before="120"/>
            </w:pPr>
            <w:r>
              <w:rPr>
                <w:b/>
                <w:color w:val="F5A623"/>
                <w:sz w:val="22"/>
              </w:rPr>
              <w:t>ESTRUTURA ORGANIZACIONAL DE CAMPO</w:t>
            </w:r>
          </w:p>
          <w:p>
            <w:pPr>
              <w:spacing w:after="40"/>
            </w:pPr>
            <w:r>
              <w:rPr>
                <w:color w:val="CCDDEE"/>
                <w:sz w:val="21"/>
              </w:rPr>
              <w:t>CEO / Diretoria Executiva Nacional</w:t>
            </w:r>
          </w:p>
          <w:p>
            <w:pPr>
              <w:spacing w:after="40"/>
            </w:pPr>
            <w:r>
              <w:rPr>
                <w:color w:val="CCDDEE"/>
                <w:sz w:val="21"/>
              </w:rPr>
              <w:t xml:space="preserve">   └── Diretor de Área (responsável por 5–8 Gerentes de Área)</w:t>
            </w:r>
          </w:p>
          <w:p>
            <w:pPr>
              <w:spacing w:after="40"/>
            </w:pPr>
            <w:r>
              <w:rPr>
                <w:color w:val="CCDDEE"/>
                <w:sz w:val="21"/>
              </w:rPr>
              <w:t xml:space="preserve">         └── Gerente de Área (responsável por 10–15 Executivos Sênior)</w:t>
            </w:r>
          </w:p>
          <w:p>
            <w:pPr>
              <w:spacing w:after="40"/>
            </w:pPr>
            <w:r>
              <w:rPr>
                <w:color w:val="CCDDEE"/>
                <w:sz w:val="21"/>
              </w:rPr>
              <w:t xml:space="preserve">               └── Executivo Sênior (responsável por 500–800 Usuários + 1–2 Executivos Jr.)</w:t>
            </w:r>
          </w:p>
          <w:p>
            <w:pPr>
              <w:spacing w:after="40"/>
            </w:pPr>
            <w:r>
              <w:rPr>
                <w:color w:val="CCDDEE"/>
                <w:sz w:val="21"/>
              </w:rPr>
              <w:t xml:space="preserve">                     └── Executivo Júnior (suporte ao Sênior, 200–300 Usuários)</w:t>
            </w:r>
          </w:p>
          <w:p>
            <w:pPr>
              <w:spacing w:after="40"/>
            </w:pPr>
            <w:r>
              <w:rPr>
                <w:color w:val="CCDDEE"/>
                <w:sz w:val="21"/>
              </w:rPr>
              <w:t xml:space="preserve">                           └── Assistente Executivo (1 para cada 500 Usuários na base)</w:t>
            </w:r>
          </w:p>
          <w:p>
            <w:pPr>
              <w:spacing w:after="120"/>
            </w:pPr>
          </w:p>
        </w:tc>
      </w:tr>
    </w:tbl>
    <w:p/>
    <w:p>
      <w:pPr>
        <w:spacing w:before="160" w:after="120"/>
      </w:pPr>
      <w:r>
        <w:rPr>
          <w:b/>
          <w:color w:val="F5A623"/>
          <w:sz w:val="28"/>
        </w:rPr>
        <w:t>5.2 Tabela de Remuneração — Executivos e Assistentes</w:t>
      </w:r>
    </w:p>
    <w:p>
      <w:pPr>
        <w:spacing w:after="120" w:before="40"/>
      </w:pPr>
      <w:r>
        <w:rPr>
          <w:b w:val="0"/>
          <w:i w:val="0"/>
          <w:color w:val="444455"/>
          <w:sz w:val="21"/>
        </w:rPr>
        <w:t>O modelo de remuneração combina salário-base competitivo com variável atrelado ao volume de crédito ativo na base de responsabilidade. Parâmetro: benchmarks bancários (Bradesco, Itaú, Nubank) + fintechs de crédito (Creditas, Biva, C6 Bank).</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016"/>
            <w:shd w:val="clear" w:color="auto" w:fill="0D1B2A"/>
          </w:tcPr>
          <w:p>
            <w:pPr>
              <w:jc w:val="center"/>
            </w:pPr>
            <w:r>
              <w:rPr>
                <w:b/>
                <w:color w:val="FFFFFF"/>
                <w:sz w:val="20"/>
              </w:rPr>
              <w:t>Posição</w:t>
            </w:r>
          </w:p>
        </w:tc>
        <w:tc>
          <w:tcPr>
            <w:tcW w:type="dxa" w:w="1296"/>
            <w:shd w:val="clear" w:color="auto" w:fill="0D1B2A"/>
          </w:tcPr>
          <w:p>
            <w:pPr>
              <w:jc w:val="center"/>
            </w:pPr>
            <w:r>
              <w:rPr>
                <w:b/>
                <w:color w:val="FFFFFF"/>
                <w:sz w:val="20"/>
              </w:rPr>
              <w:t>Salário Base</w:t>
            </w:r>
          </w:p>
        </w:tc>
        <w:tc>
          <w:tcPr>
            <w:tcW w:type="dxa" w:w="2592"/>
            <w:shd w:val="clear" w:color="auto" w:fill="0D1B2A"/>
          </w:tcPr>
          <w:p>
            <w:pPr>
              <w:jc w:val="center"/>
            </w:pPr>
            <w:r>
              <w:rPr>
                <w:b/>
                <w:color w:val="FFFFFF"/>
                <w:sz w:val="20"/>
              </w:rPr>
              <w:t>Comissão MDR (3%)</w:t>
            </w:r>
          </w:p>
        </w:tc>
        <w:tc>
          <w:tcPr>
            <w:tcW w:type="dxa" w:w="1584"/>
            <w:shd w:val="clear" w:color="auto" w:fill="0D1B2A"/>
          </w:tcPr>
          <w:p>
            <w:pPr>
              <w:jc w:val="center"/>
            </w:pPr>
            <w:r>
              <w:rPr>
                <w:b/>
                <w:color w:val="FFFFFF"/>
                <w:sz w:val="20"/>
              </w:rPr>
              <w:t>Bônus Adimpl. 95%+</w:t>
            </w:r>
          </w:p>
        </w:tc>
        <w:tc>
          <w:tcPr>
            <w:tcW w:type="dxa" w:w="2160"/>
            <w:shd w:val="clear" w:color="auto" w:fill="0D1B2A"/>
          </w:tcPr>
          <w:p>
            <w:pPr>
              <w:jc w:val="center"/>
            </w:pPr>
            <w:r>
              <w:rPr>
                <w:b/>
                <w:color w:val="FFFFFF"/>
                <w:sz w:val="20"/>
              </w:rPr>
              <w:t>Total Estimado/Mês</w:t>
            </w:r>
          </w:p>
        </w:tc>
        <w:tc>
          <w:tcPr>
            <w:tcW w:type="dxa" w:w="1008"/>
            <w:shd w:val="clear" w:color="auto" w:fill="0D1B2A"/>
          </w:tcPr>
          <w:p>
            <w:pPr>
              <w:jc w:val="center"/>
            </w:pPr>
            <w:r>
              <w:rPr>
                <w:b/>
                <w:color w:val="FFFFFF"/>
                <w:sz w:val="20"/>
              </w:rPr>
              <w:t>CLT/PJ</w:t>
            </w:r>
          </w:p>
        </w:tc>
      </w:tr>
      <w:tr>
        <w:tc>
          <w:tcPr>
            <w:tcW w:type="dxa" w:w="2016"/>
            <w:shd w:val="clear" w:color="auto" w:fill="FFFFFF"/>
          </w:tcPr>
          <w:p>
            <w:r>
              <w:rPr>
                <w:color w:val="222233"/>
                <w:sz w:val="19"/>
              </w:rPr>
              <w:t>Assistente Exec.</w:t>
            </w:r>
          </w:p>
        </w:tc>
        <w:tc>
          <w:tcPr>
            <w:tcW w:type="dxa" w:w="1296"/>
            <w:shd w:val="clear" w:color="auto" w:fill="FFFFFF"/>
          </w:tcPr>
          <w:p>
            <w:r>
              <w:rPr>
                <w:color w:val="222233"/>
                <w:sz w:val="19"/>
              </w:rPr>
              <w:t>R$ 2.200</w:t>
            </w:r>
          </w:p>
        </w:tc>
        <w:tc>
          <w:tcPr>
            <w:tcW w:type="dxa" w:w="2592"/>
            <w:shd w:val="clear" w:color="auto" w:fill="FFFFFF"/>
          </w:tcPr>
          <w:p>
            <w:r>
              <w:rPr>
                <w:color w:val="222233"/>
                <w:sz w:val="19"/>
              </w:rPr>
              <w:t>0,05% do volume base (500 usr)</w:t>
            </w:r>
          </w:p>
        </w:tc>
        <w:tc>
          <w:tcPr>
            <w:tcW w:type="dxa" w:w="1584"/>
            <w:shd w:val="clear" w:color="auto" w:fill="FFFFFF"/>
          </w:tcPr>
          <w:p>
            <w:r>
              <w:rPr>
                <w:color w:val="222233"/>
                <w:sz w:val="19"/>
              </w:rPr>
              <w:t>R$ 300</w:t>
            </w:r>
          </w:p>
        </w:tc>
        <w:tc>
          <w:tcPr>
            <w:tcW w:type="dxa" w:w="2160"/>
            <w:shd w:val="clear" w:color="auto" w:fill="FFFFFF"/>
          </w:tcPr>
          <w:p>
            <w:r>
              <w:rPr>
                <w:color w:val="222233"/>
                <w:sz w:val="19"/>
              </w:rPr>
              <w:t>R$ 2.800–R$ 3.500</w:t>
            </w:r>
          </w:p>
        </w:tc>
        <w:tc>
          <w:tcPr>
            <w:tcW w:type="dxa" w:w="1008"/>
            <w:shd w:val="clear" w:color="auto" w:fill="FFFFFF"/>
          </w:tcPr>
          <w:p>
            <w:r>
              <w:rPr>
                <w:color w:val="222233"/>
                <w:sz w:val="19"/>
              </w:rPr>
              <w:t>CLT</w:t>
            </w:r>
          </w:p>
        </w:tc>
      </w:tr>
      <w:tr>
        <w:tc>
          <w:tcPr>
            <w:tcW w:type="dxa" w:w="2016"/>
            <w:shd w:val="clear" w:color="auto" w:fill="EAF4FF"/>
          </w:tcPr>
          <w:p>
            <w:r>
              <w:rPr>
                <w:color w:val="222233"/>
                <w:sz w:val="19"/>
              </w:rPr>
              <w:t>Executivo Júnior</w:t>
            </w:r>
          </w:p>
        </w:tc>
        <w:tc>
          <w:tcPr>
            <w:tcW w:type="dxa" w:w="1296"/>
            <w:shd w:val="clear" w:color="auto" w:fill="EAF4FF"/>
          </w:tcPr>
          <w:p>
            <w:r>
              <w:rPr>
                <w:color w:val="222233"/>
                <w:sz w:val="19"/>
              </w:rPr>
              <w:t>R$ 3.500</w:t>
            </w:r>
          </w:p>
        </w:tc>
        <w:tc>
          <w:tcPr>
            <w:tcW w:type="dxa" w:w="2592"/>
            <w:shd w:val="clear" w:color="auto" w:fill="EAF4FF"/>
          </w:tcPr>
          <w:p>
            <w:r>
              <w:rPr>
                <w:color w:val="222233"/>
                <w:sz w:val="19"/>
              </w:rPr>
              <w:t>0,10% do volume base</w:t>
            </w:r>
          </w:p>
        </w:tc>
        <w:tc>
          <w:tcPr>
            <w:tcW w:type="dxa" w:w="1584"/>
            <w:shd w:val="clear" w:color="auto" w:fill="EAF4FF"/>
          </w:tcPr>
          <w:p>
            <w:r>
              <w:rPr>
                <w:color w:val="222233"/>
                <w:sz w:val="19"/>
              </w:rPr>
              <w:t>R$ 600</w:t>
            </w:r>
          </w:p>
        </w:tc>
        <w:tc>
          <w:tcPr>
            <w:tcW w:type="dxa" w:w="2160"/>
            <w:shd w:val="clear" w:color="auto" w:fill="EAF4FF"/>
          </w:tcPr>
          <w:p>
            <w:r>
              <w:rPr>
                <w:color w:val="222233"/>
                <w:sz w:val="19"/>
              </w:rPr>
              <w:t>R$ 4.500–R$ 6.000</w:t>
            </w:r>
          </w:p>
        </w:tc>
        <w:tc>
          <w:tcPr>
            <w:tcW w:type="dxa" w:w="1008"/>
            <w:shd w:val="clear" w:color="auto" w:fill="EAF4FF"/>
          </w:tcPr>
          <w:p>
            <w:r>
              <w:rPr>
                <w:color w:val="222233"/>
                <w:sz w:val="19"/>
              </w:rPr>
              <w:t>CLT/PJ</w:t>
            </w:r>
          </w:p>
        </w:tc>
      </w:tr>
      <w:tr>
        <w:tc>
          <w:tcPr>
            <w:tcW w:type="dxa" w:w="2016"/>
            <w:shd w:val="clear" w:color="auto" w:fill="FFFFFF"/>
          </w:tcPr>
          <w:p>
            <w:r>
              <w:rPr>
                <w:color w:val="222233"/>
                <w:sz w:val="19"/>
              </w:rPr>
              <w:t>Executivo Sênior</w:t>
            </w:r>
          </w:p>
        </w:tc>
        <w:tc>
          <w:tcPr>
            <w:tcW w:type="dxa" w:w="1296"/>
            <w:shd w:val="clear" w:color="auto" w:fill="FFFFFF"/>
          </w:tcPr>
          <w:p>
            <w:r>
              <w:rPr>
                <w:color w:val="222233"/>
                <w:sz w:val="19"/>
              </w:rPr>
              <w:t>R$ 5.500</w:t>
            </w:r>
          </w:p>
        </w:tc>
        <w:tc>
          <w:tcPr>
            <w:tcW w:type="dxa" w:w="2592"/>
            <w:shd w:val="clear" w:color="auto" w:fill="FFFFFF"/>
          </w:tcPr>
          <w:p>
            <w:r>
              <w:rPr>
                <w:color w:val="222233"/>
                <w:sz w:val="19"/>
              </w:rPr>
              <w:t>0,15% do volume base</w:t>
            </w:r>
          </w:p>
        </w:tc>
        <w:tc>
          <w:tcPr>
            <w:tcW w:type="dxa" w:w="1584"/>
            <w:shd w:val="clear" w:color="auto" w:fill="FFFFFF"/>
          </w:tcPr>
          <w:p>
            <w:r>
              <w:rPr>
                <w:color w:val="222233"/>
                <w:sz w:val="19"/>
              </w:rPr>
              <w:t>R$ 1.200</w:t>
            </w:r>
          </w:p>
        </w:tc>
        <w:tc>
          <w:tcPr>
            <w:tcW w:type="dxa" w:w="2160"/>
            <w:shd w:val="clear" w:color="auto" w:fill="FFFFFF"/>
          </w:tcPr>
          <w:p>
            <w:r>
              <w:rPr>
                <w:color w:val="222233"/>
                <w:sz w:val="19"/>
              </w:rPr>
              <w:t>R$ 7.500–R$ 12.000</w:t>
            </w:r>
          </w:p>
        </w:tc>
        <w:tc>
          <w:tcPr>
            <w:tcW w:type="dxa" w:w="1008"/>
            <w:shd w:val="clear" w:color="auto" w:fill="FFFFFF"/>
          </w:tcPr>
          <w:p>
            <w:r>
              <w:rPr>
                <w:color w:val="222233"/>
                <w:sz w:val="19"/>
              </w:rPr>
              <w:t>PJ</w:t>
            </w:r>
          </w:p>
        </w:tc>
      </w:tr>
      <w:tr>
        <w:tc>
          <w:tcPr>
            <w:tcW w:type="dxa" w:w="2016"/>
            <w:shd w:val="clear" w:color="auto" w:fill="EAF4FF"/>
          </w:tcPr>
          <w:p>
            <w:r>
              <w:rPr>
                <w:color w:val="222233"/>
                <w:sz w:val="19"/>
              </w:rPr>
              <w:t>Gerente de Área</w:t>
            </w:r>
          </w:p>
        </w:tc>
        <w:tc>
          <w:tcPr>
            <w:tcW w:type="dxa" w:w="1296"/>
            <w:shd w:val="clear" w:color="auto" w:fill="EAF4FF"/>
          </w:tcPr>
          <w:p>
            <w:r>
              <w:rPr>
                <w:color w:val="222233"/>
                <w:sz w:val="19"/>
              </w:rPr>
              <w:t>R$ 9.000</w:t>
            </w:r>
          </w:p>
        </w:tc>
        <w:tc>
          <w:tcPr>
            <w:tcW w:type="dxa" w:w="2592"/>
            <w:shd w:val="clear" w:color="auto" w:fill="EAF4FF"/>
          </w:tcPr>
          <w:p>
            <w:r>
              <w:rPr>
                <w:color w:val="222233"/>
                <w:sz w:val="19"/>
              </w:rPr>
              <w:t>0,05% do volume total equipe</w:t>
            </w:r>
          </w:p>
        </w:tc>
        <w:tc>
          <w:tcPr>
            <w:tcW w:type="dxa" w:w="1584"/>
            <w:shd w:val="clear" w:color="auto" w:fill="EAF4FF"/>
          </w:tcPr>
          <w:p>
            <w:r>
              <w:rPr>
                <w:color w:val="222233"/>
                <w:sz w:val="19"/>
              </w:rPr>
              <w:t>R$ 2.000</w:t>
            </w:r>
          </w:p>
        </w:tc>
        <w:tc>
          <w:tcPr>
            <w:tcW w:type="dxa" w:w="2160"/>
            <w:shd w:val="clear" w:color="auto" w:fill="EAF4FF"/>
          </w:tcPr>
          <w:p>
            <w:r>
              <w:rPr>
                <w:color w:val="222233"/>
                <w:sz w:val="19"/>
              </w:rPr>
              <w:t>R$ 12.000–R$ 18.000</w:t>
            </w:r>
          </w:p>
        </w:tc>
        <w:tc>
          <w:tcPr>
            <w:tcW w:type="dxa" w:w="1008"/>
            <w:shd w:val="clear" w:color="auto" w:fill="EAF4FF"/>
          </w:tcPr>
          <w:p>
            <w:r>
              <w:rPr>
                <w:color w:val="222233"/>
                <w:sz w:val="19"/>
              </w:rPr>
              <w:t>PJ</w:t>
            </w:r>
          </w:p>
        </w:tc>
      </w:tr>
      <w:tr>
        <w:tc>
          <w:tcPr>
            <w:tcW w:type="dxa" w:w="2016"/>
            <w:shd w:val="clear" w:color="auto" w:fill="FFFFFF"/>
          </w:tcPr>
          <w:p>
            <w:r>
              <w:rPr>
                <w:color w:val="222233"/>
                <w:sz w:val="19"/>
              </w:rPr>
              <w:t>Diretor de Área</w:t>
            </w:r>
          </w:p>
        </w:tc>
        <w:tc>
          <w:tcPr>
            <w:tcW w:type="dxa" w:w="1296"/>
            <w:shd w:val="clear" w:color="auto" w:fill="FFFFFF"/>
          </w:tcPr>
          <w:p>
            <w:r>
              <w:rPr>
                <w:color w:val="222233"/>
                <w:sz w:val="19"/>
              </w:rPr>
              <w:t>R$ 15.000</w:t>
            </w:r>
          </w:p>
        </w:tc>
        <w:tc>
          <w:tcPr>
            <w:tcW w:type="dxa" w:w="2592"/>
            <w:shd w:val="clear" w:color="auto" w:fill="FFFFFF"/>
          </w:tcPr>
          <w:p>
            <w:r>
              <w:rPr>
                <w:color w:val="222233"/>
                <w:sz w:val="19"/>
              </w:rPr>
              <w:t>0,03% do volume total diretoria</w:t>
            </w:r>
          </w:p>
        </w:tc>
        <w:tc>
          <w:tcPr>
            <w:tcW w:type="dxa" w:w="1584"/>
            <w:shd w:val="clear" w:color="auto" w:fill="FFFFFF"/>
          </w:tcPr>
          <w:p>
            <w:r>
              <w:rPr>
                <w:color w:val="222233"/>
                <w:sz w:val="19"/>
              </w:rPr>
              <w:t>R$ 4.000</w:t>
            </w:r>
          </w:p>
        </w:tc>
        <w:tc>
          <w:tcPr>
            <w:tcW w:type="dxa" w:w="2160"/>
            <w:shd w:val="clear" w:color="auto" w:fill="FFFFFF"/>
          </w:tcPr>
          <w:p>
            <w:r>
              <w:rPr>
                <w:color w:val="222233"/>
                <w:sz w:val="19"/>
              </w:rPr>
              <w:t>R$ 22.000–R$ 35.000</w:t>
            </w:r>
          </w:p>
        </w:tc>
        <w:tc>
          <w:tcPr>
            <w:tcW w:type="dxa" w:w="1008"/>
            <w:shd w:val="clear" w:color="auto" w:fill="FFFFFF"/>
          </w:tcPr>
          <w:p>
            <w:r>
              <w:rPr>
                <w:color w:val="222233"/>
                <w:sz w:val="19"/>
              </w:rPr>
              <w:t>PJ</w:t>
            </w:r>
          </w:p>
        </w:tc>
      </w:tr>
      <w:tr>
        <w:tc>
          <w:tcPr>
            <w:tcW w:type="dxa" w:w="2016"/>
            <w:shd w:val="clear" w:color="auto" w:fill="EAF4FF"/>
          </w:tcPr>
          <w:p>
            <w:r>
              <w:rPr>
                <w:color w:val="222233"/>
                <w:sz w:val="19"/>
              </w:rPr>
              <w:t>Diretor Nacional</w:t>
            </w:r>
          </w:p>
        </w:tc>
        <w:tc>
          <w:tcPr>
            <w:tcW w:type="dxa" w:w="1296"/>
            <w:shd w:val="clear" w:color="auto" w:fill="EAF4FF"/>
          </w:tcPr>
          <w:p>
            <w:r>
              <w:rPr>
                <w:color w:val="222233"/>
                <w:sz w:val="19"/>
              </w:rPr>
              <w:t>R$ 25.000</w:t>
            </w:r>
          </w:p>
        </w:tc>
        <w:tc>
          <w:tcPr>
            <w:tcW w:type="dxa" w:w="2592"/>
            <w:shd w:val="clear" w:color="auto" w:fill="EAF4FF"/>
          </w:tcPr>
          <w:p>
            <w:r>
              <w:rPr>
                <w:color w:val="222233"/>
                <w:sz w:val="19"/>
              </w:rPr>
              <w:t>0,01% volume nacional</w:t>
            </w:r>
          </w:p>
        </w:tc>
        <w:tc>
          <w:tcPr>
            <w:tcW w:type="dxa" w:w="1584"/>
            <w:shd w:val="clear" w:color="auto" w:fill="EAF4FF"/>
          </w:tcPr>
          <w:p>
            <w:r>
              <w:rPr>
                <w:color w:val="222233"/>
                <w:sz w:val="19"/>
              </w:rPr>
              <w:t>R$ 8.000</w:t>
            </w:r>
          </w:p>
        </w:tc>
        <w:tc>
          <w:tcPr>
            <w:tcW w:type="dxa" w:w="2160"/>
            <w:shd w:val="clear" w:color="auto" w:fill="EAF4FF"/>
          </w:tcPr>
          <w:p>
            <w:r>
              <w:rPr>
                <w:color w:val="222233"/>
                <w:sz w:val="19"/>
              </w:rPr>
              <w:t>R$ 38.000–R$ 55.000</w:t>
            </w:r>
          </w:p>
        </w:tc>
        <w:tc>
          <w:tcPr>
            <w:tcW w:type="dxa" w:w="1008"/>
            <w:shd w:val="clear" w:color="auto" w:fill="EAF4FF"/>
          </w:tcPr>
          <w:p>
            <w:r>
              <w:rPr>
                <w:color w:val="222233"/>
                <w:sz w:val="19"/>
              </w:rPr>
              <w:t>CLT</w:t>
            </w:r>
          </w:p>
        </w:tc>
      </w:tr>
    </w:tbl>
    <w:p/>
    <w:p>
      <w:pPr>
        <w:spacing w:after="120" w:before="40"/>
      </w:pPr>
      <w:r>
        <w:rPr>
          <w:b w:val="0"/>
          <w:i/>
          <w:color w:val="444455"/>
          <w:sz w:val="19"/>
        </w:rPr>
        <w:t>NOTA: A comissão MDR é calculada sobre o volume de transações dos cartões da base do profissional no período (mensal). O bônus de adimplência é pago quando a taxa de inadimplência da base do profissional fica ≤ 5% no mês.</w:t>
      </w:r>
    </w:p>
    <w:p>
      <w:r>
        <w:br w:type="page"/>
      </w:r>
    </w:p>
    <w:p>
      <w:pPr>
        <w:spacing w:before="280" w:after="120"/>
      </w:pPr>
      <w:r>
        <w:rPr>
          <w:b/>
          <w:color w:val="00B4D8"/>
          <w:sz w:val="36"/>
        </w:rPr>
        <w:t>6. MODELO FINANCEIRO E TRIBUTAÇÃO</w:t>
      </w:r>
    </w:p>
    <w:p>
      <w:pPr>
        <w:spacing w:before="80" w:after="80"/>
        <w:pBdr>
          <w:bottom w:val="single" w:sz="6" w:space="1" w:color="00B4D8"/>
        </w:pBdr>
      </w:pPr>
    </w:p>
    <w:p>
      <w:pPr>
        <w:spacing w:before="160" w:after="120"/>
      </w:pPr>
      <w:r>
        <w:rPr>
          <w:b/>
          <w:color w:val="F5A623"/>
          <w:sz w:val="28"/>
        </w:rPr>
        <w:t>6.1 Receitas da Plataforma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160"/>
            <w:shd w:val="clear" w:color="auto" w:fill="0A2040"/>
          </w:tcPr>
          <w:p>
            <w:pPr>
              <w:jc w:val="center"/>
            </w:pPr>
            <w:r>
              <w:rPr>
                <w:b/>
                <w:color w:val="FFFFFF"/>
                <w:sz w:val="20"/>
              </w:rPr>
              <w:t>Fonte de Receita</w:t>
            </w:r>
          </w:p>
        </w:tc>
        <w:tc>
          <w:tcPr>
            <w:tcW w:type="dxa" w:w="3600"/>
            <w:shd w:val="clear" w:color="auto" w:fill="0A2040"/>
          </w:tcPr>
          <w:p>
            <w:pPr>
              <w:jc w:val="center"/>
            </w:pPr>
            <w:r>
              <w:rPr>
                <w:b/>
                <w:color w:val="FFFFFF"/>
                <w:sz w:val="20"/>
              </w:rPr>
              <w:t>Mecanismo</w:t>
            </w:r>
          </w:p>
        </w:tc>
        <w:tc>
          <w:tcPr>
            <w:tcW w:type="dxa" w:w="1008"/>
            <w:shd w:val="clear" w:color="auto" w:fill="0A2040"/>
          </w:tcPr>
          <w:p>
            <w:pPr>
              <w:jc w:val="center"/>
            </w:pPr>
            <w:r>
              <w:rPr>
                <w:b/>
                <w:color w:val="FFFFFF"/>
                <w:sz w:val="20"/>
              </w:rPr>
              <w:t>Taxa</w:t>
            </w:r>
          </w:p>
        </w:tc>
        <w:tc>
          <w:tcPr>
            <w:tcW w:type="dxa" w:w="3024"/>
            <w:shd w:val="clear" w:color="auto" w:fill="0A2040"/>
          </w:tcPr>
          <w:p>
            <w:pPr>
              <w:jc w:val="center"/>
            </w:pPr>
            <w:r>
              <w:rPr>
                <w:b/>
                <w:color w:val="FFFFFF"/>
                <w:sz w:val="20"/>
              </w:rPr>
              <w:t>Estimativa Mensal (Ano 2)</w:t>
            </w:r>
          </w:p>
        </w:tc>
      </w:tr>
      <w:tr>
        <w:tc>
          <w:tcPr>
            <w:tcW w:type="dxa" w:w="2160"/>
            <w:shd w:val="clear" w:color="auto" w:fill="FFFFFF"/>
          </w:tcPr>
          <w:p>
            <w:r>
              <w:rPr>
                <w:color w:val="222233"/>
                <w:sz w:val="19"/>
              </w:rPr>
              <w:t>MDR Merchant</w:t>
            </w:r>
          </w:p>
        </w:tc>
        <w:tc>
          <w:tcPr>
            <w:tcW w:type="dxa" w:w="3600"/>
            <w:shd w:val="clear" w:color="auto" w:fill="FFFFFF"/>
          </w:tcPr>
          <w:p>
            <w:r>
              <w:rPr>
                <w:color w:val="222233"/>
                <w:sz w:val="19"/>
              </w:rPr>
              <w:t>3% sobre cada transação no cartão do Usuário</w:t>
            </w:r>
          </w:p>
        </w:tc>
        <w:tc>
          <w:tcPr>
            <w:tcW w:type="dxa" w:w="1008"/>
            <w:shd w:val="clear" w:color="auto" w:fill="FFFFFF"/>
          </w:tcPr>
          <w:p>
            <w:r>
              <w:rPr>
                <w:color w:val="222233"/>
                <w:sz w:val="19"/>
              </w:rPr>
              <w:t>3,0%</w:t>
            </w:r>
          </w:p>
        </w:tc>
        <w:tc>
          <w:tcPr>
            <w:tcW w:type="dxa" w:w="3024"/>
            <w:shd w:val="clear" w:color="auto" w:fill="FFFFFF"/>
          </w:tcPr>
          <w:p>
            <w:r>
              <w:rPr>
                <w:color w:val="222233"/>
                <w:sz w:val="19"/>
              </w:rPr>
              <w:t>R$ 2,7M (base 90k cartões × R$ 1.000 uso médio)</w:t>
            </w:r>
          </w:p>
        </w:tc>
      </w:tr>
      <w:tr>
        <w:tc>
          <w:tcPr>
            <w:tcW w:type="dxa" w:w="2160"/>
            <w:shd w:val="clear" w:color="auto" w:fill="EAF4FF"/>
          </w:tcPr>
          <w:p>
            <w:r>
              <w:rPr>
                <w:color w:val="222233"/>
                <w:sz w:val="19"/>
              </w:rPr>
              <w:t>Setup Fee Aplicante</w:t>
            </w:r>
          </w:p>
        </w:tc>
        <w:tc>
          <w:tcPr>
            <w:tcW w:type="dxa" w:w="3600"/>
            <w:shd w:val="clear" w:color="auto" w:fill="EAF4FF"/>
          </w:tcPr>
          <w:p>
            <w:r>
              <w:rPr>
                <w:color w:val="222233"/>
                <w:sz w:val="19"/>
              </w:rPr>
              <w:t>Taxa única de onboarding por portfólio criado</w:t>
            </w:r>
          </w:p>
        </w:tc>
        <w:tc>
          <w:tcPr>
            <w:tcW w:type="dxa" w:w="1008"/>
            <w:shd w:val="clear" w:color="auto" w:fill="EAF4FF"/>
          </w:tcPr>
          <w:p>
            <w:r>
              <w:rPr>
                <w:color w:val="222233"/>
                <w:sz w:val="19"/>
              </w:rPr>
              <w:t>0,5%</w:t>
            </w:r>
          </w:p>
        </w:tc>
        <w:tc>
          <w:tcPr>
            <w:tcW w:type="dxa" w:w="3024"/>
            <w:shd w:val="clear" w:color="auto" w:fill="EAF4FF"/>
          </w:tcPr>
          <w:p>
            <w:r>
              <w:rPr>
                <w:color w:val="222233"/>
                <w:sz w:val="19"/>
              </w:rPr>
              <w:t>R$ 250k (500 Aplicantes × R$ 50k médio)</w:t>
            </w:r>
          </w:p>
        </w:tc>
      </w:tr>
      <w:tr>
        <w:tc>
          <w:tcPr>
            <w:tcW w:type="dxa" w:w="2160"/>
            <w:shd w:val="clear" w:color="auto" w:fill="FFFFFF"/>
          </w:tcPr>
          <w:p>
            <w:r>
              <w:rPr>
                <w:color w:val="222233"/>
                <w:sz w:val="19"/>
              </w:rPr>
              <w:t>Spread de Câmbio</w:t>
            </w:r>
          </w:p>
        </w:tc>
        <w:tc>
          <w:tcPr>
            <w:tcW w:type="dxa" w:w="3600"/>
            <w:shd w:val="clear" w:color="auto" w:fill="FFFFFF"/>
          </w:tcPr>
          <w:p>
            <w:r>
              <w:rPr>
                <w:color w:val="222233"/>
                <w:sz w:val="19"/>
              </w:rPr>
              <w:t>USDT→BRL: spread de 0,5% na conversão</w:t>
            </w:r>
          </w:p>
        </w:tc>
        <w:tc>
          <w:tcPr>
            <w:tcW w:type="dxa" w:w="1008"/>
            <w:shd w:val="clear" w:color="auto" w:fill="FFFFFF"/>
          </w:tcPr>
          <w:p>
            <w:r>
              <w:rPr>
                <w:color w:val="222233"/>
                <w:sz w:val="19"/>
              </w:rPr>
              <w:t>0,5%</w:t>
            </w:r>
          </w:p>
        </w:tc>
        <w:tc>
          <w:tcPr>
            <w:tcW w:type="dxa" w:w="3024"/>
            <w:shd w:val="clear" w:color="auto" w:fill="FFFFFF"/>
          </w:tcPr>
          <w:p>
            <w:r>
              <w:rPr>
                <w:color w:val="222233"/>
                <w:sz w:val="19"/>
              </w:rPr>
              <w:t>R$ 450k (R$ 90M em conversões)</w:t>
            </w:r>
          </w:p>
        </w:tc>
      </w:tr>
      <w:tr>
        <w:tc>
          <w:tcPr>
            <w:tcW w:type="dxa" w:w="2160"/>
            <w:shd w:val="clear" w:color="auto" w:fill="EAF4FF"/>
          </w:tcPr>
          <w:p>
            <w:r>
              <w:rPr>
                <w:color w:val="222233"/>
                <w:sz w:val="19"/>
              </w:rPr>
              <w:t>Taxa de Inadimplência</w:t>
            </w:r>
          </w:p>
        </w:tc>
        <w:tc>
          <w:tcPr>
            <w:tcW w:type="dxa" w:w="3600"/>
            <w:shd w:val="clear" w:color="auto" w:fill="EAF4FF"/>
          </w:tcPr>
          <w:p>
            <w:r>
              <w:rPr>
                <w:color w:val="222233"/>
                <w:sz w:val="19"/>
              </w:rPr>
              <w:t>Cobrança sobre débitos recuperados (success fee)</w:t>
            </w:r>
          </w:p>
        </w:tc>
        <w:tc>
          <w:tcPr>
            <w:tcW w:type="dxa" w:w="1008"/>
            <w:shd w:val="clear" w:color="auto" w:fill="EAF4FF"/>
          </w:tcPr>
          <w:p>
            <w:r>
              <w:rPr>
                <w:color w:val="222233"/>
                <w:sz w:val="19"/>
              </w:rPr>
              <w:t>15%</w:t>
            </w:r>
          </w:p>
        </w:tc>
        <w:tc>
          <w:tcPr>
            <w:tcW w:type="dxa" w:w="3024"/>
            <w:shd w:val="clear" w:color="auto" w:fill="EAF4FF"/>
          </w:tcPr>
          <w:p>
            <w:r>
              <w:rPr>
                <w:color w:val="222233"/>
                <w:sz w:val="19"/>
              </w:rPr>
              <w:t>R$ 180k (sobre recuperação estimada)</w:t>
            </w:r>
          </w:p>
        </w:tc>
      </w:tr>
      <w:tr>
        <w:tc>
          <w:tcPr>
            <w:tcW w:type="dxa" w:w="2160"/>
            <w:shd w:val="clear" w:color="auto" w:fill="FFFFFF"/>
          </w:tcPr>
          <w:p>
            <w:r>
              <w:rPr>
                <w:color w:val="222233"/>
                <w:sz w:val="19"/>
              </w:rPr>
              <w:t>Fee Contábil ODOO</w:t>
            </w:r>
          </w:p>
        </w:tc>
        <w:tc>
          <w:tcPr>
            <w:tcW w:type="dxa" w:w="3600"/>
            <w:shd w:val="clear" w:color="auto" w:fill="FFFFFF"/>
          </w:tcPr>
          <w:p>
            <w:r>
              <w:rPr>
                <w:color w:val="222233"/>
                <w:sz w:val="19"/>
              </w:rPr>
              <w:t>Licença SaaS do módulo contábil por Aplicante</w:t>
            </w:r>
          </w:p>
        </w:tc>
        <w:tc>
          <w:tcPr>
            <w:tcW w:type="dxa" w:w="1008"/>
            <w:shd w:val="clear" w:color="auto" w:fill="FFFFFF"/>
          </w:tcPr>
          <w:p>
            <w:r>
              <w:rPr>
                <w:color w:val="222233"/>
                <w:sz w:val="19"/>
              </w:rPr>
              <w:t>Fixo</w:t>
            </w:r>
          </w:p>
        </w:tc>
        <w:tc>
          <w:tcPr>
            <w:tcW w:type="dxa" w:w="3024"/>
            <w:shd w:val="clear" w:color="auto" w:fill="FFFFFF"/>
          </w:tcPr>
          <w:p>
            <w:r>
              <w:rPr>
                <w:color w:val="222233"/>
                <w:sz w:val="19"/>
              </w:rPr>
              <w:t>R$ 150k (R$ 300/Aplicante/mês)</w:t>
            </w:r>
          </w:p>
        </w:tc>
      </w:tr>
    </w:tbl>
    <w:p/>
    <w:p>
      <w:pPr>
        <w:spacing w:before="160" w:after="120"/>
      </w:pPr>
      <w:r>
        <w:rPr>
          <w:b/>
          <w:color w:val="F5A623"/>
          <w:sz w:val="28"/>
        </w:rPr>
        <w:t>6.2 Estrutura de Custos Operacionais (Ano 2)</w:t>
      </w:r>
    </w:p>
    <w:tbl>
      <w:tblPr>
        <w:tblStyle w:val="TableGrid"/>
        <w:tblW w:type="auto" w:w="0"/>
        <w:jc w:val="center"/>
        <w:tblLook w:firstColumn="1" w:firstRow="1" w:lastColumn="0" w:lastRow="0" w:noHBand="0" w:noVBand="1" w:val="04A0"/>
      </w:tblPr>
      <w:tblGrid>
        <w:gridCol w:w="3249"/>
        <w:gridCol w:w="3249"/>
        <w:gridCol w:w="3249"/>
      </w:tblGrid>
      <w:tr>
        <w:tc>
          <w:tcPr>
            <w:tcW w:type="dxa" w:w="2304"/>
            <w:shd w:val="clear" w:color="auto" w:fill="0D1B2A"/>
          </w:tcPr>
          <w:p>
            <w:pPr>
              <w:jc w:val="center"/>
            </w:pPr>
            <w:r>
              <w:rPr>
                <w:b/>
                <w:color w:val="FFFFFF"/>
                <w:sz w:val="20"/>
              </w:rPr>
              <w:t>Centro de Custo</w:t>
            </w:r>
          </w:p>
        </w:tc>
        <w:tc>
          <w:tcPr>
            <w:tcW w:type="dxa" w:w="4896"/>
            <w:shd w:val="clear" w:color="auto" w:fill="0D1B2A"/>
          </w:tcPr>
          <w:p>
            <w:pPr>
              <w:jc w:val="center"/>
            </w:pPr>
            <w:r>
              <w:rPr>
                <w:b/>
                <w:color w:val="FFFFFF"/>
                <w:sz w:val="20"/>
              </w:rPr>
              <w:t>Descrição</w:t>
            </w:r>
          </w:p>
        </w:tc>
        <w:tc>
          <w:tcPr>
            <w:tcW w:type="dxa" w:w="1872"/>
            <w:shd w:val="clear" w:color="auto" w:fill="0D1B2A"/>
          </w:tcPr>
          <w:p>
            <w:pPr>
              <w:jc w:val="center"/>
            </w:pPr>
            <w:r>
              <w:rPr>
                <w:b/>
                <w:color w:val="FFFFFF"/>
                <w:sz w:val="20"/>
              </w:rPr>
              <w:t>Estimativa Mensal</w:t>
            </w:r>
          </w:p>
        </w:tc>
      </w:tr>
      <w:tr>
        <w:tc>
          <w:tcPr>
            <w:tcW w:type="dxa" w:w="2304"/>
            <w:shd w:val="clear" w:color="auto" w:fill="FFFFFF"/>
          </w:tcPr>
          <w:p>
            <w:r>
              <w:rPr>
                <w:color w:val="222233"/>
                <w:sz w:val="19"/>
              </w:rPr>
              <w:t>Pessoal de Campo</w:t>
            </w:r>
          </w:p>
        </w:tc>
        <w:tc>
          <w:tcPr>
            <w:tcW w:type="dxa" w:w="4896"/>
            <w:shd w:val="clear" w:color="auto" w:fill="FFFFFF"/>
          </w:tcPr>
          <w:p>
            <w:r>
              <w:rPr>
                <w:color w:val="222233"/>
                <w:sz w:val="19"/>
              </w:rPr>
              <w:t>500 Executivos/Assistentes (média R$ 5k/mês)</w:t>
            </w:r>
          </w:p>
        </w:tc>
        <w:tc>
          <w:tcPr>
            <w:tcW w:type="dxa" w:w="1872"/>
            <w:shd w:val="clear" w:color="auto" w:fill="FFFFFF"/>
          </w:tcPr>
          <w:p>
            <w:r>
              <w:rPr>
                <w:color w:val="222233"/>
                <w:sz w:val="19"/>
              </w:rPr>
              <w:t>R$ 2.500.000</w:t>
            </w:r>
          </w:p>
        </w:tc>
      </w:tr>
      <w:tr>
        <w:tc>
          <w:tcPr>
            <w:tcW w:type="dxa" w:w="2304"/>
            <w:shd w:val="clear" w:color="auto" w:fill="EAF4FF"/>
          </w:tcPr>
          <w:p>
            <w:r>
              <w:rPr>
                <w:color w:val="222233"/>
                <w:sz w:val="19"/>
              </w:rPr>
              <w:t>Pessoal HQ</w:t>
            </w:r>
          </w:p>
        </w:tc>
        <w:tc>
          <w:tcPr>
            <w:tcW w:type="dxa" w:w="4896"/>
            <w:shd w:val="clear" w:color="auto" w:fill="EAF4FF"/>
          </w:tcPr>
          <w:p>
            <w:r>
              <w:rPr>
                <w:color w:val="222233"/>
                <w:sz w:val="19"/>
              </w:rPr>
              <w:t>TI, Jurídico, Financeiro, RH, Compliance, Marketing</w:t>
            </w:r>
          </w:p>
        </w:tc>
        <w:tc>
          <w:tcPr>
            <w:tcW w:type="dxa" w:w="1872"/>
            <w:shd w:val="clear" w:color="auto" w:fill="EAF4FF"/>
          </w:tcPr>
          <w:p>
            <w:r>
              <w:rPr>
                <w:color w:val="222233"/>
                <w:sz w:val="19"/>
              </w:rPr>
              <w:t>R$ 1.200.000</w:t>
            </w:r>
          </w:p>
        </w:tc>
      </w:tr>
      <w:tr>
        <w:tc>
          <w:tcPr>
            <w:tcW w:type="dxa" w:w="2304"/>
            <w:shd w:val="clear" w:color="auto" w:fill="FFFFFF"/>
          </w:tcPr>
          <w:p>
            <w:r>
              <w:rPr>
                <w:color w:val="222233"/>
                <w:sz w:val="19"/>
              </w:rPr>
              <w:t>Infraestrutura Tech</w:t>
            </w:r>
          </w:p>
        </w:tc>
        <w:tc>
          <w:tcPr>
            <w:tcW w:type="dxa" w:w="4896"/>
            <w:shd w:val="clear" w:color="auto" w:fill="FFFFFF"/>
          </w:tcPr>
          <w:p>
            <w:r>
              <w:rPr>
                <w:color w:val="222233"/>
                <w:sz w:val="19"/>
              </w:rPr>
              <w:t>Cloud (AWS/GCP), Blockchain nodes, APIs bancárias</w:t>
            </w:r>
          </w:p>
        </w:tc>
        <w:tc>
          <w:tcPr>
            <w:tcW w:type="dxa" w:w="1872"/>
            <w:shd w:val="clear" w:color="auto" w:fill="FFFFFF"/>
          </w:tcPr>
          <w:p>
            <w:r>
              <w:rPr>
                <w:color w:val="222233"/>
                <w:sz w:val="19"/>
              </w:rPr>
              <w:t>R$ 350.000</w:t>
            </w:r>
          </w:p>
        </w:tc>
      </w:tr>
      <w:tr>
        <w:tc>
          <w:tcPr>
            <w:tcW w:type="dxa" w:w="2304"/>
            <w:shd w:val="clear" w:color="auto" w:fill="EAF4FF"/>
          </w:tcPr>
          <w:p>
            <w:r>
              <w:rPr>
                <w:color w:val="222233"/>
                <w:sz w:val="19"/>
              </w:rPr>
              <w:t>Marketing &amp; Aquisição</w:t>
            </w:r>
          </w:p>
        </w:tc>
        <w:tc>
          <w:tcPr>
            <w:tcW w:type="dxa" w:w="4896"/>
            <w:shd w:val="clear" w:color="auto" w:fill="EAF4FF"/>
          </w:tcPr>
          <w:p>
            <w:r>
              <w:rPr>
                <w:color w:val="222233"/>
                <w:sz w:val="19"/>
              </w:rPr>
              <w:t>CAC Usuários + CAC Aplicantes + merchant onboarding</w:t>
            </w:r>
          </w:p>
        </w:tc>
        <w:tc>
          <w:tcPr>
            <w:tcW w:type="dxa" w:w="1872"/>
            <w:shd w:val="clear" w:color="auto" w:fill="EAF4FF"/>
          </w:tcPr>
          <w:p>
            <w:r>
              <w:rPr>
                <w:color w:val="222233"/>
                <w:sz w:val="19"/>
              </w:rPr>
              <w:t>R$ 600.000</w:t>
            </w:r>
          </w:p>
        </w:tc>
      </w:tr>
      <w:tr>
        <w:tc>
          <w:tcPr>
            <w:tcW w:type="dxa" w:w="2304"/>
            <w:shd w:val="clear" w:color="auto" w:fill="FFFFFF"/>
          </w:tcPr>
          <w:p>
            <w:r>
              <w:rPr>
                <w:color w:val="222233"/>
                <w:sz w:val="19"/>
              </w:rPr>
              <w:t>SPE Exchange Ops</w:t>
            </w:r>
          </w:p>
        </w:tc>
        <w:tc>
          <w:tcPr>
            <w:tcW w:type="dxa" w:w="4896"/>
            <w:shd w:val="clear" w:color="auto" w:fill="FFFFFF"/>
          </w:tcPr>
          <w:p>
            <w:r>
              <w:rPr>
                <w:color w:val="222233"/>
                <w:sz w:val="19"/>
              </w:rPr>
              <w:t>Custos operacionais Dubai + compliance FATF</w:t>
            </w:r>
          </w:p>
        </w:tc>
        <w:tc>
          <w:tcPr>
            <w:tcW w:type="dxa" w:w="1872"/>
            <w:shd w:val="clear" w:color="auto" w:fill="FFFFFF"/>
          </w:tcPr>
          <w:p>
            <w:r>
              <w:rPr>
                <w:color w:val="222233"/>
                <w:sz w:val="19"/>
              </w:rPr>
              <w:t>R$ 280.000</w:t>
            </w:r>
          </w:p>
        </w:tc>
      </w:tr>
      <w:tr>
        <w:tc>
          <w:tcPr>
            <w:tcW w:type="dxa" w:w="2304"/>
            <w:shd w:val="clear" w:color="auto" w:fill="EAF4FF"/>
          </w:tcPr>
          <w:p>
            <w:r>
              <w:rPr>
                <w:color w:val="222233"/>
                <w:sz w:val="19"/>
              </w:rPr>
              <w:t>Fundo de Reserva (FRL)</w:t>
            </w:r>
          </w:p>
        </w:tc>
        <w:tc>
          <w:tcPr>
            <w:tcW w:type="dxa" w:w="4896"/>
            <w:shd w:val="clear" w:color="auto" w:fill="EAF4FF"/>
          </w:tcPr>
          <w:p>
            <w:r>
              <w:rPr>
                <w:color w:val="222233"/>
                <w:sz w:val="19"/>
              </w:rPr>
              <w:t>5% do capital sob gestão aportado mensalmente</w:t>
            </w:r>
          </w:p>
        </w:tc>
        <w:tc>
          <w:tcPr>
            <w:tcW w:type="dxa" w:w="1872"/>
            <w:shd w:val="clear" w:color="auto" w:fill="EAF4FF"/>
          </w:tcPr>
          <w:p>
            <w:r>
              <w:rPr>
                <w:color w:val="222233"/>
                <w:sz w:val="19"/>
              </w:rPr>
              <w:t>R$ 750.000</w:t>
            </w:r>
          </w:p>
        </w:tc>
      </w:tr>
      <w:tr>
        <w:tc>
          <w:tcPr>
            <w:tcW w:type="dxa" w:w="2304"/>
            <w:shd w:val="clear" w:color="auto" w:fill="FFFFFF"/>
          </w:tcPr>
          <w:p>
            <w:r>
              <w:rPr>
                <w:color w:val="222233"/>
                <w:sz w:val="19"/>
              </w:rPr>
              <w:t>ODOO + Sistemas</w:t>
            </w:r>
          </w:p>
        </w:tc>
        <w:tc>
          <w:tcPr>
            <w:tcW w:type="dxa" w:w="4896"/>
            <w:shd w:val="clear" w:color="auto" w:fill="FFFFFF"/>
          </w:tcPr>
          <w:p>
            <w:r>
              <w:rPr>
                <w:color w:val="222233"/>
                <w:sz w:val="19"/>
              </w:rPr>
              <w:t>Licenças, customização, suporte, integrações</w:t>
            </w:r>
          </w:p>
        </w:tc>
        <w:tc>
          <w:tcPr>
            <w:tcW w:type="dxa" w:w="1872"/>
            <w:shd w:val="clear" w:color="auto" w:fill="FFFFFF"/>
          </w:tcPr>
          <w:p>
            <w:r>
              <w:rPr>
                <w:color w:val="222233"/>
                <w:sz w:val="19"/>
              </w:rPr>
              <w:t>R$ 120.000</w:t>
            </w:r>
          </w:p>
        </w:tc>
      </w:tr>
      <w:tr>
        <w:tc>
          <w:tcPr>
            <w:tcW w:type="dxa" w:w="2304"/>
            <w:shd w:val="clear" w:color="auto" w:fill="EAF4FF"/>
          </w:tcPr>
          <w:p>
            <w:r>
              <w:rPr>
                <w:color w:val="222233"/>
                <w:sz w:val="19"/>
              </w:rPr>
              <w:t>Jurídico &amp; Regulatório</w:t>
            </w:r>
          </w:p>
        </w:tc>
        <w:tc>
          <w:tcPr>
            <w:tcW w:type="dxa" w:w="4896"/>
            <w:shd w:val="clear" w:color="auto" w:fill="EAF4FF"/>
          </w:tcPr>
          <w:p>
            <w:r>
              <w:rPr>
                <w:color w:val="222233"/>
                <w:sz w:val="19"/>
              </w:rPr>
              <w:t>Assessoria legal Brasil + Dubai + auditoria</w:t>
            </w:r>
          </w:p>
        </w:tc>
        <w:tc>
          <w:tcPr>
            <w:tcW w:type="dxa" w:w="1872"/>
            <w:shd w:val="clear" w:color="auto" w:fill="EAF4FF"/>
          </w:tcPr>
          <w:p>
            <w:r>
              <w:rPr>
                <w:color w:val="222233"/>
                <w:sz w:val="19"/>
              </w:rPr>
              <w:t>R$ 200.000</w:t>
            </w:r>
          </w:p>
        </w:tc>
      </w:tr>
      <w:tr>
        <w:tc>
          <w:tcPr>
            <w:tcW w:type="dxa" w:w="2304"/>
            <w:shd w:val="clear" w:color="auto" w:fill="FFFFFF"/>
          </w:tcPr>
          <w:p>
            <w:r>
              <w:rPr>
                <w:color w:val="222233"/>
                <w:sz w:val="19"/>
              </w:rPr>
              <w:t>TOTAL CUSTOS</w:t>
            </w:r>
          </w:p>
        </w:tc>
        <w:tc>
          <w:tcPr>
            <w:tcW w:type="dxa" w:w="4896"/>
            <w:shd w:val="clear" w:color="auto" w:fill="FFFFFF"/>
          </w:tcPr>
          <w:p>
            <w:r>
              <w:rPr>
                <w:color w:val="222233"/>
                <w:sz w:val="19"/>
              </w:rPr>
            </w:r>
          </w:p>
        </w:tc>
        <w:tc>
          <w:tcPr>
            <w:tcW w:type="dxa" w:w="1872"/>
            <w:shd w:val="clear" w:color="auto" w:fill="FFFFFF"/>
          </w:tcPr>
          <w:p>
            <w:r>
              <w:rPr>
                <w:color w:val="222233"/>
                <w:sz w:val="19"/>
              </w:rPr>
              <w:t>R$ 6.000.000</w:t>
            </w:r>
          </w:p>
        </w:tc>
      </w:tr>
    </w:tbl>
    <w:p/>
    <w:p>
      <w:pPr>
        <w:spacing w:before="160" w:after="120"/>
      </w:pPr>
      <w:r>
        <w:rPr>
          <w:b/>
          <w:color w:val="F5A623"/>
          <w:sz w:val="28"/>
        </w:rPr>
        <w:t>6.3 P&amp;L Simplificado — Cenários de Escala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2160"/>
            <w:shd w:val="clear" w:color="auto" w:fill="0A2040"/>
          </w:tcPr>
          <w:p>
            <w:pPr>
              <w:jc w:val="center"/>
            </w:pPr>
            <w:r>
              <w:rPr>
                <w:b/>
                <w:color w:val="FFFFFF"/>
                <w:sz w:val="20"/>
              </w:rPr>
              <w:t>Cenário</w:t>
            </w:r>
          </w:p>
        </w:tc>
        <w:tc>
          <w:tcPr>
            <w:tcW w:type="dxa" w:w="1440"/>
            <w:shd w:val="clear" w:color="auto" w:fill="0A2040"/>
          </w:tcPr>
          <w:p>
            <w:pPr>
              <w:jc w:val="center"/>
            </w:pPr>
            <w:r>
              <w:rPr>
                <w:b/>
                <w:color w:val="FFFFFF"/>
                <w:sz w:val="20"/>
              </w:rPr>
              <w:t>Cartões Ativos</w:t>
            </w:r>
          </w:p>
        </w:tc>
        <w:tc>
          <w:tcPr>
            <w:tcW w:type="dxa" w:w="1728"/>
            <w:shd w:val="clear" w:color="auto" w:fill="0A2040"/>
          </w:tcPr>
          <w:p>
            <w:pPr>
              <w:jc w:val="center"/>
            </w:pPr>
            <w:r>
              <w:rPr>
                <w:b/>
                <w:color w:val="FFFFFF"/>
                <w:sz w:val="20"/>
              </w:rPr>
              <w:t>Capital sob Gestão</w:t>
            </w:r>
          </w:p>
        </w:tc>
        <w:tc>
          <w:tcPr>
            <w:tcW w:type="dxa" w:w="1872"/>
            <w:shd w:val="clear" w:color="auto" w:fill="0A2040"/>
          </w:tcPr>
          <w:p>
            <w:pPr>
              <w:jc w:val="center"/>
            </w:pPr>
            <w:r>
              <w:rPr>
                <w:b/>
                <w:color w:val="FFFFFF"/>
                <w:sz w:val="20"/>
              </w:rPr>
              <w:t>Receita Bruta/mês</w:t>
            </w:r>
          </w:p>
        </w:tc>
        <w:tc>
          <w:tcPr>
            <w:tcW w:type="dxa" w:w="1440"/>
            <w:shd w:val="clear" w:color="auto" w:fill="0A2040"/>
          </w:tcPr>
          <w:p>
            <w:pPr>
              <w:jc w:val="center"/>
            </w:pPr>
            <w:r>
              <w:rPr>
                <w:b/>
                <w:color w:val="FFFFFF"/>
                <w:sz w:val="20"/>
              </w:rPr>
              <w:t>Custos/mês</w:t>
            </w:r>
          </w:p>
        </w:tc>
        <w:tc>
          <w:tcPr>
            <w:tcW w:type="dxa" w:w="1728"/>
            <w:shd w:val="clear" w:color="auto" w:fill="0A2040"/>
          </w:tcPr>
          <w:p>
            <w:pPr>
              <w:jc w:val="center"/>
            </w:pPr>
            <w:r>
              <w:rPr>
                <w:b/>
                <w:color w:val="FFFFFF"/>
                <w:sz w:val="20"/>
              </w:rPr>
              <w:t>EBITDA/mês</w:t>
            </w:r>
          </w:p>
        </w:tc>
        <w:tc>
          <w:tcPr>
            <w:tcW w:type="dxa" w:w="1152"/>
            <w:shd w:val="clear" w:color="auto" w:fill="0A2040"/>
          </w:tcPr>
          <w:p>
            <w:pPr>
              <w:jc w:val="center"/>
            </w:pPr>
            <w:r>
              <w:rPr>
                <w:b/>
                <w:color w:val="FFFFFF"/>
                <w:sz w:val="20"/>
              </w:rPr>
              <w:t>Margem</w:t>
            </w:r>
          </w:p>
        </w:tc>
      </w:tr>
      <w:tr>
        <w:tc>
          <w:tcPr>
            <w:tcW w:type="dxa" w:w="2160"/>
            <w:shd w:val="clear" w:color="auto" w:fill="FFFFFF"/>
          </w:tcPr>
          <w:p>
            <w:r>
              <w:rPr>
                <w:color w:val="222233"/>
                <w:sz w:val="19"/>
              </w:rPr>
              <w:t>Conservador (Ano 1)</w:t>
            </w:r>
          </w:p>
        </w:tc>
        <w:tc>
          <w:tcPr>
            <w:tcW w:type="dxa" w:w="1440"/>
            <w:shd w:val="clear" w:color="auto" w:fill="FFFFFF"/>
          </w:tcPr>
          <w:p>
            <w:r>
              <w:rPr>
                <w:color w:val="222233"/>
                <w:sz w:val="19"/>
              </w:rPr>
              <w:t>30.000</w:t>
            </w:r>
          </w:p>
        </w:tc>
        <w:tc>
          <w:tcPr>
            <w:tcW w:type="dxa" w:w="1728"/>
            <w:shd w:val="clear" w:color="auto" w:fill="FFFFFF"/>
          </w:tcPr>
          <w:p>
            <w:r>
              <w:rPr>
                <w:color w:val="222233"/>
                <w:sz w:val="19"/>
              </w:rPr>
              <w:t>R$ 45M</w:t>
            </w:r>
          </w:p>
        </w:tc>
        <w:tc>
          <w:tcPr>
            <w:tcW w:type="dxa" w:w="1872"/>
            <w:shd w:val="clear" w:color="auto" w:fill="FFFFFF"/>
          </w:tcPr>
          <w:p>
            <w:r>
              <w:rPr>
                <w:color w:val="222233"/>
                <w:sz w:val="19"/>
              </w:rPr>
              <w:t>R$ 1,3M</w:t>
            </w:r>
          </w:p>
        </w:tc>
        <w:tc>
          <w:tcPr>
            <w:tcW w:type="dxa" w:w="1440"/>
            <w:shd w:val="clear" w:color="auto" w:fill="FFFFFF"/>
          </w:tcPr>
          <w:p>
            <w:r>
              <w:rPr>
                <w:color w:val="222233"/>
                <w:sz w:val="19"/>
              </w:rPr>
              <w:t>R$ 3,5M</w:t>
            </w:r>
          </w:p>
        </w:tc>
        <w:tc>
          <w:tcPr>
            <w:tcW w:type="dxa" w:w="1728"/>
            <w:shd w:val="clear" w:color="auto" w:fill="FFFFFF"/>
          </w:tcPr>
          <w:p>
            <w:r>
              <w:rPr>
                <w:color w:val="222233"/>
                <w:sz w:val="19"/>
              </w:rPr>
              <w:t>– R$ 2,2M</w:t>
            </w:r>
          </w:p>
        </w:tc>
        <w:tc>
          <w:tcPr>
            <w:tcW w:type="dxa" w:w="1152"/>
            <w:shd w:val="clear" w:color="auto" w:fill="FFFFFF"/>
          </w:tcPr>
          <w:p>
            <w:r>
              <w:rPr>
                <w:color w:val="222233"/>
                <w:sz w:val="19"/>
              </w:rPr>
              <w:t>Negativo</w:t>
            </w:r>
          </w:p>
        </w:tc>
      </w:tr>
      <w:tr>
        <w:tc>
          <w:tcPr>
            <w:tcW w:type="dxa" w:w="2160"/>
            <w:shd w:val="clear" w:color="auto" w:fill="EAF4FF"/>
          </w:tcPr>
          <w:p>
            <w:r>
              <w:rPr>
                <w:color w:val="222233"/>
                <w:sz w:val="19"/>
              </w:rPr>
              <w:t>Base (Ano 2)</w:t>
            </w:r>
          </w:p>
        </w:tc>
        <w:tc>
          <w:tcPr>
            <w:tcW w:type="dxa" w:w="1440"/>
            <w:shd w:val="clear" w:color="auto" w:fill="EAF4FF"/>
          </w:tcPr>
          <w:p>
            <w:r>
              <w:rPr>
                <w:color w:val="222233"/>
                <w:sz w:val="19"/>
              </w:rPr>
              <w:t>90.000</w:t>
            </w:r>
          </w:p>
        </w:tc>
        <w:tc>
          <w:tcPr>
            <w:tcW w:type="dxa" w:w="1728"/>
            <w:shd w:val="clear" w:color="auto" w:fill="EAF4FF"/>
          </w:tcPr>
          <w:p>
            <w:r>
              <w:rPr>
                <w:color w:val="222233"/>
                <w:sz w:val="19"/>
              </w:rPr>
              <w:t>R$ 135M</w:t>
            </w:r>
          </w:p>
        </w:tc>
        <w:tc>
          <w:tcPr>
            <w:tcW w:type="dxa" w:w="1872"/>
            <w:shd w:val="clear" w:color="auto" w:fill="EAF4FF"/>
          </w:tcPr>
          <w:p>
            <w:r>
              <w:rPr>
                <w:color w:val="222233"/>
                <w:sz w:val="19"/>
              </w:rPr>
              <w:t>R$ 3,7M</w:t>
            </w:r>
          </w:p>
        </w:tc>
        <w:tc>
          <w:tcPr>
            <w:tcW w:type="dxa" w:w="1440"/>
            <w:shd w:val="clear" w:color="auto" w:fill="EAF4FF"/>
          </w:tcPr>
          <w:p>
            <w:r>
              <w:rPr>
                <w:color w:val="222233"/>
                <w:sz w:val="19"/>
              </w:rPr>
              <w:t>R$ 6,0M</w:t>
            </w:r>
          </w:p>
        </w:tc>
        <w:tc>
          <w:tcPr>
            <w:tcW w:type="dxa" w:w="1728"/>
            <w:shd w:val="clear" w:color="auto" w:fill="EAF4FF"/>
          </w:tcPr>
          <w:p>
            <w:r>
              <w:rPr>
                <w:color w:val="222233"/>
                <w:sz w:val="19"/>
              </w:rPr>
              <w:t>– R$ 2,3M</w:t>
            </w:r>
          </w:p>
        </w:tc>
        <w:tc>
          <w:tcPr>
            <w:tcW w:type="dxa" w:w="1152"/>
            <w:shd w:val="clear" w:color="auto" w:fill="EAF4FF"/>
          </w:tcPr>
          <w:p>
            <w:r>
              <w:rPr>
                <w:color w:val="222233"/>
                <w:sz w:val="19"/>
              </w:rPr>
              <w:t>Negativo</w:t>
            </w:r>
          </w:p>
        </w:tc>
      </w:tr>
      <w:tr>
        <w:tc>
          <w:tcPr>
            <w:tcW w:type="dxa" w:w="2160"/>
            <w:shd w:val="clear" w:color="auto" w:fill="FFFFFF"/>
          </w:tcPr>
          <w:p>
            <w:r>
              <w:rPr>
                <w:color w:val="222233"/>
                <w:sz w:val="19"/>
              </w:rPr>
              <w:t>Otimista (Ano 2)</w:t>
            </w:r>
          </w:p>
        </w:tc>
        <w:tc>
          <w:tcPr>
            <w:tcW w:type="dxa" w:w="1440"/>
            <w:shd w:val="clear" w:color="auto" w:fill="FFFFFF"/>
          </w:tcPr>
          <w:p>
            <w:r>
              <w:rPr>
                <w:color w:val="222233"/>
                <w:sz w:val="19"/>
              </w:rPr>
              <w:t>120.000</w:t>
            </w:r>
          </w:p>
        </w:tc>
        <w:tc>
          <w:tcPr>
            <w:tcW w:type="dxa" w:w="1728"/>
            <w:shd w:val="clear" w:color="auto" w:fill="FFFFFF"/>
          </w:tcPr>
          <w:p>
            <w:r>
              <w:rPr>
                <w:color w:val="222233"/>
                <w:sz w:val="19"/>
              </w:rPr>
              <w:t>R$ 180M</w:t>
            </w:r>
          </w:p>
        </w:tc>
        <w:tc>
          <w:tcPr>
            <w:tcW w:type="dxa" w:w="1872"/>
            <w:shd w:val="clear" w:color="auto" w:fill="FFFFFF"/>
          </w:tcPr>
          <w:p>
            <w:r>
              <w:rPr>
                <w:color w:val="222233"/>
                <w:sz w:val="19"/>
              </w:rPr>
              <w:t>R$ 5,1M</w:t>
            </w:r>
          </w:p>
        </w:tc>
        <w:tc>
          <w:tcPr>
            <w:tcW w:type="dxa" w:w="1440"/>
            <w:shd w:val="clear" w:color="auto" w:fill="FFFFFF"/>
          </w:tcPr>
          <w:p>
            <w:r>
              <w:rPr>
                <w:color w:val="222233"/>
                <w:sz w:val="19"/>
              </w:rPr>
              <w:t>R$ 6,8M</w:t>
            </w:r>
          </w:p>
        </w:tc>
        <w:tc>
          <w:tcPr>
            <w:tcW w:type="dxa" w:w="1728"/>
            <w:shd w:val="clear" w:color="auto" w:fill="FFFFFF"/>
          </w:tcPr>
          <w:p>
            <w:r>
              <w:rPr>
                <w:color w:val="222233"/>
                <w:sz w:val="19"/>
              </w:rPr>
              <w:t>– R$ 1,7M</w:t>
            </w:r>
          </w:p>
        </w:tc>
        <w:tc>
          <w:tcPr>
            <w:tcW w:type="dxa" w:w="1152"/>
            <w:shd w:val="clear" w:color="auto" w:fill="FFFFFF"/>
          </w:tcPr>
          <w:p>
            <w:r>
              <w:rPr>
                <w:color w:val="222233"/>
                <w:sz w:val="19"/>
              </w:rPr>
              <w:t>Negativo</w:t>
            </w:r>
          </w:p>
        </w:tc>
      </w:tr>
      <w:tr>
        <w:tc>
          <w:tcPr>
            <w:tcW w:type="dxa" w:w="2160"/>
            <w:shd w:val="clear" w:color="auto" w:fill="EAF4FF"/>
          </w:tcPr>
          <w:p>
            <w:r>
              <w:rPr>
                <w:color w:val="222233"/>
                <w:sz w:val="19"/>
              </w:rPr>
              <w:t>Break-even (Mês 18)</w:t>
            </w:r>
          </w:p>
        </w:tc>
        <w:tc>
          <w:tcPr>
            <w:tcW w:type="dxa" w:w="1440"/>
            <w:shd w:val="clear" w:color="auto" w:fill="EAF4FF"/>
          </w:tcPr>
          <w:p>
            <w:r>
              <w:rPr>
                <w:color w:val="222233"/>
                <w:sz w:val="19"/>
              </w:rPr>
              <w:t>200.000</w:t>
            </w:r>
          </w:p>
        </w:tc>
        <w:tc>
          <w:tcPr>
            <w:tcW w:type="dxa" w:w="1728"/>
            <w:shd w:val="clear" w:color="auto" w:fill="EAF4FF"/>
          </w:tcPr>
          <w:p>
            <w:r>
              <w:rPr>
                <w:color w:val="222233"/>
                <w:sz w:val="19"/>
              </w:rPr>
              <w:t>R$ 300M</w:t>
            </w:r>
          </w:p>
        </w:tc>
        <w:tc>
          <w:tcPr>
            <w:tcW w:type="dxa" w:w="1872"/>
            <w:shd w:val="clear" w:color="auto" w:fill="EAF4FF"/>
          </w:tcPr>
          <w:p>
            <w:r>
              <w:rPr>
                <w:color w:val="222233"/>
                <w:sz w:val="19"/>
              </w:rPr>
              <w:t>R$ 8,5M</w:t>
            </w:r>
          </w:p>
        </w:tc>
        <w:tc>
          <w:tcPr>
            <w:tcW w:type="dxa" w:w="1440"/>
            <w:shd w:val="clear" w:color="auto" w:fill="EAF4FF"/>
          </w:tcPr>
          <w:p>
            <w:r>
              <w:rPr>
                <w:color w:val="222233"/>
                <w:sz w:val="19"/>
              </w:rPr>
              <w:t>R$ 8,0M</w:t>
            </w:r>
          </w:p>
        </w:tc>
        <w:tc>
          <w:tcPr>
            <w:tcW w:type="dxa" w:w="1728"/>
            <w:shd w:val="clear" w:color="auto" w:fill="EAF4FF"/>
          </w:tcPr>
          <w:p>
            <w:r>
              <w:rPr>
                <w:color w:val="222233"/>
                <w:sz w:val="19"/>
              </w:rPr>
              <w:t>+ R$ 0,5M</w:t>
            </w:r>
          </w:p>
        </w:tc>
        <w:tc>
          <w:tcPr>
            <w:tcW w:type="dxa" w:w="1152"/>
            <w:shd w:val="clear" w:color="auto" w:fill="EAF4FF"/>
          </w:tcPr>
          <w:p>
            <w:r>
              <w:rPr>
                <w:color w:val="222233"/>
                <w:sz w:val="19"/>
              </w:rPr>
              <w:t>6%</w:t>
            </w:r>
          </w:p>
        </w:tc>
      </w:tr>
      <w:tr>
        <w:tc>
          <w:tcPr>
            <w:tcW w:type="dxa" w:w="2160"/>
            <w:shd w:val="clear" w:color="auto" w:fill="FFFFFF"/>
          </w:tcPr>
          <w:p>
            <w:r>
              <w:rPr>
                <w:color w:val="222233"/>
                <w:sz w:val="19"/>
              </w:rPr>
              <w:t>Escala (Ano 3)</w:t>
            </w:r>
          </w:p>
        </w:tc>
        <w:tc>
          <w:tcPr>
            <w:tcW w:type="dxa" w:w="1440"/>
            <w:shd w:val="clear" w:color="auto" w:fill="FFFFFF"/>
          </w:tcPr>
          <w:p>
            <w:r>
              <w:rPr>
                <w:color w:val="222233"/>
                <w:sz w:val="19"/>
              </w:rPr>
              <w:t>500.000</w:t>
            </w:r>
          </w:p>
        </w:tc>
        <w:tc>
          <w:tcPr>
            <w:tcW w:type="dxa" w:w="1728"/>
            <w:shd w:val="clear" w:color="auto" w:fill="FFFFFF"/>
          </w:tcPr>
          <w:p>
            <w:r>
              <w:rPr>
                <w:color w:val="222233"/>
                <w:sz w:val="19"/>
              </w:rPr>
              <w:t>R$ 750M</w:t>
            </w:r>
          </w:p>
        </w:tc>
        <w:tc>
          <w:tcPr>
            <w:tcW w:type="dxa" w:w="1872"/>
            <w:shd w:val="clear" w:color="auto" w:fill="FFFFFF"/>
          </w:tcPr>
          <w:p>
            <w:r>
              <w:rPr>
                <w:color w:val="222233"/>
                <w:sz w:val="19"/>
              </w:rPr>
              <w:t>R$ 21,0M</w:t>
            </w:r>
          </w:p>
        </w:tc>
        <w:tc>
          <w:tcPr>
            <w:tcW w:type="dxa" w:w="1440"/>
            <w:shd w:val="clear" w:color="auto" w:fill="FFFFFF"/>
          </w:tcPr>
          <w:p>
            <w:r>
              <w:rPr>
                <w:color w:val="222233"/>
                <w:sz w:val="19"/>
              </w:rPr>
              <w:t>R$ 14M</w:t>
            </w:r>
          </w:p>
        </w:tc>
        <w:tc>
          <w:tcPr>
            <w:tcW w:type="dxa" w:w="1728"/>
            <w:shd w:val="clear" w:color="auto" w:fill="FFFFFF"/>
          </w:tcPr>
          <w:p>
            <w:r>
              <w:rPr>
                <w:color w:val="222233"/>
                <w:sz w:val="19"/>
              </w:rPr>
              <w:t>+ R$ 7,0M</w:t>
            </w:r>
          </w:p>
        </w:tc>
        <w:tc>
          <w:tcPr>
            <w:tcW w:type="dxa" w:w="1152"/>
            <w:shd w:val="clear" w:color="auto" w:fill="FFFFFF"/>
          </w:tcPr>
          <w:p>
            <w:r>
              <w:rPr>
                <w:color w:val="222233"/>
                <w:sz w:val="19"/>
              </w:rPr>
              <w:t>33%</w:t>
            </w:r>
          </w:p>
        </w:tc>
      </w:tr>
    </w:tbl>
    <w:p/>
    <w:p>
      <w:pPr>
        <w:spacing w:before="160" w:after="120"/>
      </w:pPr>
      <w:r>
        <w:rPr>
          <w:b/>
          <w:color w:val="F5A623"/>
          <w:sz w:val="28"/>
        </w:rPr>
        <w:t>6.4 Tributação — Cenário para Pitch</w:t>
      </w:r>
    </w:p>
    <w:p>
      <w:pPr>
        <w:spacing w:after="120" w:before="40"/>
      </w:pPr>
      <w:r>
        <w:rPr>
          <w:b w:val="0"/>
          <w:i w:val="0"/>
          <w:color w:val="444455"/>
          <w:sz w:val="21"/>
        </w:rPr>
        <w:t>A estrutura tributária é um diferencial estratégico do Documento GREY. A operação é arquitetada para minimizar carga fiscal através da separação entre entidade offshore (SPE Exchange) e operação local (entidade operacional brasileira):</w:t>
      </w:r>
    </w:p>
    <w:tbl>
      <w:tblPr>
        <w:tblW w:type="auto" w:w="0"/>
        <w:jc w:val="center"/>
        <w:tblLook w:firstColumn="1" w:firstRow="1" w:lastColumn="0" w:lastRow="0" w:noHBand="0" w:noVBand="1" w:val="04A0"/>
      </w:tblPr>
      <w:tblGrid>
        <w:gridCol w:w="9746"/>
      </w:tblGrid>
      <w:tr>
        <w:tc>
          <w:tcPr>
            <w:tcW w:type="dxa" w:w="9746"/>
            <w:shd w:val="clear" w:color="auto" w:fill="0D2035"/>
          </w:tcPr>
          <w:p/>
          <w:p>
            <w:pPr>
              <w:spacing w:before="120"/>
            </w:pPr>
            <w:r>
              <w:rPr>
                <w:b/>
                <w:color w:val="F5A623"/>
                <w:sz w:val="22"/>
              </w:rPr>
              <w:t>ESTRUTURA TRIBUTÁRIA GREY — ENTIDADE OFFSHORE (SPE Exchange Dubai/Cayman)</w:t>
            </w:r>
          </w:p>
          <w:p>
            <w:pPr>
              <w:spacing w:after="40"/>
            </w:pPr>
            <w:r>
              <w:rPr>
                <w:color w:val="CCDDEE"/>
                <w:sz w:val="21"/>
              </w:rPr>
              <w:t>▸ IR Corporativo: 0% (Dubai Free Zone / Cayman Islands — sem IR)</w:t>
            </w:r>
          </w:p>
          <w:p>
            <w:pPr>
              <w:spacing w:after="40"/>
            </w:pPr>
            <w:r>
              <w:rPr>
                <w:color w:val="CCDDEE"/>
                <w:sz w:val="21"/>
              </w:rPr>
              <w:t>▸ IOF sobre câmbio: estrutura de câmbio contratual minimiza IOF (0,38% em operações de curto prazo)</w:t>
            </w:r>
          </w:p>
          <w:p>
            <w:pPr>
              <w:spacing w:after="40"/>
            </w:pPr>
            <w:r>
              <w:rPr>
                <w:color w:val="CCDDEE"/>
                <w:sz w:val="21"/>
              </w:rPr>
              <w:t>▸ Imposto sobre lucros remetidos: Cayman = 0% | Dubai DIFC = 0%</w:t>
            </w:r>
          </w:p>
          <w:p>
            <w:pPr>
              <w:spacing w:after="40"/>
            </w:pPr>
            <w:r>
              <w:rPr>
                <w:color w:val="CCDDEE"/>
                <w:sz w:val="21"/>
              </w:rPr>
              <w:t>▸ Ganhos do Aplicante (estrangeiro): tributação no país de residência do Aplicante</w:t>
            </w:r>
          </w:p>
          <w:p>
            <w:pPr>
              <w:spacing w:after="40"/>
            </w:pPr>
            <w:r>
              <w:rPr>
                <w:color w:val="CCDDEE"/>
                <w:sz w:val="21"/>
              </w:rPr>
              <w:t>▸ Ganhos do Aplicante (brasileiro): Carnê-leão mensal sobre rendimentos estrangeiros (IR tabela progressiva)</w:t>
            </w:r>
          </w:p>
          <w:p>
            <w:pPr>
              <w:spacing w:after="40"/>
            </w:pPr>
            <w:r>
              <w:rPr>
                <w:color w:val="CCDDEE"/>
                <w:sz w:val="21"/>
              </w:rPr>
              <w:t>▸ Regime de transparência fiscal: relatórios FATCA/CRS para investidores americanos/europeus</w:t>
            </w:r>
          </w:p>
          <w:p>
            <w:pPr>
              <w:spacing w:after="120"/>
            </w:pPr>
          </w:p>
        </w:tc>
      </w:tr>
    </w:tbl>
    <w:p/>
    <w:tbl>
      <w:tblPr>
        <w:tblW w:type="auto" w:w="0"/>
        <w:jc w:val="center"/>
        <w:tblLook w:firstColumn="1" w:firstRow="1" w:lastColumn="0" w:lastRow="0" w:noHBand="0" w:noVBand="1" w:val="04A0"/>
      </w:tblPr>
      <w:tblGrid>
        <w:gridCol w:w="9746"/>
      </w:tblGrid>
      <w:tr>
        <w:tc>
          <w:tcPr>
            <w:tcW w:type="dxa" w:w="9746"/>
            <w:shd w:val="clear" w:color="auto" w:fill="132040"/>
          </w:tcPr>
          <w:p/>
          <w:p>
            <w:pPr>
              <w:spacing w:before="120"/>
            </w:pPr>
            <w:r>
              <w:rPr>
                <w:b/>
                <w:color w:val="F5A623"/>
                <w:sz w:val="22"/>
              </w:rPr>
              <w:t>ESTRUTURA TRIBUTÁRIA GREY — ENTIDADE OPERACIONAL BRASIL</w:t>
            </w:r>
          </w:p>
          <w:p>
            <w:pPr>
              <w:spacing w:after="40"/>
            </w:pPr>
            <w:r>
              <w:rPr>
                <w:color w:val="CCDDEE"/>
                <w:sz w:val="21"/>
              </w:rPr>
              <w:t>▸ Regime tributário recomendado: Lucro Real (permite dedução de todas as despesas operacionais)</w:t>
            </w:r>
          </w:p>
          <w:p>
            <w:pPr>
              <w:spacing w:after="40"/>
            </w:pPr>
            <w:r>
              <w:rPr>
                <w:color w:val="CCDDEE"/>
                <w:sz w:val="21"/>
              </w:rPr>
              <w:t>▸ PIS/COFINS sobre receitas financeiras: 0,65% + 4% = 4,65% (Decreto 8.426/2015)</w:t>
            </w:r>
          </w:p>
          <w:p>
            <w:pPr>
              <w:spacing w:after="40"/>
            </w:pPr>
            <w:r>
              <w:rPr>
                <w:color w:val="CCDDEE"/>
                <w:sz w:val="21"/>
              </w:rPr>
              <w:t>▸ ISS sobre serviços de gestão/consultoria: 2% a 5% (variável por município)</w:t>
            </w:r>
          </w:p>
          <w:p>
            <w:pPr>
              <w:spacing w:after="40"/>
            </w:pPr>
            <w:r>
              <w:rPr>
                <w:color w:val="CCDDEE"/>
                <w:sz w:val="21"/>
              </w:rPr>
              <w:t>▸ CSLL: 15% sobre lucro líquido (instituição financeira: alíquota majorada)</w:t>
            </w:r>
          </w:p>
          <w:p>
            <w:pPr>
              <w:spacing w:after="40"/>
            </w:pPr>
            <w:r>
              <w:rPr>
                <w:color w:val="CCDDEE"/>
                <w:sz w:val="21"/>
              </w:rPr>
              <w:t>▸ IR sobre JUROS sobre Capital Próprio: estratégia de JCP reduz base tributável em até 30%</w:t>
            </w:r>
          </w:p>
          <w:p>
            <w:pPr>
              <w:spacing w:after="40"/>
            </w:pPr>
            <w:r>
              <w:rPr>
                <w:color w:val="CCDDEE"/>
                <w:sz w:val="21"/>
              </w:rPr>
              <w:t>▸ Contribuição Social: 9% sobre lucro ajustado</w:t>
            </w:r>
          </w:p>
          <w:p>
            <w:pPr>
              <w:spacing w:after="40"/>
            </w:pPr>
            <w:r>
              <w:rPr>
                <w:color w:val="CCDDEE"/>
                <w:sz w:val="21"/>
              </w:rPr>
              <w:t>▸ CPMF/IOF interno: 0,0082% ao dia sobre saldo médio diário de operações financeiras</w:t>
            </w:r>
          </w:p>
          <w:p>
            <w:pPr>
              <w:spacing w:after="40"/>
            </w:pPr>
            <w:r>
              <w:rPr>
                <w:color w:val="CCDDEE"/>
                <w:sz w:val="21"/>
              </w:rPr>
              <w:t>▸ Tese jurídica: receitas geradas no exterior pela SPE Exchange não configuram fato gerador no Brasil</w:t>
            </w:r>
          </w:p>
          <w:p>
            <w:pPr>
              <w:spacing w:after="120"/>
            </w:pPr>
          </w:p>
        </w:tc>
      </w:tr>
    </w:tbl>
    <w:p/>
    <w:p>
      <w:pPr>
        <w:spacing w:after="120" w:before="40"/>
      </w:pPr>
      <w:r>
        <w:rPr>
          <w:b/>
          <w:i w:val="0"/>
          <w:color w:val="D62228"/>
          <w:sz w:val="21"/>
        </w:rPr>
        <w:t>ALERTA REGULATÓRIO: Embora a estrutura GREY seja projetada para operar fora do perímetro direto do Banco Central, qualquer operação de captação de recursos junto ao público brasileiro — mesmo via stablecoins — pode ser enquadrada pelo BC como 'operação de câmbio não autorizada' ou 'atividade privativa de instituição financeira' (Lei 4.595/64, Art. 17). Recomenda-se fortemente a contratação de assessoria jurídica especializada em crypto-law brasileiro antes do go-live.</w:t>
      </w:r>
    </w:p>
    <w:p>
      <w:r>
        <w:br w:type="page"/>
      </w:r>
    </w:p>
    <w:p>
      <w:pPr>
        <w:spacing w:before="280" w:after="120"/>
      </w:pPr>
      <w:r>
        <w:rPr>
          <w:b/>
          <w:color w:val="00B4D8"/>
          <w:sz w:val="36"/>
        </w:rPr>
        <w:t>7. ESTRUTURA ORGANIZACIONAL INTERNA DA EMPRESA</w:t>
      </w:r>
    </w:p>
    <w:p>
      <w:pPr>
        <w:spacing w:before="80" w:after="80"/>
        <w:pBdr>
          <w:bottom w:val="single" w:sz="6" w:space="1" w:color="00B4D8"/>
        </w:pBdr>
      </w:pPr>
    </w:p>
    <w:p>
      <w:pPr>
        <w:spacing w:before="160" w:after="120"/>
      </w:pPr>
      <w:r>
        <w:rPr>
          <w:b/>
          <w:color w:val="F5A623"/>
          <w:sz w:val="28"/>
        </w:rPr>
        <w:t>7.1 Departamentos e Setores</w:t>
      </w:r>
    </w:p>
    <w:tbl>
      <w:tblPr>
        <w:tblStyle w:val="TableGrid"/>
        <w:tblW w:type="auto" w:w="0"/>
        <w:jc w:val="center"/>
        <w:tblLook w:firstColumn="1" w:firstRow="1" w:lastColumn="0" w:lastRow="0" w:noHBand="0" w:noVBand="1" w:val="04A0"/>
      </w:tblPr>
      <w:tblGrid>
        <w:gridCol w:w="3249"/>
        <w:gridCol w:w="3249"/>
        <w:gridCol w:w="3249"/>
      </w:tblGrid>
      <w:tr>
        <w:tc>
          <w:tcPr>
            <w:tcW w:type="dxa" w:w="2736"/>
            <w:shd w:val="clear" w:color="auto" w:fill="0D1B2A"/>
          </w:tcPr>
          <w:p>
            <w:pPr>
              <w:jc w:val="center"/>
            </w:pPr>
            <w:r>
              <w:rPr>
                <w:b/>
                <w:color w:val="FFFFFF"/>
                <w:sz w:val="20"/>
              </w:rPr>
              <w:t>Setor/Departamento</w:t>
            </w:r>
          </w:p>
        </w:tc>
        <w:tc>
          <w:tcPr>
            <w:tcW w:type="dxa" w:w="5040"/>
            <w:shd w:val="clear" w:color="auto" w:fill="0D1B2A"/>
          </w:tcPr>
          <w:p>
            <w:pPr>
              <w:jc w:val="center"/>
            </w:pPr>
            <w:r>
              <w:rPr>
                <w:b/>
                <w:color w:val="FFFFFF"/>
                <w:sz w:val="20"/>
              </w:rPr>
              <w:t>Função Principal</w:t>
            </w:r>
          </w:p>
        </w:tc>
        <w:tc>
          <w:tcPr>
            <w:tcW w:type="dxa" w:w="1872"/>
            <w:shd w:val="clear" w:color="auto" w:fill="0D1B2A"/>
          </w:tcPr>
          <w:p>
            <w:pPr>
              <w:jc w:val="center"/>
            </w:pPr>
            <w:r>
              <w:rPr>
                <w:b/>
                <w:color w:val="FFFFFF"/>
                <w:sz w:val="20"/>
              </w:rPr>
              <w:t>Headcount Est. (Ano 1)</w:t>
            </w:r>
          </w:p>
        </w:tc>
      </w:tr>
      <w:tr>
        <w:tc>
          <w:tcPr>
            <w:tcW w:type="dxa" w:w="2736"/>
            <w:shd w:val="clear" w:color="auto" w:fill="FFFFFF"/>
          </w:tcPr>
          <w:p>
            <w:r>
              <w:rPr>
                <w:color w:val="222233"/>
                <w:sz w:val="19"/>
              </w:rPr>
              <w:t>Presidência Executiva / CEO</w:t>
            </w:r>
          </w:p>
        </w:tc>
        <w:tc>
          <w:tcPr>
            <w:tcW w:type="dxa" w:w="5040"/>
            <w:shd w:val="clear" w:color="auto" w:fill="FFFFFF"/>
          </w:tcPr>
          <w:p>
            <w:r>
              <w:rPr>
                <w:color w:val="222233"/>
                <w:sz w:val="19"/>
              </w:rPr>
              <w:t>Visão estratégica, relação com Shareholders, Sponsors e reguladores</w:t>
            </w:r>
          </w:p>
        </w:tc>
        <w:tc>
          <w:tcPr>
            <w:tcW w:type="dxa" w:w="1872"/>
            <w:shd w:val="clear" w:color="auto" w:fill="FFFFFF"/>
          </w:tcPr>
          <w:p>
            <w:r>
              <w:rPr>
                <w:color w:val="222233"/>
                <w:sz w:val="19"/>
              </w:rPr>
              <w:t>1</w:t>
            </w:r>
          </w:p>
        </w:tc>
      </w:tr>
      <w:tr>
        <w:tc>
          <w:tcPr>
            <w:tcW w:type="dxa" w:w="2736"/>
            <w:shd w:val="clear" w:color="auto" w:fill="EAF4FF"/>
          </w:tcPr>
          <w:p>
            <w:r>
              <w:rPr>
                <w:color w:val="222233"/>
                <w:sz w:val="19"/>
              </w:rPr>
              <w:t>COO — Operações</w:t>
            </w:r>
          </w:p>
        </w:tc>
        <w:tc>
          <w:tcPr>
            <w:tcW w:type="dxa" w:w="5040"/>
            <w:shd w:val="clear" w:color="auto" w:fill="EAF4FF"/>
          </w:tcPr>
          <w:p>
            <w:r>
              <w:rPr>
                <w:color w:val="222233"/>
                <w:sz w:val="19"/>
              </w:rPr>
              <w:t>Gestão da operação diária, processos, qualidade, SLA</w:t>
            </w:r>
          </w:p>
        </w:tc>
        <w:tc>
          <w:tcPr>
            <w:tcW w:type="dxa" w:w="1872"/>
            <w:shd w:val="clear" w:color="auto" w:fill="EAF4FF"/>
          </w:tcPr>
          <w:p>
            <w:r>
              <w:rPr>
                <w:color w:val="222233"/>
                <w:sz w:val="19"/>
              </w:rPr>
              <w:t>1 + equipe 5</w:t>
            </w:r>
          </w:p>
        </w:tc>
      </w:tr>
      <w:tr>
        <w:tc>
          <w:tcPr>
            <w:tcW w:type="dxa" w:w="2736"/>
            <w:shd w:val="clear" w:color="auto" w:fill="FFFFFF"/>
          </w:tcPr>
          <w:p>
            <w:r>
              <w:rPr>
                <w:color w:val="222233"/>
                <w:sz w:val="19"/>
              </w:rPr>
              <w:t>CFO — Financeiro</w:t>
            </w:r>
          </w:p>
        </w:tc>
        <w:tc>
          <w:tcPr>
            <w:tcW w:type="dxa" w:w="5040"/>
            <w:shd w:val="clear" w:color="auto" w:fill="FFFFFF"/>
          </w:tcPr>
          <w:p>
            <w:r>
              <w:rPr>
                <w:color w:val="222233"/>
                <w:sz w:val="19"/>
              </w:rPr>
              <w:t>Tesouraria, contabilidade ODOO, câmbio, relatórios FATCA/CRS</w:t>
            </w:r>
          </w:p>
        </w:tc>
        <w:tc>
          <w:tcPr>
            <w:tcW w:type="dxa" w:w="1872"/>
            <w:shd w:val="clear" w:color="auto" w:fill="FFFFFF"/>
          </w:tcPr>
          <w:p>
            <w:r>
              <w:rPr>
                <w:color w:val="222233"/>
                <w:sz w:val="19"/>
              </w:rPr>
              <w:t>1 + equipe 4</w:t>
            </w:r>
          </w:p>
        </w:tc>
      </w:tr>
      <w:tr>
        <w:tc>
          <w:tcPr>
            <w:tcW w:type="dxa" w:w="2736"/>
            <w:shd w:val="clear" w:color="auto" w:fill="EAF4FF"/>
          </w:tcPr>
          <w:p>
            <w:r>
              <w:rPr>
                <w:color w:val="222233"/>
                <w:sz w:val="19"/>
              </w:rPr>
              <w:t>CTO — Tecnologia</w:t>
            </w:r>
          </w:p>
        </w:tc>
        <w:tc>
          <w:tcPr>
            <w:tcW w:type="dxa" w:w="5040"/>
            <w:shd w:val="clear" w:color="auto" w:fill="EAF4FF"/>
          </w:tcPr>
          <w:p>
            <w:r>
              <w:rPr>
                <w:color w:val="222233"/>
                <w:sz w:val="19"/>
              </w:rPr>
              <w:t>Plataforma, MACRO HASH, APIs, segurança, AGENTIC AI</w:t>
            </w:r>
          </w:p>
        </w:tc>
        <w:tc>
          <w:tcPr>
            <w:tcW w:type="dxa" w:w="1872"/>
            <w:shd w:val="clear" w:color="auto" w:fill="EAF4FF"/>
          </w:tcPr>
          <w:p>
            <w:r>
              <w:rPr>
                <w:color w:val="222233"/>
                <w:sz w:val="19"/>
              </w:rPr>
              <w:t>1 + equipe 10</w:t>
            </w:r>
          </w:p>
        </w:tc>
      </w:tr>
      <w:tr>
        <w:tc>
          <w:tcPr>
            <w:tcW w:type="dxa" w:w="2736"/>
            <w:shd w:val="clear" w:color="auto" w:fill="FFFFFF"/>
          </w:tcPr>
          <w:p>
            <w:r>
              <w:rPr>
                <w:color w:val="222233"/>
                <w:sz w:val="19"/>
              </w:rPr>
              <w:t>CCROO — Compliance</w:t>
            </w:r>
          </w:p>
        </w:tc>
        <w:tc>
          <w:tcPr>
            <w:tcW w:type="dxa" w:w="5040"/>
            <w:shd w:val="clear" w:color="auto" w:fill="FFFFFF"/>
          </w:tcPr>
          <w:p>
            <w:r>
              <w:rPr>
                <w:color w:val="222233"/>
                <w:sz w:val="19"/>
              </w:rPr>
              <w:t>AML/KYC, FATF, regulação Dubai, risco legal Brasil</w:t>
            </w:r>
          </w:p>
        </w:tc>
        <w:tc>
          <w:tcPr>
            <w:tcW w:type="dxa" w:w="1872"/>
            <w:shd w:val="clear" w:color="auto" w:fill="FFFFFF"/>
          </w:tcPr>
          <w:p>
            <w:r>
              <w:rPr>
                <w:color w:val="222233"/>
                <w:sz w:val="19"/>
              </w:rPr>
              <w:t>1 + equipe 4</w:t>
            </w:r>
          </w:p>
        </w:tc>
      </w:tr>
      <w:tr>
        <w:tc>
          <w:tcPr>
            <w:tcW w:type="dxa" w:w="2736"/>
            <w:shd w:val="clear" w:color="auto" w:fill="EAF4FF"/>
          </w:tcPr>
          <w:p>
            <w:r>
              <w:rPr>
                <w:color w:val="222233"/>
                <w:sz w:val="19"/>
              </w:rPr>
              <w:t>CMO — Marketing</w:t>
            </w:r>
          </w:p>
        </w:tc>
        <w:tc>
          <w:tcPr>
            <w:tcW w:type="dxa" w:w="5040"/>
            <w:shd w:val="clear" w:color="auto" w:fill="EAF4FF"/>
          </w:tcPr>
          <w:p>
            <w:r>
              <w:rPr>
                <w:color w:val="222233"/>
                <w:sz w:val="19"/>
              </w:rPr>
              <w:t>Aquisição Aplicantes + Usuários, branding, growth hacking</w:t>
            </w:r>
          </w:p>
        </w:tc>
        <w:tc>
          <w:tcPr>
            <w:tcW w:type="dxa" w:w="1872"/>
            <w:shd w:val="clear" w:color="auto" w:fill="EAF4FF"/>
          </w:tcPr>
          <w:p>
            <w:r>
              <w:rPr>
                <w:color w:val="222233"/>
                <w:sz w:val="19"/>
              </w:rPr>
              <w:t>1 + equipe 5</w:t>
            </w:r>
          </w:p>
        </w:tc>
      </w:tr>
      <w:tr>
        <w:tc>
          <w:tcPr>
            <w:tcW w:type="dxa" w:w="2736"/>
            <w:shd w:val="clear" w:color="auto" w:fill="FFFFFF"/>
          </w:tcPr>
          <w:p>
            <w:r>
              <w:rPr>
                <w:color w:val="222233"/>
                <w:sz w:val="19"/>
              </w:rPr>
              <w:t>Diretoria Comercial</w:t>
            </w:r>
          </w:p>
        </w:tc>
        <w:tc>
          <w:tcPr>
            <w:tcW w:type="dxa" w:w="5040"/>
            <w:shd w:val="clear" w:color="auto" w:fill="FFFFFF"/>
          </w:tcPr>
          <w:p>
            <w:r>
              <w:rPr>
                <w:color w:val="222233"/>
                <w:sz w:val="19"/>
              </w:rPr>
              <w:t>Diretores de Área, gestão da rede de executivos</w:t>
            </w:r>
          </w:p>
        </w:tc>
        <w:tc>
          <w:tcPr>
            <w:tcW w:type="dxa" w:w="1872"/>
            <w:shd w:val="clear" w:color="auto" w:fill="FFFFFF"/>
          </w:tcPr>
          <w:p>
            <w:r>
              <w:rPr>
                <w:color w:val="222233"/>
                <w:sz w:val="19"/>
              </w:rPr>
              <w:t>3 Diretores</w:t>
            </w:r>
          </w:p>
        </w:tc>
      </w:tr>
      <w:tr>
        <w:tc>
          <w:tcPr>
            <w:tcW w:type="dxa" w:w="2736"/>
            <w:shd w:val="clear" w:color="auto" w:fill="EAF4FF"/>
          </w:tcPr>
          <w:p>
            <w:r>
              <w:rPr>
                <w:color w:val="222233"/>
                <w:sz w:val="19"/>
              </w:rPr>
              <w:t>Crédito &amp; Score</w:t>
            </w:r>
          </w:p>
        </w:tc>
        <w:tc>
          <w:tcPr>
            <w:tcW w:type="dxa" w:w="5040"/>
            <w:shd w:val="clear" w:color="auto" w:fill="EAF4FF"/>
          </w:tcPr>
          <w:p>
            <w:r>
              <w:rPr>
                <w:color w:val="222233"/>
                <w:sz w:val="19"/>
              </w:rPr>
              <w:t>Motor de scoring, análise de risco, política de crédito, verticais</w:t>
            </w:r>
          </w:p>
        </w:tc>
        <w:tc>
          <w:tcPr>
            <w:tcW w:type="dxa" w:w="1872"/>
            <w:shd w:val="clear" w:color="auto" w:fill="EAF4FF"/>
          </w:tcPr>
          <w:p>
            <w:r>
              <w:rPr>
                <w:color w:val="222233"/>
                <w:sz w:val="19"/>
              </w:rPr>
              <w:t>Equipe 6</w:t>
            </w:r>
          </w:p>
        </w:tc>
      </w:tr>
      <w:tr>
        <w:tc>
          <w:tcPr>
            <w:tcW w:type="dxa" w:w="2736"/>
            <w:shd w:val="clear" w:color="auto" w:fill="FFFFFF"/>
          </w:tcPr>
          <w:p>
            <w:r>
              <w:rPr>
                <w:color w:val="222233"/>
                <w:sz w:val="19"/>
              </w:rPr>
              <w:t>Produto &amp; UX</w:t>
            </w:r>
          </w:p>
        </w:tc>
        <w:tc>
          <w:tcPr>
            <w:tcW w:type="dxa" w:w="5040"/>
            <w:shd w:val="clear" w:color="auto" w:fill="FFFFFF"/>
          </w:tcPr>
          <w:p>
            <w:r>
              <w:rPr>
                <w:color w:val="222233"/>
                <w:sz w:val="19"/>
              </w:rPr>
              <w:t>Design das plataformas (Aplicante, Usuário, 360°), roadmap</w:t>
            </w:r>
          </w:p>
        </w:tc>
        <w:tc>
          <w:tcPr>
            <w:tcW w:type="dxa" w:w="1872"/>
            <w:shd w:val="clear" w:color="auto" w:fill="FFFFFF"/>
          </w:tcPr>
          <w:p>
            <w:r>
              <w:rPr>
                <w:color w:val="222233"/>
                <w:sz w:val="19"/>
              </w:rPr>
              <w:t>Equipe 5</w:t>
            </w:r>
          </w:p>
        </w:tc>
      </w:tr>
      <w:tr>
        <w:tc>
          <w:tcPr>
            <w:tcW w:type="dxa" w:w="2736"/>
            <w:shd w:val="clear" w:color="auto" w:fill="EAF4FF"/>
          </w:tcPr>
          <w:p>
            <w:r>
              <w:rPr>
                <w:color w:val="222233"/>
                <w:sz w:val="19"/>
              </w:rPr>
              <w:t>Jurídico</w:t>
            </w:r>
          </w:p>
        </w:tc>
        <w:tc>
          <w:tcPr>
            <w:tcW w:type="dxa" w:w="5040"/>
            <w:shd w:val="clear" w:color="auto" w:fill="EAF4FF"/>
          </w:tcPr>
          <w:p>
            <w:r>
              <w:rPr>
                <w:color w:val="222233"/>
                <w:sz w:val="19"/>
              </w:rPr>
              <w:t>Contratos, regulação, litígios, propriedade intelectual</w:t>
            </w:r>
          </w:p>
        </w:tc>
        <w:tc>
          <w:tcPr>
            <w:tcW w:type="dxa" w:w="1872"/>
            <w:shd w:val="clear" w:color="auto" w:fill="EAF4FF"/>
          </w:tcPr>
          <w:p>
            <w:r>
              <w:rPr>
                <w:color w:val="222233"/>
                <w:sz w:val="19"/>
              </w:rPr>
              <w:t>Equipe 3</w:t>
            </w:r>
          </w:p>
        </w:tc>
      </w:tr>
      <w:tr>
        <w:tc>
          <w:tcPr>
            <w:tcW w:type="dxa" w:w="2736"/>
            <w:shd w:val="clear" w:color="auto" w:fill="FFFFFF"/>
          </w:tcPr>
          <w:p>
            <w:r>
              <w:rPr>
                <w:color w:val="222233"/>
                <w:sz w:val="19"/>
              </w:rPr>
              <w:t>RH &amp; Cultura</w:t>
            </w:r>
          </w:p>
        </w:tc>
        <w:tc>
          <w:tcPr>
            <w:tcW w:type="dxa" w:w="5040"/>
            <w:shd w:val="clear" w:color="auto" w:fill="FFFFFF"/>
          </w:tcPr>
          <w:p>
            <w:r>
              <w:rPr>
                <w:color w:val="222233"/>
                <w:sz w:val="19"/>
              </w:rPr>
              <w:t>Recrutamento executivos de campo, treinamento, benefícios</w:t>
            </w:r>
          </w:p>
        </w:tc>
        <w:tc>
          <w:tcPr>
            <w:tcW w:type="dxa" w:w="1872"/>
            <w:shd w:val="clear" w:color="auto" w:fill="FFFFFF"/>
          </w:tcPr>
          <w:p>
            <w:r>
              <w:rPr>
                <w:color w:val="222233"/>
                <w:sz w:val="19"/>
              </w:rPr>
              <w:t>Equipe 4</w:t>
            </w:r>
          </w:p>
        </w:tc>
      </w:tr>
      <w:tr>
        <w:tc>
          <w:tcPr>
            <w:tcW w:type="dxa" w:w="2736"/>
            <w:shd w:val="clear" w:color="auto" w:fill="EAF4FF"/>
          </w:tcPr>
          <w:p>
            <w:r>
              <w:rPr>
                <w:color w:val="222233"/>
                <w:sz w:val="19"/>
              </w:rPr>
              <w:t>Operações de Campo</w:t>
            </w:r>
          </w:p>
        </w:tc>
        <w:tc>
          <w:tcPr>
            <w:tcW w:type="dxa" w:w="5040"/>
            <w:shd w:val="clear" w:color="auto" w:fill="EAF4FF"/>
          </w:tcPr>
          <w:p>
            <w:r>
              <w:rPr>
                <w:color w:val="222233"/>
                <w:sz w:val="19"/>
              </w:rPr>
              <w:t>Rede de Executivos Sênior/Júnior e Assistentes</w:t>
            </w:r>
          </w:p>
        </w:tc>
        <w:tc>
          <w:tcPr>
            <w:tcW w:type="dxa" w:w="1872"/>
            <w:shd w:val="clear" w:color="auto" w:fill="EAF4FF"/>
          </w:tcPr>
          <w:p>
            <w:r>
              <w:rPr>
                <w:color w:val="222233"/>
                <w:sz w:val="19"/>
              </w:rPr>
              <w:t>200–500</w:t>
            </w:r>
          </w:p>
        </w:tc>
      </w:tr>
      <w:tr>
        <w:tc>
          <w:tcPr>
            <w:tcW w:type="dxa" w:w="2736"/>
            <w:shd w:val="clear" w:color="auto" w:fill="FFFFFF"/>
          </w:tcPr>
          <w:p>
            <w:r>
              <w:rPr>
                <w:color w:val="222233"/>
                <w:sz w:val="19"/>
              </w:rPr>
              <w:t>Cobrança &amp; Recuperação</w:t>
            </w:r>
          </w:p>
        </w:tc>
        <w:tc>
          <w:tcPr>
            <w:tcW w:type="dxa" w:w="5040"/>
            <w:shd w:val="clear" w:color="auto" w:fill="FFFFFF"/>
          </w:tcPr>
          <w:p>
            <w:r>
              <w:rPr>
                <w:color w:val="222233"/>
                <w:sz w:val="19"/>
              </w:rPr>
              <w:t>Negociação de débitos, renegociação de contratos, jurídico de cobrança</w:t>
            </w:r>
          </w:p>
        </w:tc>
        <w:tc>
          <w:tcPr>
            <w:tcW w:type="dxa" w:w="1872"/>
            <w:shd w:val="clear" w:color="auto" w:fill="FFFFFF"/>
          </w:tcPr>
          <w:p>
            <w:r>
              <w:rPr>
                <w:color w:val="222233"/>
                <w:sz w:val="19"/>
              </w:rPr>
              <w:t>Equipe 8</w:t>
            </w:r>
          </w:p>
        </w:tc>
      </w:tr>
      <w:tr>
        <w:tc>
          <w:tcPr>
            <w:tcW w:type="dxa" w:w="2736"/>
            <w:shd w:val="clear" w:color="auto" w:fill="EAF4FF"/>
          </w:tcPr>
          <w:p>
            <w:r>
              <w:rPr>
                <w:color w:val="222233"/>
                <w:sz w:val="19"/>
              </w:rPr>
              <w:t>Merchant Success</w:t>
            </w:r>
          </w:p>
        </w:tc>
        <w:tc>
          <w:tcPr>
            <w:tcW w:type="dxa" w:w="5040"/>
            <w:shd w:val="clear" w:color="auto" w:fill="EAF4FF"/>
          </w:tcPr>
          <w:p>
            <w:r>
              <w:rPr>
                <w:color w:val="222233"/>
                <w:sz w:val="19"/>
              </w:rPr>
              <w:t>Credenciamento e retenção de merchants, parcerias, descontos</w:t>
            </w:r>
          </w:p>
        </w:tc>
        <w:tc>
          <w:tcPr>
            <w:tcW w:type="dxa" w:w="1872"/>
            <w:shd w:val="clear" w:color="auto" w:fill="EAF4FF"/>
          </w:tcPr>
          <w:p>
            <w:r>
              <w:rPr>
                <w:color w:val="222233"/>
                <w:sz w:val="19"/>
              </w:rPr>
              <w:t>Equipe 6</w:t>
            </w:r>
          </w:p>
        </w:tc>
      </w:tr>
      <w:tr>
        <w:tc>
          <w:tcPr>
            <w:tcW w:type="dxa" w:w="2736"/>
            <w:shd w:val="clear" w:color="auto" w:fill="FFFFFF"/>
          </w:tcPr>
          <w:p>
            <w:r>
              <w:rPr>
                <w:color w:val="222233"/>
                <w:sz w:val="19"/>
              </w:rPr>
              <w:t>Data Science &amp; BI</w:t>
            </w:r>
          </w:p>
        </w:tc>
        <w:tc>
          <w:tcPr>
            <w:tcW w:type="dxa" w:w="5040"/>
            <w:shd w:val="clear" w:color="auto" w:fill="FFFFFF"/>
          </w:tcPr>
          <w:p>
            <w:r>
              <w:rPr>
                <w:color w:val="222233"/>
                <w:sz w:val="19"/>
              </w:rPr>
              <w:t>Análise de dados, relatórios 360°, forecast, modelos preditivos</w:t>
            </w:r>
          </w:p>
        </w:tc>
        <w:tc>
          <w:tcPr>
            <w:tcW w:type="dxa" w:w="1872"/>
            <w:shd w:val="clear" w:color="auto" w:fill="FFFFFF"/>
          </w:tcPr>
          <w:p>
            <w:r>
              <w:rPr>
                <w:color w:val="222233"/>
                <w:sz w:val="19"/>
              </w:rPr>
              <w:t>Equipe 5</w:t>
            </w:r>
          </w:p>
        </w:tc>
      </w:tr>
      <w:tr>
        <w:tc>
          <w:tcPr>
            <w:tcW w:type="dxa" w:w="2736"/>
            <w:shd w:val="clear" w:color="auto" w:fill="EAF4FF"/>
          </w:tcPr>
          <w:p>
            <w:r>
              <w:rPr>
                <w:color w:val="222233"/>
                <w:sz w:val="19"/>
              </w:rPr>
              <w:t>SAC / Customer Experience</w:t>
            </w:r>
          </w:p>
        </w:tc>
        <w:tc>
          <w:tcPr>
            <w:tcW w:type="dxa" w:w="5040"/>
            <w:shd w:val="clear" w:color="auto" w:fill="EAF4FF"/>
          </w:tcPr>
          <w:p>
            <w:r>
              <w:rPr>
                <w:color w:val="222233"/>
                <w:sz w:val="19"/>
              </w:rPr>
              <w:t>Suporte a Usuários e Aplicantes, canal executivos-Usuários</w:t>
            </w:r>
          </w:p>
        </w:tc>
        <w:tc>
          <w:tcPr>
            <w:tcW w:type="dxa" w:w="1872"/>
            <w:shd w:val="clear" w:color="auto" w:fill="EAF4FF"/>
          </w:tcPr>
          <w:p>
            <w:r>
              <w:rPr>
                <w:color w:val="222233"/>
                <w:sz w:val="19"/>
              </w:rPr>
              <w:t>Equipe 15</w:t>
            </w:r>
          </w:p>
        </w:tc>
      </w:tr>
      <w:tr>
        <w:tc>
          <w:tcPr>
            <w:tcW w:type="dxa" w:w="2736"/>
            <w:shd w:val="clear" w:color="auto" w:fill="FFFFFF"/>
          </w:tcPr>
          <w:p>
            <w:r>
              <w:rPr>
                <w:color w:val="222233"/>
                <w:sz w:val="19"/>
              </w:rPr>
              <w:t>SPE Exchange Ops (Dubai)</w:t>
            </w:r>
          </w:p>
        </w:tc>
        <w:tc>
          <w:tcPr>
            <w:tcW w:type="dxa" w:w="5040"/>
            <w:shd w:val="clear" w:color="auto" w:fill="FFFFFF"/>
          </w:tcPr>
          <w:p>
            <w:r>
              <w:rPr>
                <w:color w:val="222233"/>
                <w:sz w:val="19"/>
              </w:rPr>
              <w:t>Gestão operacional da exchange, custódia, liquidação</w:t>
            </w:r>
          </w:p>
        </w:tc>
        <w:tc>
          <w:tcPr>
            <w:tcW w:type="dxa" w:w="1872"/>
            <w:shd w:val="clear" w:color="auto" w:fill="FFFFFF"/>
          </w:tcPr>
          <w:p>
            <w:r>
              <w:rPr>
                <w:color w:val="222233"/>
                <w:sz w:val="19"/>
              </w:rPr>
              <w:t>Equipe 4</w:t>
            </w:r>
          </w:p>
        </w:tc>
      </w:tr>
      <w:tr>
        <w:tc>
          <w:tcPr>
            <w:tcW w:type="dxa" w:w="2736"/>
            <w:shd w:val="clear" w:color="auto" w:fill="EAF4FF"/>
          </w:tcPr>
          <w:p>
            <w:r>
              <w:rPr>
                <w:color w:val="222233"/>
                <w:sz w:val="19"/>
              </w:rPr>
              <w:t>Auditoria Interna</w:t>
            </w:r>
          </w:p>
        </w:tc>
        <w:tc>
          <w:tcPr>
            <w:tcW w:type="dxa" w:w="5040"/>
            <w:shd w:val="clear" w:color="auto" w:fill="EAF4FF"/>
          </w:tcPr>
          <w:p>
            <w:r>
              <w:rPr>
                <w:color w:val="222233"/>
                <w:sz w:val="19"/>
              </w:rPr>
              <w:t>Conformidade com ODOO, relatórios regulatórios, controles internos</w:t>
            </w:r>
          </w:p>
        </w:tc>
        <w:tc>
          <w:tcPr>
            <w:tcW w:type="dxa" w:w="1872"/>
            <w:shd w:val="clear" w:color="auto" w:fill="EAF4FF"/>
          </w:tcPr>
          <w:p>
            <w:r>
              <w:rPr>
                <w:color w:val="222233"/>
                <w:sz w:val="19"/>
              </w:rPr>
              <w:t>Equipe 3</w:t>
            </w:r>
          </w:p>
        </w:tc>
      </w:tr>
    </w:tbl>
    <w:p/>
    <w:p>
      <w:r>
        <w:br w:type="page"/>
      </w:r>
    </w:p>
    <w:p>
      <w:pPr>
        <w:spacing w:before="280" w:after="120"/>
      </w:pPr>
      <w:r>
        <w:rPr>
          <w:b/>
          <w:color w:val="00B4D8"/>
          <w:sz w:val="36"/>
        </w:rPr>
        <w:t>8. INOVAÇÕES INCREMENTAIS — ELEMENTOS NÃO EXPLORADOS ANTERIORMENTE</w:t>
      </w:r>
    </w:p>
    <w:p>
      <w:pPr>
        <w:spacing w:before="80" w:after="80"/>
        <w:pBdr>
          <w:bottom w:val="single" w:sz="6" w:space="1" w:color="00B4D8"/>
        </w:pBdr>
      </w:pPr>
    </w:p>
    <w:p>
      <w:pPr>
        <w:spacing w:after="120" w:before="40"/>
      </w:pPr>
      <w:r>
        <w:rPr>
          <w:b w:val="0"/>
          <w:i w:val="0"/>
          <w:color w:val="444455"/>
          <w:sz w:val="21"/>
        </w:rPr>
        <w:t>Com base na literatura acadêmica (Iyer et al., Herzenstein, Lin et al., Berger &amp; Gleisner) e nos benchmarks globais analisados, identificamos os seguintes elementos de inovação que elevam o NEXUS acima dos modelos existentes:</w:t>
      </w:r>
    </w:p>
    <w:p>
      <w:pPr>
        <w:spacing w:before="160" w:after="120"/>
      </w:pPr>
      <w:r>
        <w:rPr>
          <w:b/>
          <w:color w:val="F5A623"/>
          <w:sz w:val="28"/>
        </w:rPr>
        <w:t>8.1 Sistema de Vouching Social (Lin et al., 2012)</w:t>
      </w:r>
    </w:p>
    <w:p>
      <w:pPr>
        <w:spacing w:after="120" w:before="40"/>
      </w:pPr>
      <w:r>
        <w:rPr>
          <w:b w:val="0"/>
          <w:i w:val="0"/>
          <w:color w:val="444455"/>
          <w:sz w:val="21"/>
        </w:rPr>
        <w:t>Usuários podem endossar outros Usuários da plataforma. Cada endosso de um Usuário com histórico de adimplência superior a 18 meses eleva em 8 pontos o score do endossado. Isso reaplica a descoberta acadêmica de que redes sociais verificáveis reduzem default em até 30%.</w:t>
      </w:r>
    </w:p>
    <w:p>
      <w:pPr>
        <w:spacing w:before="160" w:after="120"/>
      </w:pPr>
      <w:r>
        <w:rPr>
          <w:b/>
          <w:color w:val="F5A623"/>
          <w:sz w:val="28"/>
        </w:rPr>
        <w:t>8.2 NFT de Portfólio para Transferência de Cotas</w:t>
      </w:r>
    </w:p>
    <w:p>
      <w:pPr>
        <w:spacing w:after="120" w:before="40"/>
      </w:pPr>
      <w:r>
        <w:rPr>
          <w:b w:val="0"/>
          <w:i w:val="0"/>
          <w:color w:val="444455"/>
          <w:sz w:val="21"/>
        </w:rPr>
        <w:t>Cada portfólio do Aplicante pode ser 'tokenizado' como um NFT no ledger da SPE Exchange, permitindo transferência de cotas entre Aplicantes sem liquidação antecipada. Cria um mercado secundário interno de portfólios, aumentando a liquidez do produto para investidores.</w:t>
      </w:r>
    </w:p>
    <w:p>
      <w:pPr>
        <w:spacing w:before="160" w:after="120"/>
      </w:pPr>
      <w:r>
        <w:rPr>
          <w:b/>
          <w:color w:val="F5A623"/>
          <w:sz w:val="28"/>
        </w:rPr>
        <w:t>8.3 Score Comportamental Dinâmico (Além do Bureau)</w:t>
      </w:r>
    </w:p>
    <w:p>
      <w:pPr>
        <w:spacing w:after="120" w:before="40"/>
      </w:pPr>
      <w:r>
        <w:rPr>
          <w:b w:val="0"/>
          <w:i w:val="0"/>
          <w:color w:val="444455"/>
          <w:sz w:val="21"/>
        </w:rPr>
        <w:t>O motor de IA analisa padrões de uso do cartão em tempo real: consistência de uso mensal, diversidade de MCCs, sazonalidade de gastos e correlação com indicadores macroeconômicos regionais. O score é atualizado mensalmente, permitindo upgrades e downgrades dinâmicos de limite.</w:t>
      </w:r>
    </w:p>
    <w:p>
      <w:pPr>
        <w:spacing w:before="160" w:after="120"/>
      </w:pPr>
      <w:r>
        <w:rPr>
          <w:b/>
          <w:color w:val="F5A623"/>
          <w:sz w:val="28"/>
        </w:rPr>
        <w:t>8.4 Programa de Fidelidade do Merchant — NEXUS REWARDS</w:t>
      </w:r>
    </w:p>
    <w:p>
      <w:pPr>
        <w:spacing w:after="120" w:before="40"/>
      </w:pPr>
      <w:r>
        <w:rPr>
          <w:b w:val="0"/>
          <w:i w:val="0"/>
          <w:color w:val="444455"/>
          <w:sz w:val="21"/>
        </w:rPr>
        <w:t>Merchants credenciados podem oferecer descontos exclusivos (1% a 5%) para portadores do cartão NEXUS. O desconto é financiado pelo próprio MDR, sem custo adicional ao merchant. Cria lock-in do Usuário e aumenta o volume de transações por cartão.</w:t>
      </w:r>
    </w:p>
    <w:p>
      <w:pPr>
        <w:spacing w:before="160" w:after="120"/>
      </w:pPr>
      <w:r>
        <w:rPr>
          <w:b/>
          <w:color w:val="F5A623"/>
          <w:sz w:val="28"/>
        </w:rPr>
        <w:t>8.5 Modo 'Autopiloto' para o Aplicante (Inspirado em Bondora Go&amp;Grow)</w:t>
      </w:r>
    </w:p>
    <w:p>
      <w:pPr>
        <w:spacing w:after="120" w:before="40"/>
      </w:pPr>
      <w:r>
        <w:rPr>
          <w:b w:val="0"/>
          <w:i w:val="0"/>
          <w:color w:val="444455"/>
          <w:sz w:val="21"/>
        </w:rPr>
        <w:t>Aplicante pode escolher o modo Autopiloto, onde a plataforma compõe automaticamente o portfólio ótimo baseado no perfil de risco declarado e reinveste os juros automaticamente. Ideal para Aplicantes que querem exposição ao produto sem curadoria ativa.</w:t>
      </w:r>
    </w:p>
    <w:p>
      <w:pPr>
        <w:spacing w:before="160" w:after="120"/>
      </w:pPr>
      <w:r>
        <w:rPr>
          <w:b/>
          <w:color w:val="F5A623"/>
          <w:sz w:val="28"/>
        </w:rPr>
        <w:t>8.6 Integração Open Finance (Pix + Open Banking)</w:t>
      </w:r>
    </w:p>
    <w:p>
      <w:pPr>
        <w:spacing w:after="120" w:before="40"/>
      </w:pPr>
      <w:r>
        <w:rPr>
          <w:b w:val="0"/>
          <w:i w:val="0"/>
          <w:color w:val="444455"/>
          <w:sz w:val="21"/>
        </w:rPr>
        <w:t>Integração com o ecossistema de Open Finance do Banco Central (mesmo no modelo GREY, via entidade operacional local) permite leitura de extrato bancário do Usuário para scoring enriquecido, pagamento de fatura via Pix e consulta a histórico de contas em outras instituições.</w:t>
      </w:r>
    </w:p>
    <w:p>
      <w:pPr>
        <w:spacing w:before="160" w:after="120"/>
      </w:pPr>
      <w:r>
        <w:rPr>
          <w:b/>
          <w:color w:val="F5A623"/>
          <w:sz w:val="28"/>
        </w:rPr>
        <w:t>8.7 Seguro Prestamista Embutido</w:t>
      </w:r>
    </w:p>
    <w:p>
      <w:pPr>
        <w:spacing w:after="120" w:before="40"/>
      </w:pPr>
      <w:r>
        <w:rPr>
          <w:b w:val="0"/>
          <w:i w:val="0"/>
          <w:color w:val="444455"/>
          <w:sz w:val="21"/>
        </w:rPr>
        <w:t>Cada cartão NEXUS pode incluir um seguro prestamista (morte, invalidez, desemprego involuntário) com prêmio de 0,3% a 0,8% ao mês embutido na fatura. Além de proteger o Aplicante, cria receita adicional via corretagem de seguros e reduz o risco de default por eventos não intencionais.</w:t>
      </w:r>
    </w:p>
    <w:p>
      <w:r>
        <w:br w:type="page"/>
      </w:r>
    </w:p>
    <w:p>
      <w:pPr>
        <w:spacing w:before="280" w:after="120"/>
      </w:pPr>
      <w:r>
        <w:rPr>
          <w:b/>
          <w:color w:val="00B4D8"/>
          <w:sz w:val="36"/>
        </w:rPr>
        <w:t>9. ROADMAP DE IMPLEMENTAÇÃO</w:t>
      </w:r>
    </w:p>
    <w:p>
      <w:pPr>
        <w:spacing w:before="80" w:after="80"/>
        <w:pBdr>
          <w:bottom w:val="single" w:sz="6" w:space="1" w:color="00B4D8"/>
        </w:pBdr>
      </w:pP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728"/>
            <w:shd w:val="clear" w:color="auto" w:fill="0D1B2A"/>
          </w:tcPr>
          <w:p>
            <w:pPr>
              <w:jc w:val="center"/>
            </w:pPr>
            <w:r>
              <w:rPr>
                <w:b/>
                <w:color w:val="FFFFFF"/>
                <w:sz w:val="20"/>
              </w:rPr>
              <w:t>Fase</w:t>
            </w:r>
          </w:p>
        </w:tc>
        <w:tc>
          <w:tcPr>
            <w:tcW w:type="dxa" w:w="1296"/>
            <w:shd w:val="clear" w:color="auto" w:fill="0D1B2A"/>
          </w:tcPr>
          <w:p>
            <w:pPr>
              <w:jc w:val="center"/>
            </w:pPr>
            <w:r>
              <w:rPr>
                <w:b/>
                <w:color w:val="FFFFFF"/>
                <w:sz w:val="20"/>
              </w:rPr>
              <w:t>Período</w:t>
            </w:r>
          </w:p>
        </w:tc>
        <w:tc>
          <w:tcPr>
            <w:tcW w:type="dxa" w:w="4896"/>
            <w:shd w:val="clear" w:color="auto" w:fill="0D1B2A"/>
          </w:tcPr>
          <w:p>
            <w:pPr>
              <w:jc w:val="center"/>
            </w:pPr>
            <w:r>
              <w:rPr>
                <w:b/>
                <w:color w:val="FFFFFF"/>
                <w:sz w:val="20"/>
              </w:rPr>
              <w:t>Entregas Principais</w:t>
            </w:r>
          </w:p>
        </w:tc>
        <w:tc>
          <w:tcPr>
            <w:tcW w:type="dxa" w:w="2592"/>
            <w:shd w:val="clear" w:color="auto" w:fill="0D1B2A"/>
          </w:tcPr>
          <w:p>
            <w:pPr>
              <w:jc w:val="center"/>
            </w:pPr>
            <w:r>
              <w:rPr>
                <w:b/>
                <w:color w:val="FFFFFF"/>
                <w:sz w:val="20"/>
              </w:rPr>
              <w:t>KPI de Validação</w:t>
            </w:r>
          </w:p>
        </w:tc>
      </w:tr>
      <w:tr>
        <w:tc>
          <w:tcPr>
            <w:tcW w:type="dxa" w:w="1728"/>
            <w:shd w:val="clear" w:color="auto" w:fill="FFFFFF"/>
          </w:tcPr>
          <w:p>
            <w:r>
              <w:rPr>
                <w:color w:val="222233"/>
                <w:sz w:val="19"/>
              </w:rPr>
              <w:t>Fase 0 — Fundação</w:t>
            </w:r>
          </w:p>
        </w:tc>
        <w:tc>
          <w:tcPr>
            <w:tcW w:type="dxa" w:w="1296"/>
            <w:shd w:val="clear" w:color="auto" w:fill="FFFFFF"/>
          </w:tcPr>
          <w:p>
            <w:r>
              <w:rPr>
                <w:color w:val="222233"/>
                <w:sz w:val="19"/>
              </w:rPr>
              <w:t>Meses 1–3</w:t>
            </w:r>
          </w:p>
        </w:tc>
        <w:tc>
          <w:tcPr>
            <w:tcW w:type="dxa" w:w="4896"/>
            <w:shd w:val="clear" w:color="auto" w:fill="FFFFFF"/>
          </w:tcPr>
          <w:p>
            <w:r>
              <w:rPr>
                <w:color w:val="222233"/>
                <w:sz w:val="19"/>
              </w:rPr>
              <w:t>Constituição SPE Exchange Dubai | Contratação CTO/CCROO/CFO | Definição parceiro BIN Sponsor | Contrato Transfero/BS2</w:t>
            </w:r>
          </w:p>
        </w:tc>
        <w:tc>
          <w:tcPr>
            <w:tcW w:type="dxa" w:w="2592"/>
            <w:shd w:val="clear" w:color="auto" w:fill="FFFFFF"/>
          </w:tcPr>
          <w:p>
            <w:r>
              <w:rPr>
                <w:color w:val="222233"/>
                <w:sz w:val="19"/>
              </w:rPr>
              <w:t>SPE Exchange licenciada | Time C-level completo</w:t>
            </w:r>
          </w:p>
        </w:tc>
      </w:tr>
      <w:tr>
        <w:tc>
          <w:tcPr>
            <w:tcW w:type="dxa" w:w="1728"/>
            <w:shd w:val="clear" w:color="auto" w:fill="EAF4FF"/>
          </w:tcPr>
          <w:p>
            <w:r>
              <w:rPr>
                <w:color w:val="222233"/>
                <w:sz w:val="19"/>
              </w:rPr>
              <w:t>Fase 1 — MVP</w:t>
            </w:r>
          </w:p>
        </w:tc>
        <w:tc>
          <w:tcPr>
            <w:tcW w:type="dxa" w:w="1296"/>
            <w:shd w:val="clear" w:color="auto" w:fill="EAF4FF"/>
          </w:tcPr>
          <w:p>
            <w:r>
              <w:rPr>
                <w:color w:val="222233"/>
                <w:sz w:val="19"/>
              </w:rPr>
              <w:t>Meses 4–8</w:t>
            </w:r>
          </w:p>
        </w:tc>
        <w:tc>
          <w:tcPr>
            <w:tcW w:type="dxa" w:w="4896"/>
            <w:shd w:val="clear" w:color="auto" w:fill="EAF4FF"/>
          </w:tcPr>
          <w:p>
            <w:r>
              <w:rPr>
                <w:color w:val="222233"/>
                <w:sz w:val="19"/>
              </w:rPr>
              <w:t>Plataforma v1.0 (Aplicante + Usuário) | MACRO HASH v1 | 10 Executivos de Área piloto | 500 Usuários beta | 20 Aplicantes seed</w:t>
            </w:r>
          </w:p>
        </w:tc>
        <w:tc>
          <w:tcPr>
            <w:tcW w:type="dxa" w:w="2592"/>
            <w:shd w:val="clear" w:color="auto" w:fill="EAF4FF"/>
          </w:tcPr>
          <w:p>
            <w:r>
              <w:rPr>
                <w:color w:val="222233"/>
                <w:sz w:val="19"/>
              </w:rPr>
              <w:t>500 cartões ativos | R$ 1M capital sob gestão</w:t>
            </w:r>
          </w:p>
        </w:tc>
      </w:tr>
      <w:tr>
        <w:tc>
          <w:tcPr>
            <w:tcW w:type="dxa" w:w="1728"/>
            <w:shd w:val="clear" w:color="auto" w:fill="FFFFFF"/>
          </w:tcPr>
          <w:p>
            <w:r>
              <w:rPr>
                <w:color w:val="222233"/>
                <w:sz w:val="19"/>
              </w:rPr>
              <w:t>Fase 2 — Go-Live</w:t>
            </w:r>
          </w:p>
        </w:tc>
        <w:tc>
          <w:tcPr>
            <w:tcW w:type="dxa" w:w="1296"/>
            <w:shd w:val="clear" w:color="auto" w:fill="FFFFFF"/>
          </w:tcPr>
          <w:p>
            <w:r>
              <w:rPr>
                <w:color w:val="222233"/>
                <w:sz w:val="19"/>
              </w:rPr>
              <w:t>Meses 9–15</w:t>
            </w:r>
          </w:p>
        </w:tc>
        <w:tc>
          <w:tcPr>
            <w:tcW w:type="dxa" w:w="4896"/>
            <w:shd w:val="clear" w:color="auto" w:fill="FFFFFF"/>
          </w:tcPr>
          <w:p>
            <w:r>
              <w:rPr>
                <w:color w:val="222233"/>
                <w:sz w:val="19"/>
              </w:rPr>
              <w:t>Plataforma completa com 360° Board | Rede de 50 Executivos | Merchant network 200 locais | Campanha de aquisição</w:t>
            </w:r>
          </w:p>
        </w:tc>
        <w:tc>
          <w:tcPr>
            <w:tcW w:type="dxa" w:w="2592"/>
            <w:shd w:val="clear" w:color="auto" w:fill="FFFFFF"/>
          </w:tcPr>
          <w:p>
            <w:r>
              <w:rPr>
                <w:color w:val="222233"/>
                <w:sz w:val="19"/>
              </w:rPr>
              <w:t>30.000 cartões | R$ 45M AUM | MDR positivo</w:t>
            </w:r>
          </w:p>
        </w:tc>
      </w:tr>
      <w:tr>
        <w:tc>
          <w:tcPr>
            <w:tcW w:type="dxa" w:w="1728"/>
            <w:shd w:val="clear" w:color="auto" w:fill="EAF4FF"/>
          </w:tcPr>
          <w:p>
            <w:r>
              <w:rPr>
                <w:color w:val="222233"/>
                <w:sz w:val="19"/>
              </w:rPr>
              <w:t>Fase 3 — Escala</w:t>
            </w:r>
          </w:p>
        </w:tc>
        <w:tc>
          <w:tcPr>
            <w:tcW w:type="dxa" w:w="1296"/>
            <w:shd w:val="clear" w:color="auto" w:fill="EAF4FF"/>
          </w:tcPr>
          <w:p>
            <w:r>
              <w:rPr>
                <w:color w:val="222233"/>
                <w:sz w:val="19"/>
              </w:rPr>
              <w:t>Meses 16–24</w:t>
            </w:r>
          </w:p>
        </w:tc>
        <w:tc>
          <w:tcPr>
            <w:tcW w:type="dxa" w:w="4896"/>
            <w:shd w:val="clear" w:color="auto" w:fill="EAF4FF"/>
          </w:tcPr>
          <w:p>
            <w:r>
              <w:rPr>
                <w:color w:val="222233"/>
                <w:sz w:val="19"/>
              </w:rPr>
              <w:t>Expansão nacional (todas as capitais) | 200 Executivos | NFT portfólios | Vouching Social | NEXUS Rewards</w:t>
            </w:r>
          </w:p>
        </w:tc>
        <w:tc>
          <w:tcPr>
            <w:tcW w:type="dxa" w:w="2592"/>
            <w:shd w:val="clear" w:color="auto" w:fill="EAF4FF"/>
          </w:tcPr>
          <w:p>
            <w:r>
              <w:rPr>
                <w:color w:val="222233"/>
                <w:sz w:val="19"/>
              </w:rPr>
              <w:t>90.000 cartões | Break-even atingido</w:t>
            </w:r>
          </w:p>
        </w:tc>
      </w:tr>
      <w:tr>
        <w:tc>
          <w:tcPr>
            <w:tcW w:type="dxa" w:w="1728"/>
            <w:shd w:val="clear" w:color="auto" w:fill="FFFFFF"/>
          </w:tcPr>
          <w:p>
            <w:r>
              <w:rPr>
                <w:color w:val="222233"/>
                <w:sz w:val="19"/>
              </w:rPr>
              <w:t>Fase 4 — Expansão</w:t>
            </w:r>
          </w:p>
        </w:tc>
        <w:tc>
          <w:tcPr>
            <w:tcW w:type="dxa" w:w="1296"/>
            <w:shd w:val="clear" w:color="auto" w:fill="FFFFFF"/>
          </w:tcPr>
          <w:p>
            <w:r>
              <w:rPr>
                <w:color w:val="222233"/>
                <w:sz w:val="19"/>
              </w:rPr>
              <w:t>Meses 25–36</w:t>
            </w:r>
          </w:p>
        </w:tc>
        <w:tc>
          <w:tcPr>
            <w:tcW w:type="dxa" w:w="4896"/>
            <w:shd w:val="clear" w:color="auto" w:fill="FFFFFF"/>
          </w:tcPr>
          <w:p>
            <w:r>
              <w:rPr>
                <w:color w:val="222233"/>
                <w:sz w:val="19"/>
              </w:rPr>
              <w:t>Internacionalização (México, Colômbia) | Série B | 500.000 cartões | Parceria com exchange tier-1</w:t>
            </w:r>
          </w:p>
        </w:tc>
        <w:tc>
          <w:tcPr>
            <w:tcW w:type="dxa" w:w="2592"/>
            <w:shd w:val="clear" w:color="auto" w:fill="FFFFFF"/>
          </w:tcPr>
          <w:p>
            <w:r>
              <w:rPr>
                <w:color w:val="222233"/>
                <w:sz w:val="19"/>
              </w:rPr>
              <w:t>R$ 750M AUM | EBITDA 30%+ | IPO/M&amp;A prep</w:t>
            </w:r>
          </w:p>
        </w:tc>
      </w:tr>
    </w:tbl>
    <w:p/>
    <w:p>
      <w:r>
        <w:br w:type="page"/>
      </w:r>
    </w:p>
    <w:p>
      <w:pPr>
        <w:spacing w:before="280" w:after="120"/>
      </w:pPr>
      <w:r>
        <w:rPr>
          <w:b/>
          <w:color w:val="00B4D8"/>
          <w:sz w:val="36"/>
        </w:rPr>
        <w:t>10. REFERÊNCIAS E BASE ACADÊMICA</w:t>
      </w:r>
    </w:p>
    <w:p>
      <w:pPr>
        <w:spacing w:before="80" w:after="80"/>
        <w:pBdr>
          <w:bottom w:val="single" w:sz="6" w:space="1" w:color="00B4D8"/>
        </w:pBdr>
      </w:pPr>
    </w:p>
    <w:p>
      <w:pPr>
        <w:spacing w:after="120" w:before="40"/>
      </w:pPr>
      <w:r>
        <w:rPr>
          <w:b w:val="0"/>
          <w:i w:val="0"/>
          <w:color w:val="444455"/>
          <w:sz w:val="21"/>
        </w:rPr>
        <w:t>Este whitepaper baseia-se nas seguintes fontes acadêmicas e de mercado:</w:t>
      </w:r>
    </w:p>
    <w:p>
      <w:pPr>
        <w:spacing w:after="60"/>
      </w:pPr>
      <w:r>
        <w:rPr>
          <w:color w:val="444455"/>
          <w:sz w:val="18"/>
        </w:rPr>
        <w:t>[1] Herzenstein, M., Sonenshein, S., &amp; Dholakia, U. M. (2011). Tell me a good story and I may lend you money: The role of narratives in peer-to-peer lending decisions.</w:t>
      </w:r>
    </w:p>
    <w:p>
      <w:pPr>
        <w:spacing w:after="60"/>
      </w:pPr>
      <w:r>
        <w:rPr>
          <w:color w:val="444455"/>
          <w:sz w:val="18"/>
        </w:rPr>
        <w:t>[2] Iyer, R., Khwaja, A. I., Luttmer, E. F., &amp; Shue, K. (2009). Screening in new credit markets: Can individual lenders infer borrower creditworthiness in peer-to-peer lending? (NBER Working Paper 15242).</w:t>
      </w:r>
    </w:p>
    <w:p>
      <w:pPr>
        <w:spacing w:after="60"/>
      </w:pPr>
      <w:r>
        <w:rPr>
          <w:color w:val="444455"/>
          <w:sz w:val="18"/>
        </w:rPr>
        <w:t>[3] Pope, D. G., &amp; Sydnor, J. R. (2011). What's in a Picture? Evidence of Discrimination from Prosper.com. Journal of Human Resources.</w:t>
      </w:r>
    </w:p>
    <w:p>
      <w:pPr>
        <w:spacing w:after="60"/>
      </w:pPr>
      <w:r>
        <w:rPr>
          <w:color w:val="444455"/>
          <w:sz w:val="18"/>
        </w:rPr>
        <w:t>[4] Ravina, E. (2007). Beauty, Personal Characteristics, and Trust in Credit Markets. Columbia Business School.</w:t>
      </w:r>
    </w:p>
    <w:p>
      <w:pPr>
        <w:spacing w:after="60"/>
      </w:pPr>
      <w:r>
        <w:rPr>
          <w:color w:val="444455"/>
          <w:sz w:val="18"/>
        </w:rPr>
        <w:t>[5] Lin, M., Prabhala, N. R., &amp; Viswanathan, S. (2012). Judging borrowers by the company they keep: Friendship networks and information asymmetry in online peer-to-peer lending.</w:t>
      </w:r>
    </w:p>
    <w:p>
      <w:pPr>
        <w:spacing w:after="60"/>
      </w:pPr>
      <w:r>
        <w:rPr>
          <w:color w:val="444455"/>
          <w:sz w:val="18"/>
        </w:rPr>
        <w:t>[6] Berger, S. C., &amp; Gleisner, F. (2009). Emergence of financial intermediaries in electronic markets: The case of online P2P lending. BuR — Business Research.</w:t>
      </w:r>
    </w:p>
    <w:p>
      <w:pPr>
        <w:spacing w:after="60"/>
      </w:pPr>
      <w:r>
        <w:rPr>
          <w:color w:val="444455"/>
          <w:sz w:val="18"/>
        </w:rPr>
        <w:t>[7] Frerichs, A., &amp; Schumann, M. (2008). Peer-to-Peer Lending: Opportunities and Risks.</w:t>
      </w:r>
    </w:p>
    <w:p>
      <w:pPr>
        <w:spacing w:after="60"/>
      </w:pPr>
      <w:r>
        <w:rPr>
          <w:color w:val="444455"/>
          <w:sz w:val="18"/>
        </w:rPr>
        <w:t>[8] Goldfinch Protocol (2024). Default Report: Lend East. Goldfinch Foundation.</w:t>
      </w:r>
    </w:p>
    <w:p>
      <w:pPr>
        <w:spacing w:after="60"/>
      </w:pPr>
      <w:r>
        <w:rPr>
          <w:color w:val="444455"/>
          <w:sz w:val="18"/>
        </w:rPr>
        <w:t>[9] Maple Finance (2024). Annual Report 2024 — Institutional DeFi Lending.</w:t>
      </w:r>
    </w:p>
    <w:p>
      <w:pPr>
        <w:spacing w:after="60"/>
      </w:pPr>
      <w:r>
        <w:rPr>
          <w:color w:val="444455"/>
          <w:sz w:val="18"/>
        </w:rPr>
        <w:t>[10] DFSA (2024). Regulatory Framework for Digital Assets — Dubai Financial Services Authority.</w:t>
      </w:r>
    </w:p>
    <w:p>
      <w:pPr>
        <w:spacing w:after="60"/>
      </w:pPr>
      <w:r>
        <w:rPr>
          <w:color w:val="444455"/>
          <w:sz w:val="18"/>
        </w:rPr>
        <w:t>[11] CMN Resolution 5050/2022 — Revogação e consolidação das normas SCD/SEP (Banco Central do Brasil).</w:t>
      </w:r>
    </w:p>
    <w:p>
      <w:pPr>
        <w:spacing w:after="60"/>
      </w:pPr>
      <w:r>
        <w:rPr>
          <w:color w:val="444455"/>
          <w:sz w:val="18"/>
        </w:rPr>
        <w:t>[12] FATF (2023). Guidance for a Risk-Based Approach to Virtual Assets and Virtual Asset Service Providers.</w:t>
      </w:r>
    </w:p>
    <w:p>
      <w:pPr>
        <w:spacing w:after="60"/>
      </w:pPr>
      <w:r>
        <w:rPr>
          <w:color w:val="444455"/>
          <w:sz w:val="18"/>
        </w:rPr>
        <w:t>[13] Visa (2024). Empowering the future of payments with stablecoins. Visa Corporate.</w:t>
      </w:r>
    </w:p>
    <w:p>
      <w:pPr>
        <w:spacing w:after="60"/>
      </w:pPr>
      <w:r>
        <w:rPr>
          <w:color w:val="444455"/>
          <w:sz w:val="18"/>
        </w:rPr>
        <w:t>[14] Rain.xyz (2024). Stablecoin-Powered Cards &amp; Payments Infrastructure — Technical Documentation.</w:t>
      </w:r>
    </w:p>
    <w:p/>
    <w:p>
      <w:pPr>
        <w:spacing w:after="120" w:before="40"/>
      </w:pPr>
      <w:r>
        <w:rPr>
          <w:b w:val="0"/>
          <w:i/>
          <w:color w:val="9999AA"/>
          <w:sz w:val="18"/>
        </w:rPr>
        <w:t>NEXUS GREY v1.0 | Abril 2026 | Documento Confidencial | Todos os direitos reservados</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