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0"/>
        <w:jc w:val="center"/>
      </w:pPr>
      <w:r>
        <w:rPr>
          <w:rFonts w:ascii="Arial" w:hAnsi="Arial"/>
          <w:b/>
          <w:color w:val="0B2447"/>
          <w:sz w:val="96"/>
        </w:rPr>
        <w:t>NEXUS</w:t>
      </w:r>
    </w:p>
    <w:p>
      <w:pPr>
        <w:jc w:val="center"/>
      </w:pPr>
      <w:r>
        <w:rPr>
          <w:rFonts w:ascii="Arial" w:hAnsi="Arial"/>
          <w:b/>
          <w:color w:val="1640D6"/>
          <w:sz w:val="40"/>
        </w:rPr>
        <w:t>Plataforma P2P de Crédito Inteligente</w:t>
      </w:r>
    </w:p>
    <w:p>
      <w:pPr>
        <w:pBdr>
          <w:bottom w:val="single" w:sz="6" w:space="1" w:color="1640D6"/>
        </w:pBdr>
        <w:spacing w:after="120"/>
      </w:pPr>
    </w:p>
    <w:p>
      <w:pPr>
        <w:jc w:val="center"/>
      </w:pPr>
      <w:r>
        <w:rPr>
          <w:rFonts w:ascii="Arial" w:hAnsi="Arial"/>
          <w:b/>
          <w:color w:val="D97706"/>
          <w:sz w:val="26"/>
        </w:rPr>
        <w:t>DOCUMENTO DE ESPECIFICAÇÃO FUNCIONAL — DEF v1.0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4680"/>
            <w:shd w:val="clear" w:color="auto" w:fill="E8EEFF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color w:val="0B2447"/>
                <w:sz w:val="19"/>
              </w:rPr>
              <w:t>1.0 — Abril 2026</w:t>
            </w:r>
          </w:p>
        </w:tc>
      </w:tr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Confidencialidade</w:t>
            </w:r>
          </w:p>
        </w:tc>
        <w:tc>
          <w:tcPr>
            <w:tcW w:type="dxa" w:w="4680"/>
            <w:shd w:val="clear" w:color="auto" w:fill="E8EEFF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color w:val="0B2447"/>
                <w:sz w:val="19"/>
              </w:rPr>
              <w:t>Estritamente Confidencial</w:t>
            </w:r>
          </w:p>
        </w:tc>
      </w:tr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Regulação</w:t>
            </w:r>
          </w:p>
        </w:tc>
        <w:tc>
          <w:tcPr>
            <w:tcW w:type="dxa" w:w="4680"/>
            <w:shd w:val="clear" w:color="auto" w:fill="E8EEFF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color w:val="0B2447"/>
                <w:sz w:val="19"/>
              </w:rPr>
              <w:t>CMN 5050/2022 · BACEN SCD</w:t>
            </w:r>
          </w:p>
        </w:tc>
      </w:tr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4680"/>
            <w:shd w:val="clear" w:color="auto" w:fill="E8EEFF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color w:val="0B2447"/>
                <w:sz w:val="19"/>
              </w:rPr>
              <w:t>MACRO HASH SHA-256 · IA Agentic · Visa Pré-Pago</w:t>
            </w:r>
          </w:p>
        </w:tc>
      </w:tr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4680"/>
            <w:shd w:val="clear" w:color="auto" w:fill="E8EEFF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color w:val="0B2447"/>
                <w:sz w:val="19"/>
              </w:rPr>
              <w:t>Camada 0 — Fundação Documental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1. Visão Geral do Projeto NEXUS</w:t>
      </w:r>
    </w:p>
    <w:p>
      <w:pPr>
        <w:pBdr>
          <w:bottom w:val="single" w:sz="6" w:space="1" w:color="1640D6"/>
        </w:pBdr>
        <w:spacing w:after="120"/>
      </w:pPr>
    </w:p>
    <w:p>
      <w:pPr>
        <w:pStyle w:val="Heading2"/>
      </w:pPr>
      <w:r>
        <w:rPr>
          <w:rFonts w:ascii="Arial" w:hAnsi="Arial"/>
          <w:color w:val="1640D6"/>
        </w:rPr>
        <w:t>1.1 Conceito e Propósito</w:t>
      </w:r>
    </w:p>
    <w:p>
      <w:r>
        <w:rPr>
          <w:rFonts w:ascii="Arial" w:hAnsi="Arial"/>
          <w:b w:val="0"/>
          <w:i w:val="0"/>
          <w:sz w:val="22"/>
        </w:rPr>
        <w:t>O NEXUS é uma plataforma P2P (Peer-to-Peer) de crédito direto, operando sob a regulamentação CMN 5050/2022 do Banco Central do Brasil como Sociedade de Crédito Direto (SCD). A plataforma conecta dois tipos de usuários com interesses complementares: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Aplicantes (Investidores):</w:t>
      </w:r>
      <w:r>
        <w:rPr>
          <w:rFonts w:ascii="Arial" w:hAnsi="Arial"/>
          <w:sz w:val="21"/>
        </w:rPr>
        <w:t xml:space="preserve"> Aplicantes (Investidores): pessoas físicas ou jurídicas que aportam capital em portfólios de crédito com retorno mensal de 3% a 5% a.m., superior ao CDI e à poupança.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Usuários (Tomadores):</w:t>
      </w:r>
      <w:r>
        <w:rPr>
          <w:rFonts w:ascii="Arial" w:hAnsi="Arial"/>
          <w:sz w:val="21"/>
        </w:rPr>
        <w:t xml:space="preserve"> Usuários (Tomadores): pessoas físicas elegíveis (NEXUS Score ≥ 550) que recebem crédito pré-aprovado em blocos de R$40 diretamente em cartão Visa pré-pago, utilizável em 141 verticais de consumo.</w:t>
      </w:r>
    </w:p>
    <w:p/>
    <w:p>
      <w:r>
        <w:rPr>
          <w:rFonts w:ascii="Arial" w:hAnsi="Arial"/>
          <w:b/>
          <w:i w:val="0"/>
          <w:sz w:val="22"/>
        </w:rPr>
        <w:t>A plataforma é sustentada por três pilares tecnológicos únicos: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MACRO HASH:</w:t>
      </w:r>
      <w:r>
        <w:rPr>
          <w:rFonts w:ascii="Arial" w:hAnsi="Arial"/>
          <w:sz w:val="21"/>
        </w:rPr>
        <w:t xml:space="preserve"> MACRO HASH Ledger: cadeia SHA-256 auditável de 5 camadas (L1→L5), imutável e verificável publicamente.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IA Agentic:</w:t>
      </w:r>
      <w:r>
        <w:rPr>
          <w:rFonts w:ascii="Arial" w:hAnsi="Arial"/>
          <w:sz w:val="21"/>
        </w:rPr>
        <w:t xml:space="preserve"> IA Agentic Engine: workers Celery/Redis que avaliam score, enfileiram solicitações (FIFO) e distribuem crédito autonomamente.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NEXUS Score:</w:t>
      </w:r>
      <w:r>
        <w:rPr>
          <w:rFonts w:ascii="Arial" w:hAnsi="Arial"/>
          <w:sz w:val="21"/>
        </w:rPr>
        <w:t xml:space="preserve"> NEXUS Score Proprietário: modelo de pontuação 0–1000 baseado em comportamento, dados alternativos e histórico de relacionamento — independente de bureaus externos.</w:t>
      </w:r>
    </w:p>
    <w:p>
      <w:pPr>
        <w:pStyle w:val="Heading2"/>
      </w:pPr>
      <w:r>
        <w:rPr>
          <w:rFonts w:ascii="Arial" w:hAnsi="Arial"/>
          <w:color w:val="1640D6"/>
        </w:rPr>
        <w:t>1.2 Proposta de Valor por Público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12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Aplicante (Investidor)</w:t>
            </w:r>
          </w:p>
        </w:tc>
        <w:tc>
          <w:tcPr>
            <w:tcW w:type="dxa" w:w="312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Usuário (Tomador)</w:t>
            </w:r>
          </w:p>
        </w:tc>
      </w:tr>
      <w:tr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Benefício principal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Retorno 3–5% a.m. — até 5× CDI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Crédito pré-aprovado sem burocracia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Produto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Portfólios A/B/C diversificados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Cartão Visa pré-pago com saldo</w:t>
            </w:r>
          </w:p>
        </w:tc>
      </w:tr>
      <w:tr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Acesso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App/Web · Aporte mínimo R$500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 ≥ 550 · Cartão emitido pela Dock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Liquidez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Retorno PIX D+1 mensalmente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Crédito liberado em até 2 horas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640D6"/>
        </w:rPr>
        <w:t>1.3 Diferenciais Competitivos vs. Mercado</w:t>
      </w:r>
    </w:p>
    <w:p>
      <w:r>
        <w:rPr>
          <w:rFonts w:ascii="Arial" w:hAnsi="Arial"/>
          <w:b w:val="0"/>
          <w:i w:val="0"/>
          <w:sz w:val="21"/>
        </w:rPr>
        <w:t>Análise baseada em estudo das plataformas Mintos (EU) e LenderMarket (IE), líderes mundiais em P2P lending: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Mintos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LenderMarket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NEXUS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Auditoria pública SHA-256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✓ MACRO HASH L1-L5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Cartão pré-pago ao tomador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✓ Visa/Dock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141 verticais de consumo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✓ Rastreadas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 nativo D+1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 (EUR)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 (EUR)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✓ BACEN DICT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 proprietário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 (bureaus EU)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Não (bureaus EU)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✓ NEXUS Score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IA Agentic FIFO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Auto-invest básico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Auto-invest básico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✓ Celery/Redis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Regulação brasileira SCD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MiFID II (EU)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CSP (IE)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✓ CMN 5050/2022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2. Arquitetura de Informação</w:t>
      </w:r>
    </w:p>
    <w:p>
      <w:pPr>
        <w:pBdr>
          <w:bottom w:val="single" w:sz="6" w:space="1" w:color="1640D6"/>
        </w:pBdr>
        <w:spacing w:after="120"/>
      </w:pPr>
    </w:p>
    <w:p>
      <w:pPr>
        <w:pStyle w:val="Heading2"/>
      </w:pPr>
      <w:r>
        <w:rPr>
          <w:rFonts w:ascii="Arial" w:hAnsi="Arial"/>
          <w:color w:val="1640D6"/>
        </w:rPr>
        <w:t>2.1 Módulos da Plataforma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12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12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MOD-01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Auth &amp; KYC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Cadastro, login, verificação de identidade (3 níveis)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NEXUS Score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Motor de pontuação proprietário 0–1000</w:t>
            </w:r>
          </w:p>
        </w:tc>
      </w:tr>
      <w:tr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MOD-03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Portfólios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Gestão de portfólios A/B/C para Aplicantes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Investimentos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Aportes, retornos, relatório IR, extrato</w:t>
            </w:r>
          </w:p>
        </w:tc>
      </w:tr>
      <w:tr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MOD-05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Crédito FIFO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Fila Celery/Redis, aprovação, disbursamento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MOD-06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Cartão Visa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Emissão Dock/BS2, saldo, transações por vertical</w:t>
            </w:r>
          </w:p>
        </w:tc>
      </w:tr>
      <w:tr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MOD-07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MACRO HASH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Ledger SHA-256 L1→L5, verificação pública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MOD-08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Pagamentos PIX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Aportes, retornos D+1, amortizações</w:t>
            </w:r>
          </w:p>
        </w:tc>
      </w:tr>
      <w:tr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MOD-09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Notificações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Push, email, SMS, webhook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MOD-10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Admin Panel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Gestão interna, compliance, relatórios BACEN</w:t>
            </w:r>
          </w:p>
        </w:tc>
      </w:tr>
      <w:tr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MOD-11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Analytics</w:t>
            </w:r>
          </w:p>
        </w:tc>
        <w:tc>
          <w:tcPr>
            <w:tcW w:type="dxa" w:w="312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BI para Aplicante e gestão interna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MOD-12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Open Finance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Integração com dados bancários (futuro)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640D6"/>
        </w:rPr>
        <w:t>2.2 Jornada do Aplicante — Navegação Completa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Rota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 Funcional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 (Home pública)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Apresentação do produto, CTA cadastro/login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/cadastro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Formulário registro: nome, CPF, email, telefone, senha — role=applicant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/kyc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Upload documentos (RG/CNH + selfie), status KYC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Hub central: saldo total, retorno mês, portfólios ativos, notificações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/dashboard/aportar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Escolha de portfólio, valor, prazo; geração PIX; confirmação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/dashboard/investimentos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Lista todos os aportes: status, retorno acumulado, vencimento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/dashboard/investimentos/:id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Detalhe do aporte: cronograma mensal de retornos, MACRO HASH L2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/dashboard/retornos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Histórico de créditos PIX recebidos, filtros por mês/portfólio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/dashboard/saque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Solicitar saque via PIX — chave cadastrada, valor, confirmação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/portafolios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Marketplace de portfólios: filtros risco/taxa/prazo, simulador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/portafolios/:id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Detalhe do portfólio: histórico, composição, taxa real, default rate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/score-aplicante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NEXUS Score do Aplicante: componentes, histórico, como melhorar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/relatorios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Extrato IR anual (IRPF), informe de rendimentos, CSV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/notificacoes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Centro de notificações: push, email, webhook settings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/perfil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Dados pessoais, chave PIX, senha, autenticação 2FA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/suporte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Chat, FAQ, abertura de ticket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640D6"/>
        </w:rPr>
        <w:t>2.3 Jornada do Usuário — Navegação Completa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Rota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 Funcional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 (Home pública)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Apresentação do produto, CTA cadastro/login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/cadastro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Formulário registro: nome, CPF, email, telefone, senha — role=user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/kyc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Upload documentos, status KYC, aguardar score inicial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Hub: saldo cartão, limite disponível, próxima parcela, NEXUS Score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/dashboard/solicitar-credito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Escolha blocos (1–10 × R$40), vertical, parcelas; envio para fila FIFO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/dashboard/meu-credito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Solicitações: status fila, posição, aprovadas, rejeitadas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/dashboard/meu-credito/:id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Detalhe: cronograma amortização, MACRO HASH L4, parcelas pagas/abertas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/cartao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Visualização do cartão Visa virtual: PAN mascarado, saldo, vencimento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/cartao/extrato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Extrato: transações por vertical, filtros data/categoria, total gasto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/cartao/bloquear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Bloquear/desbloquear cartão temporariamente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/score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NEXUS Score detalhado: componentes A/B/C/D/E, histórico, dicas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/verticais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Mapa das 141 verticais: onde usar o cartão, estabelecimentos aceitos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/parcelas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Calendário de parcelas vencidas/próximas, pagamento via PIX/boleto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/notificacoes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Centro de alertas: limite próximo, parcela vencendo, crédito aprovado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/perfil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Dados pessoais, chave PIX para amortização, senha, 2FA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/suporte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Chat, FAQ, contestação de transação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3. NEXUS Score — Modelo Proprietário 0–1000</w:t>
      </w:r>
    </w:p>
    <w:p>
      <w:pPr>
        <w:pBdr>
          <w:bottom w:val="single" w:sz="6" w:space="1" w:color="1640D6"/>
        </w:pBdr>
        <w:spacing w:after="120"/>
      </w:pPr>
    </w:p>
    <w:p>
      <w:r>
        <w:rPr>
          <w:rFonts w:ascii="Arial" w:hAnsi="Arial"/>
          <w:b w:val="0"/>
          <w:i w:val="0"/>
          <w:sz w:val="22"/>
        </w:rPr>
        <w:t>O NEXUS Score é um sistema proprietário de pontuação de crédito desenvolvido internamente, independente de bureaus externos. Inspirado metodologicamente no Serasa Score e no FICO, o modelo incorpora dados comportamentais da própria plataforma, dados alternativos e, opcionalmente, enriquecimento de bureaus externos. A pontuação varia de 0 a 1000 pontos, calculada em tempo real e atualizada a cada evento relevante.</w:t>
      </w:r>
    </w:p>
    <w:p>
      <w:pPr>
        <w:pStyle w:val="Heading2"/>
      </w:pPr>
      <w:r>
        <w:rPr>
          <w:rFonts w:ascii="Arial" w:hAnsi="Arial"/>
          <w:color w:val="1640D6"/>
        </w:rPr>
        <w:t>3.1 Blocos de Variáveis e Pesos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Variáveis Principais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Histórico de Pagamentos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35%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Pagamentos em dia, atrasos, inadimplências, renegociações na plataforma NEXUS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Comportamento de Consumo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Padrão de uso do cartão Visa: regularidade, verticais essenciais vs. discricionárias, ticket médio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Dados Financeiros Alternativos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Pagamento de contas (via Open Finance), renda estimada, histórico de PIX recebidos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Cadastro e Relacionamento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12%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Tempo de conta, completude do KYC, documentos válidos, atividade na plataforma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Bureau Externo (Opcional)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8%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Consulta Serasa como sinal de enriquecimento — não é gate obrigatório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640D6"/>
        </w:rPr>
        <w:t>3.2 Faixas de Score e Limites de Crédito (Usuário)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Faixa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Limite Máx/Solicit.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Condições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E1"/>
          </w:tcPr>
          <w:p>
            <w:r>
              <w:rPr>
                <w:rFonts w:ascii="Arial" w:hAnsi="Arial"/>
                <w:sz w:val="18"/>
              </w:rPr>
              <w:t>0 – 399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E1"/>
          </w:tcPr>
          <w:p>
            <w:r>
              <w:rPr>
                <w:rFonts w:ascii="Arial" w:hAnsi="Arial"/>
                <w:sz w:val="18"/>
              </w:rPr>
              <w:t>Muito Alto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E1"/>
          </w:tcPr>
          <w:p>
            <w:r>
              <w:rPr>
                <w:rFonts w:ascii="Arial" w:hAnsi="Arial"/>
                <w:sz w:val="18"/>
              </w:rPr>
              <w:t>Bloqueado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E1"/>
          </w:tcPr>
          <w:p>
            <w:r>
              <w:rPr>
                <w:rFonts w:ascii="Arial" w:hAnsi="Arial"/>
                <w:sz w:val="18"/>
              </w:rPr>
              <w:t>R$ 0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E1"/>
          </w:tcPr>
          <w:p>
            <w:r>
              <w:rPr>
                <w:rFonts w:ascii="Arial" w:hAnsi="Arial"/>
                <w:sz w:val="18"/>
              </w:rPr>
              <w:t>Nenhum acesso ao crédito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400 – 549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Restrito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R$ 40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1 bloco. Prazo máx 3 meses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F"/>
          </w:tcPr>
          <w:p>
            <w:r>
              <w:rPr>
                <w:rFonts w:ascii="Arial" w:hAnsi="Arial"/>
                <w:sz w:val="18"/>
              </w:rPr>
              <w:t>550 – 699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F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F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F"/>
          </w:tcPr>
          <w:p>
            <w:r>
              <w:rPr>
                <w:rFonts w:ascii="Arial" w:hAnsi="Arial"/>
                <w:sz w:val="18"/>
              </w:rPr>
              <w:t>R$ 120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F"/>
          </w:tcPr>
          <w:p>
            <w:r>
              <w:rPr>
                <w:rFonts w:ascii="Arial" w:hAnsi="Arial"/>
                <w:sz w:val="18"/>
              </w:rPr>
              <w:t>3 blocos. Prazo máx 6 meses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700 – 849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Baixo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Aprovado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R$ 280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7 blocos. Prazo até 12 meses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F0E0"/>
          </w:tcPr>
          <w:p>
            <w:r>
              <w:rPr>
                <w:rFonts w:ascii="Arial" w:hAnsi="Arial"/>
                <w:sz w:val="18"/>
              </w:rPr>
              <w:t>850 – 1000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F0E0"/>
          </w:tcPr>
          <w:p>
            <w:r>
              <w:rPr>
                <w:rFonts w:ascii="Arial" w:hAnsi="Arial"/>
                <w:sz w:val="18"/>
              </w:rPr>
              <w:t>Muito Baixo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F0E0"/>
          </w:tcPr>
          <w:p>
            <w:r>
              <w:rPr>
                <w:rFonts w:ascii="Arial" w:hAnsi="Arial"/>
                <w:sz w:val="18"/>
              </w:rPr>
              <w:t>Premium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F0E0"/>
          </w:tcPr>
          <w:p>
            <w:r>
              <w:rPr>
                <w:rFonts w:ascii="Arial" w:hAnsi="Arial"/>
                <w:sz w:val="18"/>
              </w:rPr>
              <w:t>R$ 400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F0E0"/>
          </w:tcPr>
          <w:p>
            <w:r>
              <w:rPr>
                <w:rFonts w:ascii="Arial" w:hAnsi="Arial"/>
                <w:sz w:val="18"/>
              </w:rPr>
              <w:t>10 blocos. Acesso portfólios premium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640D6"/>
        </w:rPr>
        <w:t>3.3 Score do Aplicante (Funding Operator Score)</w:t>
      </w:r>
    </w:p>
    <w:p>
      <w:r>
        <w:rPr>
          <w:rFonts w:ascii="Arial" w:hAnsi="Arial"/>
          <w:b w:val="0"/>
          <w:i w:val="0"/>
          <w:sz w:val="22"/>
        </w:rPr>
        <w:t>O Aplicante também possui um NEXUS Funding Score (0–1000), que determina acesso a portfólios premium, limites de aporte e benefícios. Os blocos de avaliação são: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Consistência de aportes:</w:t>
      </w:r>
      <w:r>
        <w:rPr>
          <w:rFonts w:ascii="Arial" w:hAnsi="Arial"/>
          <w:sz w:val="21"/>
        </w:rPr>
        <w:t xml:space="preserve"> 35% — Frequência e regularidade dos depósitos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Volume e crescimento:</w:t>
      </w:r>
      <w:r>
        <w:rPr>
          <w:rFonts w:ascii="Arial" w:hAnsi="Arial"/>
          <w:sz w:val="21"/>
        </w:rPr>
        <w:t xml:space="preserve"> 25% — Crescimento do capital aportado ao longo do tempo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Comportamento de saque:</w:t>
      </w:r>
      <w:r>
        <w:rPr>
          <w:rFonts w:ascii="Arial" w:hAnsi="Arial"/>
          <w:sz w:val="21"/>
        </w:rPr>
        <w:t xml:space="preserve"> 20% — Reinveste vs. saca total — perfil de longo prazo valorizado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Diversificação de portfólio:</w:t>
      </w:r>
      <w:r>
        <w:rPr>
          <w:rFonts w:ascii="Arial" w:hAnsi="Arial"/>
          <w:sz w:val="21"/>
        </w:rPr>
        <w:t xml:space="preserve"> 12% — Distribuição entre portfólios A, B e C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Tempo de relacionamento:</w:t>
      </w:r>
      <w:r>
        <w:rPr>
          <w:rFonts w:ascii="Arial" w:hAnsi="Arial"/>
          <w:sz w:val="21"/>
        </w:rPr>
        <w:t xml:space="preserve"> 8% — Meses ativos na plataforma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4. As 141 Verticais de Consumo</w:t>
      </w:r>
    </w:p>
    <w:p>
      <w:pPr>
        <w:pBdr>
          <w:bottom w:val="single" w:sz="6" w:space="1" w:color="1640D6"/>
        </w:pBdr>
        <w:spacing w:after="120"/>
      </w:pPr>
    </w:p>
    <w:p>
      <w:r>
        <w:rPr>
          <w:rFonts w:ascii="Arial" w:hAnsi="Arial"/>
          <w:b w:val="0"/>
          <w:i w:val="0"/>
          <w:sz w:val="22"/>
        </w:rPr>
        <w:t>O cartão Visa NEXUS é aceito em 141 verticais de consumo mapeadas, todas recorrentes ou semi-recorrentes, com tickets entre R$30 e R$2.500/mês. As verticais são categorizadas em 15 super-categorias para fins de rastreamento, análise de comportamento de consumo e composição do NEXUS Score Bloco B.</w:t>
      </w:r>
    </w:p>
    <w:p/>
    <w:p>
      <w:r>
        <w:rPr>
          <w:rFonts w:ascii="Arial" w:hAnsi="Arial"/>
          <w:b/>
          <w:color w:val="0B2447"/>
          <w:sz w:val="21"/>
        </w:rPr>
        <w:t>🍽️ ALIMENTAÇÃO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V001 Supermercado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V002 Feira livre / hortifrutigranjeiros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V003 Açougue / peixaria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V004 Padaria / confeitaria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V005 Restaurante almoço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V006 Restaurante jantar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V007 Delivery (iFood / Rappi / 99Food)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V008 Lanchonete / fast food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V009 Rotisseria / comida pronta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V010 Empório / produtos orgânicos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V011 Bebidas (adega / loja de bebidas)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V012 Café / cafeteria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V013 Marmita / quentinha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V014 Clube de assinatura de alimentos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V015 Cesta básica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V016 Bebidas alcoólicas (bar)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V017 Mercearia de bairro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V018 Importados / gourmet</w:t>
      </w:r>
    </w:p>
    <w:p/>
    <w:p>
      <w:r>
        <w:rPr>
          <w:rFonts w:ascii="Arial" w:hAnsi="Arial"/>
          <w:b/>
          <w:color w:val="0B2447"/>
          <w:sz w:val="21"/>
        </w:rPr>
        <w:t>🏠 MORADIA E CASA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V019 Aluguel (via plataforma parceira)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V020 Condomínio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V021 Energia elétrica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V022 Água e esgoto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V023 Gás encanado / botijão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V024 Internet banda larga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V025 TV por assinatura (pacote)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V026 Telefone fixo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V027 Faxineira / diarista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V028 Segurança / portaria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V029 Manutenção e pequenos reparos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V030 Jardinagem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V031 Decoração / mobiliário parcelado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V032 Materiais de limpeza doméstica</w:t>
      </w:r>
    </w:p>
    <w:p/>
    <w:p>
      <w:r>
        <w:rPr>
          <w:rFonts w:ascii="Arial" w:hAnsi="Arial"/>
          <w:b/>
          <w:color w:val="0B2447"/>
          <w:sz w:val="21"/>
        </w:rPr>
        <w:t>🚗 TRANSPORTE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V033 Combustível (posto)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V034 Estacionamento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V035 Seguro veicular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V036 IPVA parcelado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V037 Manutenção / mecânica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V038 Transporte público (cartão VT / bilhete)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V039 App de corrida (Uber / 99)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V040 Motofrete / motoboy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V041 Pedágio / tag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V042 Financiamento de veículo (parcela)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V043 Lavagem e detalhamento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V044 Pneus e acessórios automotivos</w:t>
      </w:r>
    </w:p>
    <w:p/>
    <w:p>
      <w:r>
        <w:rPr>
          <w:rFonts w:ascii="Arial" w:hAnsi="Arial"/>
          <w:b/>
          <w:color w:val="0B2447"/>
          <w:sz w:val="21"/>
        </w:rPr>
        <w:t>❤️ SAÚDE E BEM-ESTAR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V045 Plano de saúde (mensalidade)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V046 Consulta médica particular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V047 Dentista / ortodontia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V048 Farmácia / medicamentos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V049 Academia / crossfit / musculação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V050 Fisioterapia / quiropraxia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V051 Psicólogo / psiquiatra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V052 Nutricionista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V053 Exames laboratoriais / imagem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V054 Plano odontológico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V055 Óptica / óculos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V056 Suplementos alimentares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V057 Spa / massagem terapêutica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V058 Home care / enfermagem</w:t>
      </w:r>
    </w:p>
    <w:p/>
    <w:p>
      <w:r>
        <w:rPr>
          <w:rFonts w:ascii="Arial" w:hAnsi="Arial"/>
          <w:b/>
          <w:color w:val="0B2447"/>
          <w:sz w:val="21"/>
        </w:rPr>
        <w:t>📚 EDUCAÇÃO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V059 Escola particular (mensalidade)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V060 Faculdade / pós-graduação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V061 Curso de idiomas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V062 Curso profissionalizante / técnico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V063 Plataforma EAD (Alura / Udemy / Coursera)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V064 Material escolar e livros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V065 Aulas particulares / tutoria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V066 Creche / berçário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V067 Intercâmbio parcelado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V068 Curso preparatório (concurso / vestibular)</w:t>
      </w:r>
    </w:p>
    <w:p/>
    <w:p>
      <w:r>
        <w:rPr>
          <w:rFonts w:ascii="Arial" w:hAnsi="Arial"/>
          <w:b/>
          <w:color w:val="0B2447"/>
          <w:sz w:val="21"/>
        </w:rPr>
        <w:t>👗 VESTUÁRIO E MODA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V069 Roupas do dia a dia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V070 Calçados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V071 Roupa social / trabalho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V072 Roupa infantil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V073 Roupas íntimas e meias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V074 Acessórios (bolsas / cintos / relógios)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V075 Roupa fitness / esportiva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V076 Reparos e costura</w:t>
      </w:r>
    </w:p>
    <w:p/>
    <w:p>
      <w:r>
        <w:rPr>
          <w:rFonts w:ascii="Arial" w:hAnsi="Arial"/>
          <w:b/>
          <w:color w:val="0B2447"/>
          <w:sz w:val="21"/>
        </w:rPr>
        <w:t>💆 BELEZA E CUIDADOS PESSOAIS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V077 Salão de beleza / cabeleireiro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V078 Barbearia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V079 Manicure / pedicure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V080 Produtos de higiene pessoal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V081 Perfumaria / cosméticos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V082 Depilação (laser / cera)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V083 Skincare / estética facial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V084 Maquiagem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V085 Sobrancelha / cílios</w:t>
      </w:r>
    </w:p>
    <w:p/>
    <w:p>
      <w:r>
        <w:rPr>
          <w:rFonts w:ascii="Arial" w:hAnsi="Arial"/>
          <w:b/>
          <w:color w:val="0B2447"/>
          <w:sz w:val="21"/>
        </w:rPr>
        <w:t>🎮 LAZER E ENTRETENIMENTO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V086 Streaming vídeo (Netflix / Disney+ / Max / Globoplay)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V087 Streaming música (Spotify / Deezer)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V088 Jogos / games (Steam / PS Store / Xbox)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V089 Cinema / teatro / shows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V090 Eventos e ingressos (Sympla / Ticket Master)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V091 Viagem (parcela hotel / passagem)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V092 Clube / associação esportiva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V093 Hobby (fotografia / artesanato / colecionismo)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V094 Leitura (Kindle / revistas / assinaturas)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V095 Parque de diversões / eventos infantis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V096 Esportes (tênis / futebol / natação)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V097 Karaokê / bowling / lazer noturno</w:t>
      </w:r>
    </w:p>
    <w:p/>
    <w:p>
      <w:r>
        <w:rPr>
          <w:rFonts w:ascii="Arial" w:hAnsi="Arial"/>
          <w:b/>
          <w:color w:val="0B2447"/>
          <w:sz w:val="21"/>
        </w:rPr>
        <w:t>📱 TECNOLOGIA E DIGITAL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V098 Celular (prestação / upgrade)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V099 Computador / notebook (prestação)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V100 Software / apps por assinatura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V101 Cloud storage (Google / iCloud / Dropbox)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V102 Antivírus / segurança digital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V103 TV / eletrodoméstico parcelado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V104 Smartwatch / wearable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V105 Carregadores e acessórios tech</w:t>
      </w:r>
    </w:p>
    <w:p/>
    <w:p>
      <w:r>
        <w:rPr>
          <w:rFonts w:ascii="Arial" w:hAnsi="Arial"/>
          <w:b/>
          <w:color w:val="0B2447"/>
          <w:sz w:val="21"/>
        </w:rPr>
        <w:t>🐾 PET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V106 Ração e petiscos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V107 Veterinário / consultas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V108 Pet shop / banho e tosa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V109 Remédios e vacinas pet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V110 Plano de saúde pet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V111 Brinquedos e acessórios pet</w:t>
      </w:r>
    </w:p>
    <w:p/>
    <w:p>
      <w:r>
        <w:rPr>
          <w:rFonts w:ascii="Arial" w:hAnsi="Arial"/>
          <w:b/>
          <w:color w:val="0B2447"/>
          <w:sz w:val="21"/>
        </w:rPr>
        <w:t>🏋️ ESPORTE E FITNESS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V112 Mensalidade academia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V113 Equipamentos esportivos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V114 Roupa esportiva especializada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V115 Suplemento esportivo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V116 Personal trainer / professor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V117 Apps fitness premium (Strava / Nike Training)</w:t>
      </w:r>
    </w:p>
    <w:p/>
    <w:p>
      <w:r>
        <w:rPr>
          <w:rFonts w:ascii="Arial" w:hAnsi="Arial"/>
          <w:b/>
          <w:color w:val="0B2447"/>
          <w:sz w:val="21"/>
        </w:rPr>
        <w:t>🔧 SERVIÇOS DO LAR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V118 Dedetização / controle de pragas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V119 Conserto de eletrodomésticos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V120 Pintura / pequena reforma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V121 Chaveiro / serralhearia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V122 Instalações elétricas e hidráulicas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V123 Frete / mudança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V124 Conserto de eletrônicos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V125 Arquitetura / design de interiores</w:t>
      </w:r>
    </w:p>
    <w:p/>
    <w:p>
      <w:r>
        <w:rPr>
          <w:rFonts w:ascii="Arial" w:hAnsi="Arial"/>
          <w:b/>
          <w:color w:val="0B2447"/>
          <w:sz w:val="21"/>
        </w:rPr>
        <w:t>💼 SERVIÇOS FINANCEIROS E PROTEÇÃO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V126 Seguro de vida (parcela)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V127 Seguro residencial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V128 Previdência privada (aporte mensal)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V129 Consórcio (parcela)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V130 Cartório / registro / reconhecimento firma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V131 Serviços contábeis / contador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V132 Consultoria jurídica</w:t>
      </w:r>
    </w:p>
    <w:p/>
    <w:p>
      <w:r>
        <w:rPr>
          <w:rFonts w:ascii="Arial" w:hAnsi="Arial"/>
          <w:b/>
          <w:color w:val="0B2447"/>
          <w:sz w:val="21"/>
        </w:rPr>
        <w:t>🎁 PRESENTES E SOCIAL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V133 Presente de aniversário / datas comemorativas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V134 Churrasco / confraternização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V135 Casamento / festa (parcelamento)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V136 Festa infantil / buffet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V137 Doação / dízimo / contribuição social</w:t>
      </w:r>
    </w:p>
    <w:p/>
    <w:p>
      <w:r>
        <w:rPr>
          <w:rFonts w:ascii="Arial" w:hAnsi="Arial"/>
          <w:b/>
          <w:color w:val="0B2447"/>
          <w:sz w:val="21"/>
        </w:rPr>
        <w:t>🌱 SUSTENTABILIDADE E NICHO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V138 Energia solar (parcela do sistema)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V139 Horta e jardim urbano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V140 Produtos sustentáveis / zero waste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V141 Assinatura de caixas temáticas (nicho)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5. Especificação Funcional por Módulo</w:t>
      </w:r>
    </w:p>
    <w:p>
      <w:pPr>
        <w:pBdr>
          <w:bottom w:val="single" w:sz="6" w:space="1" w:color="1640D6"/>
        </w:pBdr>
        <w:spacing w:after="120"/>
      </w:pPr>
    </w:p>
    <w:p>
      <w:pPr>
        <w:pStyle w:val="Heading2"/>
      </w:pPr>
      <w:r>
        <w:rPr>
          <w:rFonts w:ascii="Arial" w:hAnsi="Arial"/>
          <w:color w:val="1640D6"/>
        </w:rPr>
        <w:t>MOD-01 · Auth &amp; KYC</w:t>
      </w:r>
    </w:p>
    <w:p>
      <w:r>
        <w:rPr>
          <w:rFonts w:ascii="Arial" w:hAnsi="Arial"/>
          <w:b w:val="0"/>
          <w:i w:val="0"/>
          <w:sz w:val="22"/>
        </w:rPr>
        <w:t>O módulo de autenticação e KYC gerencia o ciclo completo de onboarding do usuário, desde o cadastro até a aprovação regulatória. Existem 3 níveis de KYC progressivos: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Requisitos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Permissões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Prazo de Aprovação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KYC Nível 1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Email + CPF validados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Explorar plataforma, ver portfólios, simulações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Automático (&lt; 1 min)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KYC Nível 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Doc de identidade (RG/CNH) + selfie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Investir, solicitar crédito, receber cartão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1–2 dias úteis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KYC Nível 3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Comprovante de renda + endereço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Limites aumentados, portfólios premium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2–5 dias úteis</w:t>
            </w:r>
          </w:p>
        </w:tc>
      </w:tr>
    </w:tbl>
    <w:p/>
    <w:p>
      <w:r>
        <w:rPr>
          <w:rFonts w:ascii="Arial" w:hAnsi="Arial"/>
          <w:b/>
          <w:i w:val="0"/>
          <w:sz w:val="22"/>
        </w:rPr>
        <w:t>Campos obrigatórios no cadastro: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Nome completo (conforme documento)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CPF (11 dígitos, validação de algoritmo)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E-mail (verificação por link)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Telefone celular (verificação por SMS/WhatsApp)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Senha (mínimo 8 caracteres, 1 maiúscula, 1 número, 1 especial)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Role: applicant ou user (seleção no cadastro)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Data de nascimento</w:t>
      </w:r>
    </w:p>
    <w:p/>
    <w:p>
      <w:r>
        <w:rPr>
          <w:rFonts w:ascii="Arial" w:hAnsi="Arial"/>
          <w:b w:val="0"/>
          <w:i w:val="0"/>
          <w:color w:val="6B7280"/>
          <w:sz w:val="21"/>
        </w:rPr>
        <w:t>Estados do KYC: pending → in_review → approved | rejected. Em caso de rejeição, o sistema informa o motivo e permite reenvio em até 3 tentativas antes de bloqueio temporário de 30 dias.</w:t>
      </w:r>
    </w:p>
    <w:p>
      <w:pPr>
        <w:pStyle w:val="Heading2"/>
      </w:pPr>
      <w:r>
        <w:rPr>
          <w:rFonts w:ascii="Arial" w:hAnsi="Arial"/>
          <w:color w:val="1640D6"/>
        </w:rPr>
        <w:t>MOD-02 · NEXUS Score Engine</w:t>
      </w:r>
    </w:p>
    <w:p>
      <w:r>
        <w:rPr>
          <w:rFonts w:ascii="Arial" w:hAnsi="Arial"/>
          <w:b w:val="0"/>
          <w:i w:val="0"/>
          <w:sz w:val="22"/>
        </w:rPr>
        <w:t>O Score Engine é um serviço assíncrono que recalcula o NEXUS Score de cada usuário mediante eventos-gatilho. O cálculo nunca ocorre em tempo real de requisição — é processado em background e o resultado é cacheado.</w:t>
      </w:r>
    </w:p>
    <w:p>
      <w:r>
        <w:rPr>
          <w:rFonts w:ascii="Arial" w:hAnsi="Arial"/>
          <w:b/>
          <w:i w:val="0"/>
          <w:sz w:val="22"/>
        </w:rPr>
        <w:t>Eventos que disparam recálculo: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Pagamento de parcela (pontual ou atrasado)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Nova transação no cartão Visa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Aprovação ou rejeição de KYC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Consulta de bureau externo (Bloco E)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Inatividade de 30+ dias na plataforma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Novo aporte do Aplicante (Funding Score)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EEFF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b/>
                <w:color w:val="0B2447"/>
                <w:sz w:val="20"/>
              </w:rPr>
              <w:t>Fórmula NEXUS Score</w:t>
            </w:r>
          </w:p>
          <w:p>
            <w:r>
              <w:rPr>
                <w:rFonts w:ascii="Arial" w:hAnsi="Arial"/>
                <w:sz w:val="19"/>
              </w:rPr>
              <w:t>Score = (PagamentosNDia × 0.35) + (ComportamentoCartão × 0.25) +</w:t>
            </w:r>
          </w:p>
          <w:p>
            <w:r>
              <w:rPr>
                <w:rFonts w:ascii="Arial" w:hAnsi="Arial"/>
                <w:sz w:val="19"/>
              </w:rPr>
              <w:t xml:space="preserve">        (DadosAlternativos × 0.20) + (Relacionamento × 0.12) + (BureauExterno × 0.08)</w:t>
            </w:r>
          </w:p>
          <w:p>
            <w:r>
              <w:rPr>
                <w:rFonts w:ascii="Arial" w:hAnsi="Arial"/>
                <w:sz w:val="19"/>
              </w:rPr>
            </w:r>
          </w:p>
          <w:p>
            <w:r>
              <w:rPr>
                <w:rFonts w:ascii="Arial" w:hAnsi="Arial"/>
                <w:sz w:val="19"/>
              </w:rPr>
              <w:t>Onde cada componente é normalizado para a escala 0–1000 antes da ponderação.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640D6"/>
        </w:rPr>
        <w:t>MOD-03 · Portfólios de Investimento</w:t>
      </w:r>
    </w:p>
    <w:p>
      <w:r>
        <w:rPr>
          <w:rFonts w:ascii="Arial" w:hAnsi="Arial"/>
          <w:b w:val="0"/>
          <w:i w:val="0"/>
          <w:sz w:val="22"/>
        </w:rPr>
        <w:t>Os portfólios são veículos de investimento coletivo onde múltiplos Aplicantes aportam capital que é distribuído entre contratos de crédito com Usuários. Existem 3 classes de risco: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117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7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Taxa Mensal</w:t>
            </w:r>
          </w:p>
        </w:tc>
        <w:tc>
          <w:tcPr>
            <w:tcW w:type="dxa" w:w="117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Aporte Mín.</w:t>
            </w:r>
          </w:p>
        </w:tc>
        <w:tc>
          <w:tcPr>
            <w:tcW w:type="dxa" w:w="117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Aporte Máx.</w:t>
            </w:r>
          </w:p>
        </w:tc>
        <w:tc>
          <w:tcPr>
            <w:tcW w:type="dxa" w:w="117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17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Default Máx.</w:t>
            </w:r>
          </w:p>
        </w:tc>
        <w:tc>
          <w:tcPr>
            <w:tcW w:type="dxa" w:w="117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Critério Usuário</w:t>
            </w:r>
          </w:p>
        </w:tc>
      </w:tr>
      <w:tr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Portfólio A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Baixo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3,0% – 3,8% a.m.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R$ 500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R$ 50.000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3–12m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&lt; 2%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 Usuário ≥ 850</w:t>
            </w:r>
          </w:p>
        </w:tc>
      </w:tr>
      <w:tr>
        <w:tc>
          <w:tcPr>
            <w:tcW w:type="dxa" w:w="11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Portfólio B</w:t>
            </w:r>
          </w:p>
        </w:tc>
        <w:tc>
          <w:tcPr>
            <w:tcW w:type="dxa" w:w="11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  <w:tc>
          <w:tcPr>
            <w:tcW w:type="dxa" w:w="11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3,9% – 4,5% a.m.</w:t>
            </w:r>
          </w:p>
        </w:tc>
        <w:tc>
          <w:tcPr>
            <w:tcW w:type="dxa" w:w="11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R$ 500</w:t>
            </w:r>
          </w:p>
        </w:tc>
        <w:tc>
          <w:tcPr>
            <w:tcW w:type="dxa" w:w="11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R$ 100.000</w:t>
            </w:r>
          </w:p>
        </w:tc>
        <w:tc>
          <w:tcPr>
            <w:tcW w:type="dxa" w:w="11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3–12m</w:t>
            </w:r>
          </w:p>
        </w:tc>
        <w:tc>
          <w:tcPr>
            <w:tcW w:type="dxa" w:w="11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2%–5%</w:t>
            </w:r>
          </w:p>
        </w:tc>
        <w:tc>
          <w:tcPr>
            <w:tcW w:type="dxa" w:w="11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 Usuário ≥ 700</w:t>
            </w:r>
          </w:p>
        </w:tc>
      </w:tr>
      <w:tr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Portfólio C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4,6% – 5,0% a.m.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R$ 500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R$ 100.000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3–12m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5%–8%</w:t>
            </w:r>
          </w:p>
        </w:tc>
        <w:tc>
          <w:tcPr>
            <w:tcW w:type="dxa" w:w="117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 Usuário ≥ 550</w:t>
            </w:r>
          </w:p>
        </w:tc>
      </w:tr>
    </w:tbl>
    <w:p/>
    <w:p>
      <w:r>
        <w:rPr>
          <w:rFonts w:ascii="Arial" w:hAnsi="Arial"/>
          <w:b/>
          <w:i w:val="0"/>
          <w:sz w:val="22"/>
        </w:rPr>
        <w:t>Campos exibidos na listagem de portfólios: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Nome e classificação (A/B/C) com badge de risco colorido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Taxa mensal mínima e máxima (ex: 3,9% – 4,5% a.m.)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Aporte mínimo e capacidade disponível (barra de progresso)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Número de contratos ativos e taxa de inadimplência atual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Prazo disponível: 3 / 6 / 9 / 12 meses (seletor interativo)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Botão 'Simular' (abre calculadora inline) e botão 'Investir'</w:t>
      </w:r>
    </w:p>
    <w:p/>
    <w:p>
      <w:pPr>
        <w:pStyle w:val="Heading2"/>
      </w:pPr>
      <w:r>
        <w:rPr>
          <w:rFonts w:ascii="Arial" w:hAnsi="Arial"/>
          <w:color w:val="1640D6"/>
        </w:rPr>
        <w:t>MOD-04 · Aportes e Retornos (Aplicante)</w:t>
      </w:r>
    </w:p>
    <w:p>
      <w:r>
        <w:rPr>
          <w:rFonts w:ascii="Arial" w:hAnsi="Arial"/>
          <w:b/>
          <w:i w:val="0"/>
          <w:sz w:val="22"/>
        </w:rPr>
        <w:t>Fluxo de aporte: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1. Aplicante seleciona portfólio e define: valor (≥ R$500), prazo (3/6/9/12m)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2. Plataforma exibe projeção: retorno bruto, IR retido, retorno líquido, comparativo CDI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3. Aplicante confirma → sistema gera cobrança PIX (copia-e-cola + QR code)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4. PIX pago → confirmação via webhook Dock → aporte ativado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5. MACRO HASH L2 (Investor Block) gerado e registrado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6. Retorno creditado mensalmente em D+1 via PIX na chave cadastrada</w:t>
      </w:r>
    </w:p>
    <w:p/>
    <w:p>
      <w:r>
        <w:rPr>
          <w:rFonts w:ascii="Arial" w:hAnsi="Arial"/>
          <w:b/>
          <w:i w:val="0"/>
          <w:color w:val="0B2447"/>
          <w:sz w:val="22"/>
        </w:rPr>
        <w:t>Cálculo de retorno (fórmula de juros compostos):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EEFF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b/>
                <w:color w:val="0B2447"/>
                <w:sz w:val="20"/>
              </w:rPr>
              <w:t>Fórmulas de Retorno</w:t>
            </w:r>
          </w:p>
          <w:p>
            <w:r>
              <w:rPr>
                <w:rFonts w:ascii="Arial" w:hAnsi="Arial"/>
                <w:sz w:val="19"/>
              </w:rPr>
              <w:t>Retorno Bruto  = Principal × (1 + taxa_mensal)^n - Principal</w:t>
            </w:r>
          </w:p>
          <w:p>
            <w:r>
              <w:rPr>
                <w:rFonts w:ascii="Arial" w:hAnsi="Arial"/>
                <w:sz w:val="19"/>
              </w:rPr>
              <w:t>IR Retido      = Retorno_Bruto × alíquota_IR(n)  [tabela regressiva IRPF]</w:t>
            </w:r>
          </w:p>
          <w:p>
            <w:r>
              <w:rPr>
                <w:rFonts w:ascii="Arial" w:hAnsi="Arial"/>
                <w:sz w:val="19"/>
              </w:rPr>
              <w:t>Retorno Líquido = Retorno_Bruto - IR_Retido</w:t>
            </w:r>
          </w:p>
          <w:p>
            <w:r>
              <w:rPr>
                <w:rFonts w:ascii="Arial" w:hAnsi="Arial"/>
                <w:sz w:val="19"/>
              </w:rPr>
            </w:r>
          </w:p>
          <w:p>
            <w:r>
              <w:rPr>
                <w:rFonts w:ascii="Arial" w:hAnsi="Arial"/>
                <w:sz w:val="19"/>
              </w:rPr>
              <w:t>Tabela IR (prazo do investimento):</w:t>
            </w:r>
          </w:p>
          <w:p>
            <w:r>
              <w:rPr>
                <w:rFonts w:ascii="Arial" w:hAnsi="Arial"/>
                <w:sz w:val="19"/>
              </w:rPr>
              <w:t xml:space="preserve">  Até 180 dias      → 22,5%</w:t>
            </w:r>
          </w:p>
          <w:p>
            <w:r>
              <w:rPr>
                <w:rFonts w:ascii="Arial" w:hAnsi="Arial"/>
                <w:sz w:val="19"/>
              </w:rPr>
              <w:t xml:space="preserve">  181 a 360 dias    → 20,0%</w:t>
            </w:r>
          </w:p>
          <w:p>
            <w:r>
              <w:rPr>
                <w:rFonts w:ascii="Arial" w:hAnsi="Arial"/>
                <w:sz w:val="19"/>
              </w:rPr>
              <w:t xml:space="preserve">  361 a 720 dias    → 17,5%</w:t>
            </w:r>
          </w:p>
          <w:p>
            <w:r>
              <w:rPr>
                <w:rFonts w:ascii="Arial" w:hAnsi="Arial"/>
                <w:sz w:val="19"/>
              </w:rPr>
              <w:t xml:space="preserve">  Acima de 720 dias → 15,0%</w:t>
            </w:r>
          </w:p>
          <w:p>
            <w:r>
              <w:rPr>
                <w:rFonts w:ascii="Arial" w:hAnsi="Arial"/>
                <w:sz w:val="19"/>
              </w:rPr>
            </w:r>
          </w:p>
          <w:p>
            <w:r>
              <w:rPr>
                <w:rFonts w:ascii="Arial" w:hAnsi="Arial"/>
                <w:sz w:val="19"/>
              </w:rPr>
              <w:t>Comparativo CDI: CDI_Retorno = Principal × (1 + CDI_mensal)^n - Principal</w:t>
            </w:r>
          </w:p>
          <w:p>
            <w:r>
              <w:rPr>
                <w:rFonts w:ascii="Arial" w:hAnsi="Arial"/>
                <w:sz w:val="19"/>
              </w:rPr>
              <w:t>Multiplicador NEXUS vs CDI = Retorno_Liquido_NEXUS / CDI_Retorno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color w:val="1640D6"/>
        </w:rPr>
        <w:t>MOD-05 · Módulo de Crédito — Fila FIFO Agentic</w:t>
      </w:r>
    </w:p>
    <w:p>
      <w:r>
        <w:rPr>
          <w:rFonts w:ascii="Arial" w:hAnsi="Arial"/>
          <w:b w:val="0"/>
          <w:i w:val="0"/>
          <w:sz w:val="22"/>
        </w:rPr>
        <w:t>O módulo de crédito é o coração operacional do NEXUS. Utiliza workers Celery com broker Redis para processar solicitações de forma assíncrona, justa (FIFO) e auditável.</w:t>
      </w:r>
    </w:p>
    <w:p/>
    <w:p>
      <w:r>
        <w:rPr>
          <w:rFonts w:ascii="Arial" w:hAnsi="Arial"/>
          <w:b/>
          <w:i w:val="0"/>
          <w:sz w:val="22"/>
        </w:rPr>
        <w:t>Fluxo completo de uma solicitação de crédito: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1. Solicitação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 define: blocos (1–10), vertical de uso, número de parcelas (1–12). Sistema valida score ≥ 550 e KYC nível 2.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2. Enfileiramento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Solicitação inserida na fila Redis com timestamp. Status: queued. Posição na fila exibida ao usuário em tempo real via websocket.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3. Worker Celery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Worker consome a fila FIFO. Verifica disponibilidade de capital nos portfólios elegíveis (match por taxa de risco do score).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4. Score Check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Revalidação do score em tempo real (pode ter mudado desde a solicitação). Score abaixo do mínimo → rejeição com motivo.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5. Matching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Sistema faz match com portfólio(s) de maior compatibilidade. Reserva o capital necessário no portfólio selecionado.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6. MACRO HASH L4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Contract Block gerado: H(contract_id || user_id || amount || terms || L3_hash). Assinado e registrado no ledger.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7. Emissão do cartão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Se Usuário não tem cartão: solicita emissão à Dock/BS2 via API. Cartão virtual disponível em minutos.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8. Crédito no cartão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Blocos R$40 × n creditados no saldo do cartão Visa via API Dock. MACRO HASH L5 (Block State) gerado por bloco.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9. Notificação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email: 'Seu crédito de R$X foi aprovado e está disponível no seu cartão\!'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10. Monitoramento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Parcelas monitoradas diariamente. Atraso &gt; 3 dias → notificação. Atraso &gt; 15 dias → impacto no Score Bloco A.</w:t>
            </w:r>
          </w:p>
        </w:tc>
      </w:tr>
    </w:tbl>
    <w:p/>
    <w:p>
      <w:r>
        <w:rPr>
          <w:rFonts w:ascii="Arial" w:hAnsi="Arial"/>
          <w:b/>
          <w:i w:val="0"/>
          <w:color w:val="0B2447"/>
          <w:sz w:val="22"/>
        </w:rPr>
        <w:t>Fórmula de amortização (Sistema Price — parcelas fixas):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b/>
                <w:color w:val="0B2447"/>
                <w:sz w:val="20"/>
              </w:rPr>
              <w:t>Amortização Price (Parcelas Fixas)</w:t>
            </w:r>
          </w:p>
          <w:p>
            <w:r>
              <w:rPr>
                <w:rFonts w:ascii="Arial" w:hAnsi="Arial"/>
                <w:sz w:val="19"/>
              </w:rPr>
              <w:t>PMT = PV × [i × (1+i)^n] / [(1+i)^n - 1]</w:t>
            </w:r>
          </w:p>
          <w:p>
            <w:r>
              <w:rPr>
                <w:rFonts w:ascii="Arial" w:hAnsi="Arial"/>
                <w:sz w:val="19"/>
              </w:rPr>
            </w:r>
          </w:p>
          <w:p>
            <w:r>
              <w:rPr>
                <w:rFonts w:ascii="Arial" w:hAnsi="Arial"/>
                <w:sz w:val="19"/>
              </w:rPr>
              <w:t>Onde:</w:t>
            </w:r>
          </w:p>
          <w:p>
            <w:r>
              <w:rPr>
                <w:rFonts w:ascii="Arial" w:hAnsi="Arial"/>
                <w:sz w:val="19"/>
              </w:rPr>
              <w:t xml:space="preserve">  PMT = valor da parcela mensal (fixo)</w:t>
            </w:r>
          </w:p>
          <w:p>
            <w:r>
              <w:rPr>
                <w:rFonts w:ascii="Arial" w:hAnsi="Arial"/>
                <w:sz w:val="19"/>
              </w:rPr>
              <w:t xml:space="preserve">  PV  = valor presente (total crédito concedido em R$)</w:t>
            </w:r>
          </w:p>
          <w:p>
            <w:r>
              <w:rPr>
                <w:rFonts w:ascii="Arial" w:hAnsi="Arial"/>
                <w:sz w:val="19"/>
              </w:rPr>
              <w:t xml:space="preserve">  i   = taxa mensal de juros (definida pelo portfólio matched)</w:t>
            </w:r>
          </w:p>
          <w:p>
            <w:r>
              <w:rPr>
                <w:rFonts w:ascii="Arial" w:hAnsi="Arial"/>
                <w:sz w:val="19"/>
              </w:rPr>
              <w:t xml:space="preserve">  n   = número de parcelas escolhidas pelo Usuário</w:t>
            </w:r>
          </w:p>
          <w:p>
            <w:r>
              <w:rPr>
                <w:rFonts w:ascii="Arial" w:hAnsi="Arial"/>
                <w:sz w:val="19"/>
              </w:rPr>
            </w:r>
          </w:p>
          <w:p>
            <w:r>
              <w:rPr>
                <w:rFonts w:ascii="Arial" w:hAnsi="Arial"/>
                <w:sz w:val="19"/>
              </w:rPr>
              <w:t>Cada parcela é composta por amortização + juros decrescentes ao longo do tempo.</w:t>
            </w:r>
          </w:p>
          <w:p>
            <w:r>
              <w:rPr>
                <w:rFonts w:ascii="Arial" w:hAnsi="Arial"/>
                <w:sz w:val="19"/>
              </w:rPr>
              <w:t>O retorno ao Aplicante é calculado proporcional à sua participação no portfólio.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640D6"/>
        </w:rPr>
        <w:t>MOD-06 · Cartão Visa Pré-Pago (Dock/BS2)</w:t>
      </w:r>
    </w:p>
    <w:p>
      <w:r>
        <w:rPr>
          <w:rFonts w:ascii="Arial" w:hAnsi="Arial"/>
          <w:b w:val="0"/>
          <w:i w:val="0"/>
          <w:sz w:val="22"/>
        </w:rPr>
        <w:t>O cartão Visa pré-pago é o veículo de entrega do crédito ao Usuário. Emitido pela Dock como BIN Sponsor Visa/Mastercard, com BS2 como banco parceiro. O saldo é carregado por blocos de R$40 conforme crédito aprovado.</w:t>
      </w:r>
    </w:p>
    <w:p/>
    <w:p>
      <w:r>
        <w:rPr>
          <w:rFonts w:ascii="Arial" w:hAnsi="Arial"/>
          <w:b/>
          <w:i w:val="0"/>
          <w:sz w:val="22"/>
        </w:rPr>
        <w:t>Tela do cartão (campos exibidos):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PAN mascarado: **** **** **** 4521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Nome do titular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Validade (mês/ano)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Bandeira: Visa ou Mastercard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Saldo disponível (destaque em verde)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Limite total contratado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Próxima parcela (data + valor)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Status: Ativo / Bloqueado / Cancelado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Botão 'Bloquear temporariamente'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Botão 'Ver número completo' (autenticação 2FA exigida)</w:t>
      </w:r>
    </w:p>
    <w:p/>
    <w:p>
      <w:r>
        <w:rPr>
          <w:rFonts w:ascii="Arial" w:hAnsi="Arial"/>
          <w:b/>
          <w:i w:val="0"/>
          <w:sz w:val="22"/>
        </w:rPr>
        <w:t>Extrato do cartão — campos por transação: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Data e hora da transação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Nome do estabelecimento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Vertical de consumo (ex: V007 · Delivery)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Valor em R$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Tipo: purchase / credit_block / refund / fee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Status: authorized / settled / reversed / failed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MACRO HASH L5 (para transações de credit_block)</w:t>
      </w:r>
    </w:p>
    <w:p>
      <w:pPr>
        <w:pStyle w:val="Heading2"/>
      </w:pPr>
      <w:r>
        <w:rPr>
          <w:rFonts w:ascii="Arial" w:hAnsi="Arial"/>
          <w:color w:val="1640D6"/>
        </w:rPr>
        <w:t>MOD-07 · MACRO HASH Ledger</w:t>
      </w:r>
    </w:p>
    <w:p>
      <w:r>
        <w:rPr>
          <w:rFonts w:ascii="Arial" w:hAnsi="Arial"/>
          <w:b w:val="0"/>
          <w:i w:val="0"/>
          <w:sz w:val="22"/>
        </w:rPr>
        <w:t>O MACRO HASH é o sistema de auditoria criptográfica do NEXUS. Uma cadeia de 5 camadas de hashes SHA-256, append-only (imutável), onde cada bloco encadeia o hash do bloco pai — tornando qualquer adulteração detectável imediatamente.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Composição do Hash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Quando é Criado</w:t>
            </w:r>
          </w:p>
        </w:tc>
      </w:tr>
      <w:tr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Platform State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Estado global da plataforma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H(platform_id || timestamp || config_hash)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Criado uma vez por período (diário)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Investor Block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Aporte do Aplicante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H(investor_id || portfolio_id || amount || L1_hash)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Criado a cada novo aporte</w:t>
            </w:r>
          </w:p>
        </w:tc>
      </w:tr>
      <w:tr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L3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Portfolio Block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Parâmetros do portfólio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H(portfolio_params || allocation || L2_hash)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Criado/atualizado a cada alocação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Contract Block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Contrato com o Usuário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H(contract_id || user_id || terms || L3_hash)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Criado a cada crédito aprovado</w:t>
            </w:r>
          </w:p>
        </w:tc>
      </w:tr>
      <w:tr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L5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Block State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Bloco R$40 no cartão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H(block_id || amount_40 || card_token || L4_hash)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Criado a cada bloco creditado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FAE5"/>
            <w:tcBorders>
              <w:top w:val="single" w:sz="4" w:space="0" w:color="1640D6"/>
              <w:left w:val="single" w:sz="4" w:space="0" w:color="1640D6"/>
              <w:bottom w:val="single" w:sz="4" w:space="0" w:color="1640D6"/>
              <w:right w:val="single" w:sz="4" w:space="0" w:color="1640D6"/>
            </w:tcBorders>
          </w:tcPr>
          <w:p>
            <w:r>
              <w:rPr>
                <w:rFonts w:ascii="Arial" w:hAnsi="Arial"/>
                <w:b/>
                <w:color w:val="065F46"/>
                <w:sz w:val="20"/>
              </w:rPr>
              <w:t>Verificação Pública</w:t>
            </w:r>
          </w:p>
          <w:p>
            <w:r>
              <w:rPr>
                <w:rFonts w:ascii="Arial" w:hAnsi="Arial"/>
                <w:sz w:val="19"/>
              </w:rPr>
              <w:t>O NEXUS publica o hash raiz L1 de cada período em /ledger/root (endpoint público, sem autenticação).</w:t>
            </w:r>
          </w:p>
          <w:p>
            <w:r>
              <w:rPr>
                <w:rFonts w:ascii="Arial" w:hAnsi="Arial"/>
                <w:sz w:val="19"/>
              </w:rPr>
              <w:t>Qualquer auditor externo pode verificar a integridade completa do ledger via GET /ledger/verify/{hash}</w:t>
            </w:r>
          </w:p>
          <w:p>
            <w:r>
              <w:rPr>
                <w:rFonts w:ascii="Arial" w:hAnsi="Arial"/>
                <w:sz w:val="19"/>
              </w:rPr>
              <w:t>sem precisar de acesso a dados sensíveis — apenas comparando hashes SHA-256.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6. Regras de Negócio</w:t>
      </w:r>
    </w:p>
    <w:p>
      <w:pPr>
        <w:pBdr>
          <w:bottom w:val="single" w:sz="6" w:space="1" w:color="1640D6"/>
        </w:pBdr>
        <w:spacing w:after="120"/>
      </w:pPr>
    </w:p>
    <w:p>
      <w:pPr>
        <w:pStyle w:val="Heading2"/>
      </w:pPr>
      <w:r>
        <w:rPr>
          <w:rFonts w:ascii="Arial" w:hAnsi="Arial"/>
          <w:color w:val="1640D6"/>
        </w:rPr>
        <w:t>6.1 Regras do Lado Aplicante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RN-A01</w:t>
      </w:r>
      <w:r>
        <w:rPr>
          <w:rFonts w:ascii="Arial" w:hAnsi="Arial"/>
          <w:sz w:val="21"/>
        </w:rPr>
        <w:t xml:space="preserve"> Aporte mínimo: R$ 500 por portfólio por operação.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RN-A02</w:t>
      </w:r>
      <w:r>
        <w:rPr>
          <w:rFonts w:ascii="Arial" w:hAnsi="Arial"/>
          <w:sz w:val="21"/>
        </w:rPr>
        <w:t xml:space="preserve"> Aporte máximo por operação: R$ 100.000 (pode variar por portfólio).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RN-A03</w:t>
      </w:r>
      <w:r>
        <w:rPr>
          <w:rFonts w:ascii="Arial" w:hAnsi="Arial"/>
          <w:sz w:val="21"/>
        </w:rPr>
        <w:t xml:space="preserve"> KYC Nível 2 obrigatório para realizar qualquer aporte.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RN-A04</w:t>
      </w:r>
      <w:r>
        <w:rPr>
          <w:rFonts w:ascii="Arial" w:hAnsi="Arial"/>
          <w:sz w:val="21"/>
        </w:rPr>
        <w:t xml:space="preserve"> Retornos creditados via PIX D+1 no primeiro dia útil após fechamento mensal.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RN-A05</w:t>
      </w:r>
      <w:r>
        <w:rPr>
          <w:rFonts w:ascii="Arial" w:hAnsi="Arial"/>
          <w:sz w:val="21"/>
        </w:rPr>
        <w:t xml:space="preserve"> IR retido na fonte conforme tabela regressiva IRPF (22,5% a 15%).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RN-A06</w:t>
      </w:r>
      <w:r>
        <w:rPr>
          <w:rFonts w:ascii="Arial" w:hAnsi="Arial"/>
          <w:sz w:val="21"/>
        </w:rPr>
        <w:t xml:space="preserve"> Prazo mínimo de investimento: 3 meses. Máximo: 12 meses por operação.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RN-A07</w:t>
      </w:r>
      <w:r>
        <w:rPr>
          <w:rFonts w:ascii="Arial" w:hAnsi="Arial"/>
          <w:sz w:val="21"/>
        </w:rPr>
        <w:t xml:space="preserve"> Resgate antecipado: não permitido nos primeiros 60 dias. Após: sujeito a taxa de saída de 1%.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RN-A08</w:t>
      </w:r>
      <w:r>
        <w:rPr>
          <w:rFonts w:ascii="Arial" w:hAnsi="Arial"/>
          <w:sz w:val="21"/>
        </w:rPr>
        <w:t xml:space="preserve"> Informe de rendimentos anual gerado automaticamente até 28 de fevereiro do ano seguinte.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RN-A09</w:t>
      </w:r>
      <w:r>
        <w:rPr>
          <w:rFonts w:ascii="Arial" w:hAnsi="Arial"/>
          <w:sz w:val="21"/>
        </w:rPr>
        <w:t xml:space="preserve"> Diversificação máxima: um Aplicante pode deter no máximo 20% do capital total de um portfólio.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RN-A10</w:t>
      </w:r>
      <w:r>
        <w:rPr>
          <w:rFonts w:ascii="Arial" w:hAnsi="Arial"/>
          <w:sz w:val="21"/>
        </w:rPr>
        <w:t xml:space="preserve"> Relatório mensal enviado por email com: retorno bruto, IR, retorno líquido, default rate do portfólio.</w:t>
      </w:r>
    </w:p>
    <w:p>
      <w:pPr>
        <w:pStyle w:val="Heading2"/>
      </w:pPr>
      <w:r>
        <w:rPr>
          <w:rFonts w:ascii="Arial" w:hAnsi="Arial"/>
          <w:color w:val="1640D6"/>
        </w:rPr>
        <w:t>6.2 Regras do Lado Usuário (Tomador)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RN-U01</w:t>
      </w:r>
      <w:r>
        <w:rPr>
          <w:rFonts w:ascii="Arial" w:hAnsi="Arial"/>
          <w:sz w:val="21"/>
        </w:rPr>
        <w:t xml:space="preserve"> NEXUS Score mínimo para solicitar crédito: 550 pontos.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RN-U02</w:t>
      </w:r>
      <w:r>
        <w:rPr>
          <w:rFonts w:ascii="Arial" w:hAnsi="Arial"/>
          <w:sz w:val="21"/>
        </w:rPr>
        <w:t xml:space="preserve"> Bloco unitário de crédito: R$ 40 (indivisível).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RN-U03</w:t>
      </w:r>
      <w:r>
        <w:rPr>
          <w:rFonts w:ascii="Arial" w:hAnsi="Arial"/>
          <w:sz w:val="21"/>
        </w:rPr>
        <w:t xml:space="preserve"> Máximo de 10 blocos por solicitação (R$ 400 por operação).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RN-U04</w:t>
      </w:r>
      <w:r>
        <w:rPr>
          <w:rFonts w:ascii="Arial" w:hAnsi="Arial"/>
          <w:sz w:val="21"/>
        </w:rPr>
        <w:t xml:space="preserve"> Máximo de 1 solicitação ativa por usuário (nova solicitação bloqueada enquanto há crédito em aberto).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RN-U05</w:t>
      </w:r>
      <w:r>
        <w:rPr>
          <w:rFonts w:ascii="Arial" w:hAnsi="Arial"/>
          <w:sz w:val="21"/>
        </w:rPr>
        <w:t xml:space="preserve"> Parcelas: de 1 a 12 meses. Prazo máximo varia por faixa de score.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RN-U06</w:t>
      </w:r>
      <w:r>
        <w:rPr>
          <w:rFonts w:ascii="Arial" w:hAnsi="Arial"/>
          <w:sz w:val="21"/>
        </w:rPr>
        <w:t xml:space="preserve"> Taxa de juros determinada pelo portfólio matched (não pelo Usuário).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RN-U07</w:t>
      </w:r>
      <w:r>
        <w:rPr>
          <w:rFonts w:ascii="Arial" w:hAnsi="Arial"/>
          <w:sz w:val="21"/>
        </w:rPr>
        <w:t xml:space="preserve"> Atraso ≥ 3 dias corridos: notificação automática por push + email.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RN-U08</w:t>
      </w:r>
      <w:r>
        <w:rPr>
          <w:rFonts w:ascii="Arial" w:hAnsi="Arial"/>
          <w:sz w:val="21"/>
        </w:rPr>
        <w:t xml:space="preserve"> Atraso ≥ 15 dias: impacto negativo no NEXUS Score Bloco A.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RN-U09</w:t>
      </w:r>
      <w:r>
        <w:rPr>
          <w:rFonts w:ascii="Arial" w:hAnsi="Arial"/>
          <w:sz w:val="21"/>
        </w:rPr>
        <w:t xml:space="preserve"> Atraso ≥ 30 dias: suspensão do cartão (transações bloqueadas).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RN-U10</w:t>
      </w:r>
      <w:r>
        <w:rPr>
          <w:rFonts w:ascii="Arial" w:hAnsi="Arial"/>
          <w:sz w:val="21"/>
        </w:rPr>
        <w:t xml:space="preserve"> Atraso ≥ 60 dias: cobrança por empresa especializada + impacto crítico no score.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RN-U11</w:t>
      </w:r>
      <w:r>
        <w:rPr>
          <w:rFonts w:ascii="Arial" w:hAnsi="Arial"/>
          <w:sz w:val="21"/>
        </w:rPr>
        <w:t xml:space="preserve"> Amortizações aceitas: PIX, boleto bancário (D+2), débito automático (quando disponível).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RN-U12</w:t>
      </w:r>
      <w:r>
        <w:rPr>
          <w:rFonts w:ascii="Arial" w:hAnsi="Arial"/>
          <w:sz w:val="21"/>
        </w:rPr>
        <w:t xml:space="preserve"> Amortização antecipada total: permitida sem multa, com recálculo de juros.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RN-U13</w:t>
      </w:r>
      <w:r>
        <w:rPr>
          <w:rFonts w:ascii="Arial" w:hAnsi="Arial"/>
          <w:sz w:val="21"/>
        </w:rPr>
        <w:t xml:space="preserve"> KYC Nível 2 obrigatório para emissão do cartão.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RN-U14</w:t>
      </w:r>
      <w:r>
        <w:rPr>
          <w:rFonts w:ascii="Arial" w:hAnsi="Arial"/>
          <w:sz w:val="21"/>
        </w:rPr>
        <w:t xml:space="preserve"> Cartão Visa virtual: disponível em até 2 horas após aprovação do crédito.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RN-U15</w:t>
      </w:r>
      <w:r>
        <w:rPr>
          <w:rFonts w:ascii="Arial" w:hAnsi="Arial"/>
          <w:sz w:val="21"/>
        </w:rPr>
        <w:t xml:space="preserve"> Cartão físico (opcional): enviado pelos Correios em até 10 dias úteis.</w:t>
      </w:r>
    </w:p>
    <w:p>
      <w:pPr>
        <w:pStyle w:val="Heading2"/>
      </w:pPr>
      <w:r>
        <w:rPr>
          <w:rFonts w:ascii="Arial" w:hAnsi="Arial"/>
          <w:color w:val="1640D6"/>
        </w:rPr>
        <w:t>6.3 Regras do MACRO HASH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RN-H01</w:t>
      </w:r>
      <w:r>
        <w:rPr>
          <w:rFonts w:ascii="Arial" w:hAnsi="Arial"/>
          <w:sz w:val="21"/>
        </w:rPr>
        <w:t xml:space="preserve"> Todo aporte, contrato e bloco de crédito DEVE ter um hash SHA-256 correspondente registrado.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RN-H02</w:t>
      </w:r>
      <w:r>
        <w:rPr>
          <w:rFonts w:ascii="Arial" w:hAnsi="Arial"/>
          <w:sz w:val="21"/>
        </w:rPr>
        <w:t xml:space="preserve"> O ledger é append-only: nenhum bloco pode ser editado ou excluído após registro.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RN-H03</w:t>
      </w:r>
      <w:r>
        <w:rPr>
          <w:rFonts w:ascii="Arial" w:hAnsi="Arial"/>
          <w:sz w:val="21"/>
        </w:rPr>
        <w:t xml:space="preserve"> Qualquer inconsistência de hash detectada pelo sistema gera alerta crítico para o time de compliance.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RN-H04</w:t>
      </w:r>
      <w:r>
        <w:rPr>
          <w:rFonts w:ascii="Arial" w:hAnsi="Arial"/>
          <w:sz w:val="21"/>
        </w:rPr>
        <w:t xml:space="preserve"> O hash raiz L1 é publicado publicamente em /ledger/root uma vez por dia (00:00 BRT).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RN-H05</w:t>
      </w:r>
      <w:r>
        <w:rPr>
          <w:rFonts w:ascii="Arial" w:hAnsi="Arial"/>
          <w:sz w:val="21"/>
        </w:rPr>
        <w:t xml:space="preserve"> Usuários podem verificar qualquer hash de suas transações via /ledger/verify/{hash} sem autenticação.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7. Especificação de Telas — Campos e Componentes</w:t>
      </w:r>
    </w:p>
    <w:p>
      <w:pPr>
        <w:pBdr>
          <w:bottom w:val="single" w:sz="6" w:space="1" w:color="1640D6"/>
        </w:pBdr>
        <w:spacing w:after="120"/>
      </w:pPr>
    </w:p>
    <w:p>
      <w:pPr>
        <w:pStyle w:val="Heading2"/>
      </w:pPr>
      <w:r>
        <w:rPr>
          <w:rFonts w:ascii="Arial" w:hAnsi="Arial"/>
          <w:color w:val="1640D6"/>
        </w:rPr>
        <w:t>7.1 Dashboard Aplicante — Componentes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Conteúdo / Campos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 Saldo Total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Valor total investido (R$), variação vs. mês anterior (%), ícone tendência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 Retorno Mês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Retorno líquido do mês corrente (R$), taxa efetiva (% a.m.), badge 'acima do CDI'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 Próximo PIX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Data e valor do próximo crédito PIX, botão 'Ver extrato'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 NEXUS Score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 atual do Aplicante, barra de progresso, categoria (Bronze/Prata/Ouro)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Gráfico Crescimento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Linha temporal: capital total vs. retorno acumulado (últimos 12 meses)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Tabela Portfólios Ativos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Portfólio, valor, taxa, prazo restante, retorno acumulado, ação (detalhe)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Alertas/Notificações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Últimas 5 notificações: PIX creditado, novo portfólio disponível, etc.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Botão rápido: Investir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CTA primário — abre modal de seleção de portfólio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Botão rápido: Sacar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CTA secundário — abre modal de saque PIX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640D6"/>
        </w:rPr>
        <w:t>7.2 Dashboard Usuário — Componentes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Conteúdo / Campos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 Cartão Visa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PAN mascarado, saldo disponível, limite total, status ativo/bloqueado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 NEXUS Score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 atual, faixa de cor (vermelho→verde), próxima faixa e o que falta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 Próxima Parcela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Valor, data de vencimento, conta bancária para PIX, botão 'Pagar'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 Crédito Disponível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Limite adicional disponível (em blocos × R$40), botão 'Solicitar'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Histórico de Solicitações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Lista: data, valor, status (fila/aprovado/rejeitado), vertical de uso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Extrato Resumido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Últimas 5 transações do cartão: estabelecimento, valor, vertical, data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Barra de Progresso Parcelas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Visual de parcelas pagas vs. abertas para cada crédito ativo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Alerta Vencimento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Banner amarelo/vermelho se parcela vence em ≤ 5 dias ou está em atraso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8. Estados e Transições das Entidades</w:t>
      </w:r>
    </w:p>
    <w:p>
      <w:pPr>
        <w:pBdr>
          <w:bottom w:val="single" w:sz="6" w:space="1" w:color="1640D6"/>
        </w:pBdr>
        <w:spacing w:after="120"/>
      </w:pPr>
    </w:p>
    <w:p>
      <w:r>
        <w:rPr>
          <w:rFonts w:ascii="Arial" w:hAnsi="Arial"/>
          <w:b/>
          <w:i w:val="0"/>
          <w:color w:val="0B2447"/>
          <w:sz w:val="22"/>
        </w:rPr>
        <w:t>Solicitação de Crédito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queued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Enfileirada aguardando worker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processing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Worker processando: score check + matching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approved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Crédito aprovado, aguardando emissão no cartão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rejected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Reprovado: score insuficiente, capital indisponível ou limite atingido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disbursed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Crédito creditado no cartão Visa — MACRO HASH L5 registrado</w:t>
            </w:r>
          </w:p>
        </w:tc>
      </w:tr>
    </w:tbl>
    <w:p/>
    <w:p>
      <w:r>
        <w:rPr>
          <w:rFonts w:ascii="Arial" w:hAnsi="Arial"/>
          <w:b/>
          <w:i w:val="0"/>
          <w:color w:val="0B2447"/>
          <w:sz w:val="22"/>
        </w:rPr>
        <w:t>Aporte (Investment)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pending_payment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 gerado, aguardando pagamento (expira em 30 min)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active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 confirmado, capital alocado no portfólio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matured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Prazo encerrado, capital + retorno liquidado ao Aplicante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withdrawn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Resgate antecipado após 60 dias (taxa de saída aplicada)</w:t>
            </w:r>
          </w:p>
        </w:tc>
      </w:tr>
    </w:tbl>
    <w:p/>
    <w:p>
      <w:r>
        <w:rPr>
          <w:rFonts w:ascii="Arial" w:hAnsi="Arial"/>
          <w:b/>
          <w:i w:val="0"/>
          <w:color w:val="0B2447"/>
          <w:sz w:val="22"/>
        </w:rPr>
        <w:t>Parcela (Installment)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upcoming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Vencimento futuro — nenhuma ação necessária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due_today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Vence hoje — notificação push enviada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overdue_3d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 dias de atraso — notificação urgente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overdue_15d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15 dias — impacto no score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overdue_30d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30 dias — cartão suspenso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paid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Pago via PIX/boleto — amortização registrada</w:t>
            </w:r>
          </w:p>
        </w:tc>
      </w:tr>
    </w:tbl>
    <w:p/>
    <w:p>
      <w:r>
        <w:rPr>
          <w:rFonts w:ascii="Arial" w:hAnsi="Arial"/>
          <w:b/>
          <w:i w:val="0"/>
          <w:color w:val="0B2447"/>
          <w:sz w:val="22"/>
        </w:rPr>
        <w:t>Cartão Visa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not_issued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Crédito aprovado mas cartão ainda não emitido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active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Cartão emitido e operacional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Bloqueado temporariamente pelo usuário ou por inadimplência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cancelled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Cancelado definitivamente (após 60+ dias inadimplência)</w:t>
            </w:r>
          </w:p>
        </w:tc>
      </w:tr>
    </w:tbl>
    <w:p/>
    <w:p>
      <w:r>
        <w:rPr>
          <w:rFonts w:ascii="Arial" w:hAnsi="Arial"/>
          <w:b/>
          <w:i w:val="0"/>
          <w:color w:val="0B2447"/>
          <w:sz w:val="22"/>
        </w:rPr>
        <w:t>KYC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68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Cadastro criado, documentos não enviados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in_review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Documentos enviados, análise em andamento</w:t>
            </w:r>
          </w:p>
        </w:tc>
      </w:tr>
      <w:tr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approved</w:t>
            </w:r>
          </w:p>
        </w:tc>
        <w:tc>
          <w:tcPr>
            <w:tcW w:type="dxa" w:w="468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KYC aprovado — nível correspondente liberado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rejected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Reprovado — motivo informado, reenvio permitido (máx 3×)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9. Integrações Externas</w:t>
      </w:r>
    </w:p>
    <w:p>
      <w:pPr>
        <w:pBdr>
          <w:bottom w:val="single" w:sz="6" w:space="1" w:color="1640D6"/>
        </w:pBd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Parceiro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Protocolo</w:t>
            </w:r>
          </w:p>
        </w:tc>
        <w:tc>
          <w:tcPr>
            <w:tcW w:type="dxa" w:w="1872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Criticidade</w:t>
            </w:r>
          </w:p>
        </w:tc>
      </w:tr>
      <w:tr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Dock / BS2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BIN Sponsor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Emissão de cartão Visa/MC pré-pago, crédito de saldo (blocos R$40), bloqueio/desbloqueio, extrato de transações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REST API + Webhooks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 / BACEN DICT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Infraestrutura Pagamentos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Recebimento de aportes dos Aplicantes, liquidação D+1 de retornos, amortizações dos Usuários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PSP parceiro + DICT API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Crítica</w:t>
            </w:r>
          </w:p>
        </w:tc>
      </w:tr>
      <w:tr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Serasa Experian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Bureau de Crédito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Enriquecimento opcional do NEXUS Score (Bloco E). NÃO é gate — apenas sinal adicional.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REST API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Open Finance BCB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Dados Financeiros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Consulta histórico bancário, pagamento de contas (Bloco C do score). Mediante consentimento do usuário.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OAuth2 + REST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Futura</w:t>
            </w:r>
          </w:p>
        </w:tc>
      </w:tr>
      <w:tr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AWS S3 / GCS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Armazenamento KYC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Documentos de identidade e selfies criptografados em repouso (AES-256)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SDK cloud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Twilio / SendGrid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Comunicação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SMS de verificação, emails transacionais (KYC, PIX, alertas de parcela)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REST API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Firebase / OneSignal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Notifications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Notificações push iOS/Android: crédito aprovado, PIX recebido, parcela vencendo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SDK mobile</w:t>
            </w:r>
          </w:p>
        </w:tc>
        <w:tc>
          <w:tcPr>
            <w:tcW w:type="dxa" w:w="1872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10. Sistema de Notificações</w:t>
      </w:r>
    </w:p>
    <w:p>
      <w:pPr>
        <w:pBdr>
          <w:bottom w:val="single" w:sz="6" w:space="1" w:color="1640D6"/>
        </w:pBdr>
        <w:spacing w:after="120"/>
      </w:pPr>
    </w:p>
    <w:p>
      <w:r>
        <w:rPr>
          <w:rFonts w:ascii="Arial" w:hAnsi="Arial"/>
          <w:b w:val="0"/>
          <w:i w:val="0"/>
          <w:sz w:val="22"/>
        </w:rPr>
        <w:t>O NEXUS opera um sistema de notificações multicanal (push, email, SMS, webhook) disparadas por eventos de negócio. Cada usuário pode configurar seus canais preferidos nas configurações de perfil.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Destinatário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Mensagem Template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kyc.approved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Aplicante / Usuário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KYC aprovado — sua conta está liberada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kyc.rejected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Aplicante / Usuário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KYC não aprovado — veja o motivo e reenvie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investment.active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Aplicante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Aporte de R$X confirmado no Portfólio 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investment.return_paid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Aplicante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 + SMS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R$X creditado via PIX — retorno de [mês]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investment.matured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Aplicante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Seu aporte venceu. Capital + retorno liquidados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credit.queued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Solicitação recebida. Posição na fila: #N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credit.approved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 + SMS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Crédito R$X aprovado\! Disponível no seu cartão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credit.rejected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Solicitação não aprovada. Motivo: [razão]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card.transaction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Compra R$X em [estabelecimento] · [vertical]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installment.due_soon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Parcela de R$X vence em 5 dias — [data]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installment.overdue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 + SMS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Parcela em atraso há [N] dias. Regularize já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score.upgraded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Ambos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Seu NEXUS Score subiu para [X] pontos\! 🎉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score.downgraded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Ambos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 + Email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Atenção: seu score caiu para [X]. Veja como melhorar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pix.received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Aplicante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Push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 de R$X recebido na sua conta NEXUS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11. Painel Administrativo (Admin Panel)</w:t>
      </w:r>
    </w:p>
    <w:p>
      <w:pPr>
        <w:pBdr>
          <w:bottom w:val="single" w:sz="6" w:space="1" w:color="1640D6"/>
        </w:pBdr>
        <w:spacing w:after="120"/>
      </w:pPr>
    </w:p>
    <w:p>
      <w:r>
        <w:rPr>
          <w:rFonts w:ascii="Arial" w:hAnsi="Arial"/>
          <w:b w:val="0"/>
          <w:i w:val="0"/>
          <w:sz w:val="22"/>
        </w:rPr>
        <w:t>O Admin Panel é um sistema interno de gestão, acessível apenas por colaboradores com roles autorizadas. Opera sobre a mesma API da plataforma com permissões elevadas.</w:t>
      </w:r>
    </w:p>
    <w:p/>
    <w:p>
      <w:pPr>
        <w:pStyle w:val="ListBullet"/>
        <w:ind w:left="432"/>
      </w:pPr>
      <w:r>
        <w:rPr>
          <w:rFonts w:ascii="Arial" w:hAnsi="Arial"/>
          <w:b/>
          <w:sz w:val="21"/>
        </w:rPr>
        <w:t>Admin · Dashboard:</w:t>
      </w:r>
      <w:r>
        <w:rPr>
          <w:rFonts w:ascii="Arial" w:hAnsi="Arial"/>
          <w:sz w:val="21"/>
        </w:rPr>
        <w:t xml:space="preserve"> KPIs em tempo real: Aplicantes ativos, Usuários ativos, capital total, retorno médio, default rate geral, volume PIX do dia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Usuários:</w:t>
      </w:r>
      <w:r>
        <w:rPr>
          <w:rFonts w:ascii="Arial" w:hAnsi="Arial"/>
          <w:sz w:val="21"/>
        </w:rPr>
        <w:t xml:space="preserve"> Busca por CPF/email, ver perfil completo, histórico de score, forçar recálculo de score, suspender conta, ver todos os créditos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KYC Queue:</w:t>
      </w:r>
      <w:r>
        <w:rPr>
          <w:rFonts w:ascii="Arial" w:hAnsi="Arial"/>
          <w:sz w:val="21"/>
        </w:rPr>
        <w:t xml:space="preserve"> Fila de documentos aguardando revisão, aprovação/rejeição manual com motivo, histórico de decisões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Portfólios:</w:t>
      </w:r>
      <w:r>
        <w:rPr>
          <w:rFonts w:ascii="Arial" w:hAnsi="Arial"/>
          <w:sz w:val="21"/>
        </w:rPr>
        <w:t xml:space="preserve"> Criar/editar/pausar portfólios, definir taxas e limites, ver composição de contratos, ajustar parâmetros de risco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Créditos:</w:t>
      </w:r>
      <w:r>
        <w:rPr>
          <w:rFonts w:ascii="Arial" w:hAnsi="Arial"/>
          <w:sz w:val="21"/>
        </w:rPr>
        <w:t xml:space="preserve"> Ver todas as solicitações (qualquer status), forçar processamento manual, ver logs do worker Celery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MACRO HASH:</w:t>
      </w:r>
      <w:r>
        <w:rPr>
          <w:rFonts w:ascii="Arial" w:hAnsi="Arial"/>
          <w:sz w:val="21"/>
        </w:rPr>
        <w:t xml:space="preserve"> Explorador do ledger: busca por hash, ver árvore de blocos, exportar para auditoria, verificar integridade da cadeia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Compliance:</w:t>
      </w:r>
      <w:r>
        <w:rPr>
          <w:rFonts w:ascii="Arial" w:hAnsi="Arial"/>
          <w:sz w:val="21"/>
        </w:rPr>
        <w:t xml:space="preserve"> Relatórios BACEN, geração de arquivos para SCR (Sistema de Informações de Crédito), registros de auditoria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Financeiro:</w:t>
      </w:r>
      <w:r>
        <w:rPr>
          <w:rFonts w:ascii="Arial" w:hAnsi="Arial"/>
          <w:sz w:val="21"/>
        </w:rPr>
        <w:t xml:space="preserve"> Conciliação financeira, PIX pendentes, posições por portfólio, cálculo de provisão para inadimplência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Comunicações:</w:t>
      </w:r>
      <w:r>
        <w:rPr>
          <w:rFonts w:ascii="Arial" w:hAnsi="Arial"/>
          <w:sz w:val="21"/>
        </w:rPr>
        <w:t xml:space="preserve"> Envio de notificações manuais, templates de email, histórico de disparos</w:t>
      </w:r>
    </w:p>
    <w:p>
      <w:pPr>
        <w:pStyle w:val="ListBullet"/>
        <w:ind w:left="432"/>
      </w:pPr>
      <w:r>
        <w:rPr>
          <w:rFonts w:ascii="Arial" w:hAnsi="Arial"/>
          <w:b/>
          <w:sz w:val="21"/>
        </w:rPr>
        <w:t>Admin · Configurações:</w:t>
      </w:r>
      <w:r>
        <w:rPr>
          <w:rFonts w:ascii="Arial" w:hAnsi="Arial"/>
          <w:sz w:val="21"/>
        </w:rPr>
        <w:t xml:space="preserve"> Parâmetros do sistema: taxas de saída, limites de crédito por faixa de score, thresholds do worker Celery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0B2447"/>
        </w:rPr>
        <w:t>12. Fluxo de Dados End-to-End</w:t>
      </w:r>
    </w:p>
    <w:p>
      <w:pPr>
        <w:pBdr>
          <w:bottom w:val="single" w:sz="6" w:space="1" w:color="1640D6"/>
        </w:pBdr>
        <w:spacing w:after="120"/>
      </w:pPr>
    </w:p>
    <w:p>
      <w:pPr>
        <w:pStyle w:val="Heading2"/>
      </w:pPr>
      <w:r>
        <w:rPr>
          <w:rFonts w:ascii="Arial" w:hAnsi="Arial"/>
          <w:color w:val="1640D6"/>
        </w:rPr>
        <w:t>12.1 Fluxo: Aplicante investe → Usuário recebe crédito → Aplicante recebe retorno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Ação / Evento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Sistema/Serviço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Aplicante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Realiza aporte de R$5.000 no Portfólio B (4,2% a.m., 6 meses)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POST /investments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Gera cobrança PIX; aguarda confirmação via webhook Dock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 QR Code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Pagamento confirmado → aporte ativado; MACRO HASH L2 registrado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Webhook → MACRO HASH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Worker Celery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 A solicita 5 blocos (R$200). Score=720. Entra na fila FIFO.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POST /credit/request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Worker Celery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Worker consome fila. Score revalidado. Capital do Portfólio B reservado.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Celery task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MACRO HASH L3 (Portfolio) + L4 (Contract) registrados sequencialmente.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MACRO HASH L3+L4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Dock API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5 × R$40 creditados no cartão Visa do Usuário A.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API Dock BIN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MACRO HASH L5 registrado para cada bloco (5 registros distintos).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MACRO HASH L5 ×5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 A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Usa cartão: R$120 em supermercado (V001), R$80 em farmácia (V048).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Transações rastreadas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Usuário 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Paga parcela via PIX no vencimento. Score Bloco A melhora +2 pts.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POST /payments/pix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Amortização registrada. Retorno calculado e creditado ao Portfólio B.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D+1 via PIX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Aplicante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Recebe R$210 via PIX (retorno bruto R$252 - IR R$42 = R$210 líquido).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PIX D+1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2447"/>
        </w:rPr>
        <w:t>13. Roadmap de Implementação — 7 Camadas</w:t>
      </w:r>
    </w:p>
    <w:p>
      <w:pPr>
        <w:pBdr>
          <w:bottom w:val="single" w:sz="6" w:space="1" w:color="1640D6"/>
        </w:pBd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Entregáveis</w:t>
            </w:r>
          </w:p>
        </w:tc>
        <w:tc>
          <w:tcPr>
            <w:tcW w:type="dxa" w:w="2340"/>
            <w:shd w:val="clear" w:color="auto" w:fill="0B244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Camada 0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Fundação Documental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DEF (este documento), OpenAPI .yaml, modelo de score detalhado, arquitetura de informação completa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✅ Concluída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Camada 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Captação e Validação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Pitch deck para investidores, modelo financeiro 36 meses (.xlsx), one-pager executivo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🔄 Próxima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Camada 2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Especificação Técnica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Schema PostgreSQL, ADR de arquitetura, fluxo de dados, contratos de integração (Dock, PIX, Serasa)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📋 Planejada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Camada 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Protótipo Navegável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Todas as telas interativas com mock data — dashboard Aplicante/Usuário, fluxos de crédito e portfólio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📋 Planejada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Camada 4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FastAPI + Celery + Redis, MACRO HASH engine, score engine, integração PIX e Dock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📋 Planejada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Camada 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Dashboard web (React), app mobile (React Native), notificações, relatório IR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📋 Planejada</w:t>
            </w:r>
          </w:p>
        </w:tc>
      </w:tr>
      <w:tr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Camada 6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QA, Compliance e Deploy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Testes automatizados, checklist regulatório BACEN, K8s, monitoramento, pentest</w:t>
            </w:r>
          </w:p>
        </w:tc>
        <w:tc>
          <w:tcPr>
            <w:tcW w:type="dxa" w:w="2340"/>
            <w:shd w:val="clear" w:color="auto" w:fill="F1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📋 Planejada</w:t>
            </w:r>
          </w:p>
        </w:tc>
      </w:tr>
    </w:tbl>
    <w:p/>
    <w:p>
      <w:pPr>
        <w:pBdr>
          <w:bottom w:val="single" w:sz="6" w:space="1" w:color="D97706"/>
        </w:pBdr>
        <w:spacing w:after="120"/>
      </w:pPr>
    </w:p>
    <w:p>
      <w:pPr>
        <w:jc w:val="center"/>
      </w:pPr>
      <w:r>
        <w:rPr>
          <w:rFonts w:ascii="Arial" w:hAnsi="Arial"/>
          <w:color w:val="6B7280"/>
          <w:sz w:val="18"/>
        </w:rPr>
        <w:t>NEXUS P2P Credit Platform · DEF v1.0 · Confidencial · Abril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