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pStyle w:val="Title"/>
      </w:pPr>
      <w:r>
        <w:t>NEXUS PLATFORM</w:t>
      </w:r>
    </w:p>
    <w:p>
      <w:pPr>
        <w:pStyle w:val="Heading1"/>
        <w:jc w:val="center"/>
      </w:pPr>
      <w:r>
        <w:t>Thesis de Investimento &amp; Manual de Controladoria V8</w:t>
      </w:r>
    </w:p>
    <w:p>
      <w:r>
        <w:br/>
        <w:br/>
        <w:br/>
      </w:r>
    </w:p>
    <w:p>
      <w:pPr>
        <w:jc w:val="center"/>
      </w:pPr>
      <w:r>
        <w:t>Uso Exclusivo: Board Executivo e C-Level</w:t>
        <w:br/>
        <w:t>Confidencial</w:t>
      </w:r>
    </w:p>
    <w:p>
      <w:r>
        <w:br w:type="page"/>
      </w:r>
    </w:p>
    <w:p>
      <w:pPr/>
      <w:r/>
      <w:r>
        <w:rPr>
          <w:b/>
        </w:rPr>
        <w:t>Desenvolvido como base para apresentação a Board Executivo e Seed Investors</w:t>
      </w:r>
      <w:r/>
    </w:p>
    <w:p>
      <w:pPr>
        <w:pStyle w:val="Heading1"/>
      </w:pPr>
      <w:r>
        <w:t>1. O PROPÓSITO DO SIMULADOR V8 (A REVOLUÇÃO CONTÁBIL)</w:t>
      </w:r>
    </w:p>
    <w:p>
      <w:pPr/>
      <w:r>
        <w:t>O Dashboard Corporativo da NEXUS não é apenas um relatório; é um Motor de Projeções (Stress Test) que garante que a operação financeira não sangre caixa à toa e blinde o patrimônio da Holding contra tributação destrutiva e calotes (NPL). O motor atinge um rigor de cálculo similar ao cobrado pelo BACEN e por big-four de auditoria.</w:t>
      </w:r>
    </w:p>
    <w:p>
      <w:pPr>
        <w:pStyle w:val="Heading2"/>
      </w:pPr>
      <w:r>
        <w:t>💡 Insight de Concepção da Operação</w:t>
      </w:r>
    </w:p>
    <w:p>
      <w:pPr>
        <w:pStyle w:val="QuoteInsight"/>
      </w:pPr>
      <w:r>
        <w:t>"Tem um cálculo que não entendi... O valor de cada cartão (R$ 15 reais) será financiado pelo usuário em 12 meses, mas só vamos aportar isto no primeiro mês. No crescimento de emissões dos meses seguintes, este valor tem que ser abatido... precisamos de uma conta específica que não pode ser usada como Lucro." — CEO / Founder</w:t>
      </w:r>
    </w:p>
    <w:p>
      <w:pPr/>
      <w:r>
        <w:t xml:space="preserve">Foi baseando-se nessa premissa impecável de </w:t>
      </w:r>
      <w:r>
        <w:rPr>
          <w:b/>
        </w:rPr>
        <w:t>gerenciamento de Capital de Giro e Abismo da Safra (Cohort Cliff)</w:t>
      </w:r>
      <w:r>
        <w:t>, que desenvolvemos os sub-blocos do Dashboard, fragmentando o Dinheiro da Operação (ROB) do Dinheiro dos Sócios (FCF).</w:t>
      </w:r>
    </w:p>
    <w:p>
      <w:pPr>
        <w:pStyle w:val="Heading1"/>
      </w:pPr>
      <w:r>
        <w:t>2. OS GRANDES INDICADORES (KPIs do Cabeçalho)</w:t>
      </w:r>
    </w:p>
    <w:p>
      <w:pPr/>
      <w:r>
        <w:t xml:space="preserve">Os 6 quadrados monstruosos lá no topo refletem a </w:t>
      </w:r>
      <w:r>
        <w:rPr>
          <w:b/>
        </w:rPr>
        <w:t>Fotografia Patrimonial Total</w:t>
      </w:r>
      <w:r>
        <w:t xml:space="preserve"> no período de tempo selecionado (Acumulado de 24 ou 60 meses).</w:t>
      </w:r>
    </w:p>
    <w:p>
      <w:pPr>
        <w:pStyle w:val="ListBullet"/>
      </w:pPr>
      <w:r/>
      <w:r>
        <w:rPr>
          <w:b/>
        </w:rPr>
        <w:t>1. REC. BRUTA GLOBAL CONSOLIDADA:</w:t>
      </w:r>
      <w:r>
        <w:t xml:space="preserve"> Todo o volume transacionado no Ecosistema que incide na nota fiscal, somando as receitas brutais de cartões mais MDR. (*Isolado dos rendimentos FIDC P2P puristas*).</w:t>
      </w:r>
    </w:p>
    <w:p>
      <w:pPr>
        <w:pStyle w:val="ListBullet"/>
      </w:pPr>
      <w:r/>
      <w:r>
        <w:rPr>
          <w:b/>
        </w:rPr>
        <w:t>2. IMPOSTOS RECOLHIDOS TECH/MDR (-80% SCUDO):</w:t>
      </w:r>
      <w:r>
        <w:t xml:space="preserve"> Aqui a carga tributária do Governo foi ceifada. Mostra o dinheiro limpo da carga de Lucro Presumido (~16.33%) que escapou do ralo e foi para a Receita devido à blindagem da Holding Tech.</w:t>
      </w:r>
    </w:p>
    <w:p>
      <w:pPr>
        <w:pStyle w:val="ListBullet"/>
      </w:pPr>
      <w:r/>
      <w:r>
        <w:rPr>
          <w:b/>
        </w:rPr>
        <w:t>3. BUDGET BASE MARKETING/EXPANSÃO:</w:t>
      </w:r>
      <w:r>
        <w:t xml:space="preserve"> O combustível gasto somado do CAC (Custo de Aquisição por Cliente) multiplicado por cada usuário que a plataforma captou ao longo dos anos.</w:t>
      </w:r>
    </w:p>
    <w:p>
      <w:pPr>
        <w:pStyle w:val="ListBullet"/>
      </w:pPr>
      <w:r/>
      <w:r>
        <w:rPr>
          <w:b/>
        </w:rPr>
        <w:t>4. OPEX FOLHA FIXA E COMISSÕES COMERCIAIS:</w:t>
      </w:r>
      <w:r>
        <w:t xml:space="preserve"> É a soma da Folha C-Level Fixa acrescida do Rio de Dinheiro repassado à rede autônoma da ponta. O valor aqui descontado </w:t>
      </w:r>
      <w:r>
        <w:rPr>
          <w:b/>
        </w:rPr>
        <w:t>já sofreu as perdas das punições por calote do cliente</w:t>
      </w:r>
      <w:r>
        <w:t>.</w:t>
      </w:r>
    </w:p>
    <w:p>
      <w:pPr>
        <w:pStyle w:val="ListBullet"/>
      </w:pPr>
      <w:r/>
      <w:r>
        <w:rPr>
          <w:b/>
        </w:rPr>
        <w:t>5. RESULTADO CORPORATIVO (EBITDA ACUMULADO):</w:t>
      </w:r>
      <w:r>
        <w:t xml:space="preserve"> A margem gerencial contábil. A capacidade seca da operação de se pagar antes de deduzir qualquer proteção autônoma.</w:t>
      </w:r>
    </w:p>
    <w:p>
      <w:pPr>
        <w:pStyle w:val="ListBullet"/>
      </w:pPr>
      <w:r/>
      <w:r>
        <w:rPr>
          <w:b/>
        </w:rPr>
        <w:t>6. FCF SOVEREIGN DISTRIBUÍVEL (CAIXA MESTRE):</w:t>
      </w:r>
      <w:r>
        <w:t xml:space="preserve"> O Graal. O Fluxo de Caixa Livre (Free Cash Flow) com descontos de emissões. É a resposta à pergunta fundamental: *"Ao fechar os 60 meses de empresa, quanto de fato sobra nas contas dos acionistas ou sobra como liquidez segura para Dividendos/Reinvestimento?"*</w:t>
      </w:r>
    </w:p>
    <w:p>
      <w:pPr>
        <w:pStyle w:val="Heading1"/>
      </w:pPr>
      <w:r>
        <w:t>3. O BOTÃO VERDE "V8 TECH SHIELD" E AS TAXAS</w:t>
      </w:r>
    </w:p>
    <w:p>
      <w:pPr>
        <w:pStyle w:val="Heading2"/>
      </w:pPr>
      <w:r>
        <w:t>💡 A Premissa Histórica</w:t>
      </w:r>
    </w:p>
    <w:p>
      <w:pPr>
        <w:pStyle w:val="QuoteInsight"/>
      </w:pPr>
      <w:r>
        <w:t>"Você está dizendo que quando aplicamos impostos, a empresa operará no vermelho (prejuízo) por 60 meses? Que vamos ter que injetar capital por mais de 5 anos ininterruptos para manter a empresa viva? É isso ou estou lendo a tabela errado?" — CEO / Founder</w:t>
      </w:r>
    </w:p>
    <w:p>
      <w:pPr/>
      <w:r>
        <w:t>A resposta foi afirmativa para o cenário em que tributávamos a holding NEXUS como se ela fosse dona dos juros de risco (Cobrando Lucro Presumido sobre 100% da transação como um banco).</w:t>
      </w:r>
    </w:p>
    <w:p>
      <w:pPr/>
      <w:r/>
      <w:r>
        <w:rPr>
          <w:b/>
        </w:rPr>
        <w:t>O Escudo V8:</w:t>
      </w:r>
      <w:r>
        <w:t xml:space="preserve"> Dividiu a Custódia. O "Dinheiro que Rende" (Juros e Capital) passa blindado via ESCROW/FIDC gerido descentralizado e </w:t>
      </w:r>
      <w:r>
        <w:rPr>
          <w:b/>
        </w:rPr>
        <w:t>não é Receita Tributável da Tech</w:t>
      </w:r>
      <w:r>
        <w:t>. A Holding (NEXUS) paga impostos puramente sobre sua Margem Administrativa de Subadquirência (O "Intercâmbio MDR").</w:t>
      </w:r>
    </w:p>
    <w:p>
      <w:pPr/>
      <w:r>
        <w:t>Isso provou que o modelo é capaz de salvar a operação no primeiro mês, reduzindo esmagadoramente os passivos com Governo e destravando a Margem de Equilíbrio!</w:t>
      </w:r>
    </w:p>
    <w:p>
      <w:pPr>
        <w:pStyle w:val="Heading1"/>
      </w:pPr>
      <w:r>
        <w:t>4. MOTOR DA REDE HR E O BÔNUS EXPLOSIVO DO NPL</w:t>
      </w:r>
    </w:p>
    <w:p>
      <w:pPr>
        <w:pStyle w:val="Heading2"/>
      </w:pPr>
      <w:r>
        <w:t>💡 Solução Criada pela Diretoria</w:t>
      </w:r>
    </w:p>
    <w:p>
      <w:pPr>
        <w:pStyle w:val="QuoteInsight"/>
      </w:pPr>
      <w:r>
        <w:t>"O Churn (a inadimplência de cada período) deve ser abatido da receita de pagamentos (...) e precisamos de um índice em aberto que nos permita estipular uma métrica de sucesso (em %) sobre o valor de calote recuperado, para remunerar a equipe caso tragam o dinheiro de volta. Entende a minha demanda?" — CEO / Founder</w:t>
      </w:r>
    </w:p>
    <w:p>
      <w:pPr/>
      <w:r>
        <w:t>Neste Modal Amarelo ("Motor de Churn e Recuperação Ativa"), criamos as duas engrenagens de retenção:</w:t>
      </w:r>
    </w:p>
    <w:p>
      <w:pPr>
        <w:pStyle w:val="ListBullet"/>
      </w:pPr>
      <w:r/>
      <w:r>
        <w:rPr>
          <w:b/>
        </w:rPr>
        <w:t>Chargeback Físico de Comissões:</w:t>
      </w:r>
      <w:r>
        <w:t xml:space="preserve"> Toda inadimplência bate no executivo que gerou o contrato. Dedução severa (Ex: 15% do rombo é abatido retroativamente do que era ganho do próprio repasse de MDR do representante).</w:t>
      </w:r>
    </w:p>
    <w:p>
      <w:pPr>
        <w:pStyle w:val="ListBullet"/>
      </w:pPr>
      <w:r/>
      <w:r>
        <w:rPr>
          <w:b/>
        </w:rPr>
        <w:t>"Bônus/Prêmio" de Arrecadação:</w:t>
      </w:r>
      <w:r>
        <w:t xml:space="preserve"> Se essa mesma equipe recuperar o dinheiro fisicamente cobrando na rua, a NEXUS resgata parte dos calotes (Ex: +25% Vol. Recuperado). E injeta um bônus comissionado violento no holerite do time que suou a camisa (Ex: 30% Prêmio em cima do que ele reaviver). O Fundo de Risco estanca sua ferida imediatamente graças ao capital re-injetado!</w:t>
      </w:r>
    </w:p>
    <w:p>
      <w:pPr>
        <w:pStyle w:val="Heading1"/>
      </w:pPr>
      <w:r>
        <w:t>5. CUSTO MATRIZ CORPORATE E MARKETING</w:t>
      </w:r>
    </w:p>
    <w:p>
      <w:pPr/>
      <w:r>
        <w:t>No Modal Roxo (🏢 "Estrutura Corporate"), isolamos o que não é escalável na operação para não misturar folha de executivos com staff-fixo. Onde colocamos a base descrita com clareza cristalina:</w:t>
      </w:r>
    </w:p>
    <w:p>
      <w:pPr>
        <w:pStyle w:val="QuoteInsight"/>
      </w:pPr>
      <w:r>
        <w:t>"Quero saber como planejar o peso dos IMPOSTOS nos cenários (...) Também temos que separar e gerenciar o budget de Marketing e a folha salarial da matriz para o staff que não recebe comissão (engenheiros/board). Você pode criar as contas de despesas, receitas e fluxo de caixa abertas?" — CEO / Founder</w:t>
      </w:r>
    </w:p>
    <w:p>
      <w:pPr/>
      <w:r>
        <w:t>No Modal Corporate estão parametrizados:</w:t>
      </w:r>
    </w:p>
    <w:p>
      <w:pPr>
        <w:pStyle w:val="ListBullet"/>
      </w:pPr>
      <w:r/>
      <w:r>
        <w:rPr>
          <w:b/>
        </w:rPr>
        <w:t>CAC MKT (Custo de Aquisição):</w:t>
      </w:r>
      <w:r>
        <w:t xml:space="preserve"> Valor fixo de impacto via mídias de distribuição. Ex: Adquirir 5,000 pessoas no mês por R$ 12,00 a unidade = R$ 60 Milhão consumidos no DRE oficial.</w:t>
      </w:r>
    </w:p>
    <w:p>
      <w:pPr>
        <w:pStyle w:val="ListBullet"/>
      </w:pPr>
      <w:r/>
      <w:r>
        <w:rPr>
          <w:b/>
        </w:rPr>
        <w:t>Sede HQ Fixa:</w:t>
      </w:r>
      <w:r>
        <w:t xml:space="preserve"> CTO, Diretor Financeiro, Corporate. Indiferente se movimentamos 1 bilhão ou ZERO reais com os cartões, o custo Sede se mantém implacável.</w:t>
      </w:r>
    </w:p>
    <w:p>
      <w:pPr>
        <w:pStyle w:val="Heading1"/>
      </w:pPr>
      <w:r>
        <w:t>6. A CAIXINHA DE FUNDO RESTRITO E O DRE OFICIAL (V7)</w:t>
      </w:r>
    </w:p>
    <w:p>
      <w:pPr/>
      <w:r>
        <w:t>Mudamos de uma tabela visual comum para uma "Tabela de Livro Caixa Padrão S.A.", segregada pela contabilidade raiz:</w:t>
      </w:r>
    </w:p>
    <w:p>
      <w:pPr>
        <w:pStyle w:val="ListBullet"/>
      </w:pPr>
      <w:r/>
      <w:r>
        <w:rPr>
          <w:b/>
        </w:rPr>
        <w:t>I. Receitas, II. Impostos (Dedutores), III. Custo Base (COGS), IV. Depsesas Gerenciais (OPEX).</w:t>
      </w:r>
      <w:r/>
    </w:p>
    <w:p>
      <w:pPr>
        <w:pStyle w:val="Heading2"/>
      </w:pPr>
      <w:r>
        <w:t>O Fenômeno DFC (Fluxo de Caixa Livre)</w:t>
      </w:r>
    </w:p>
    <w:p>
      <w:pPr/>
      <w:r>
        <w:t>O Lucro Nominal DRE não conta as despesas totais físicas num cenário fracionado de anuidades de cartões:</w:t>
      </w:r>
    </w:p>
    <w:p>
      <w:pPr/>
      <w:r>
        <w:t xml:space="preserve">Vem a </w:t>
      </w:r>
      <w:r>
        <w:rPr>
          <w:b/>
        </w:rPr>
        <w:t>"V. Demonstrativo Autônomo dos fluxos de Caixa (DFC)"</w:t>
      </w:r>
      <w:r>
        <w:t>.</w:t>
      </w:r>
    </w:p>
    <w:p>
      <w:pPr/>
      <w:r>
        <w:t>Se houve *Déficit real gerado por uma bolha de solicitação de novos plásticos*, o DFC drena esse lucro artificial do Ebitda pra salvar a carteira; e nos outros meses em que ocorre o "Abismo da Cohort", a poupança do Fundo resgata as necessidades sem explodir de novo o acionista. Isso solidificou a confiança operacional necessária para abrir captações institucionais de *Venture Capital*.</w:t>
      </w:r>
    </w:p>
    <w:p>
      <w:pPr>
        <w:pStyle w:val="Heading1"/>
      </w:pPr>
      <w:r>
        <w:t>7. A ABA: COCKPIT GERENCIAL (Foco Isolado)</w:t>
      </w:r>
    </w:p>
    <w:p>
      <w:pPr>
        <w:pStyle w:val="QuoteInsight"/>
      </w:pPr>
      <w:r>
        <w:t>"Crie OUTRA ABA, onde eu possa ver todos os cenários focados mês a mês. Mas não desfaça o dashboard original, somente crie outra aba extra no menu com valores que eu possa ir observando e navegando detalhadamente do jeito que eu quiser, do Mês 01 até o 60." — CEO / Founder</w:t>
      </w:r>
    </w:p>
    <w:p>
      <w:pPr/>
      <w:r>
        <w:t>Ao clicar no Botão superior "</w:t>
      </w:r>
      <w:r>
        <w:rPr>
          <w:b/>
        </w:rPr>
        <w:t>Cockpit Gerencial (Isolado)</w:t>
      </w:r>
      <w:r>
        <w:t xml:space="preserve">", o usuário entra numa cabine central com controles de navegação temporal "Anterior" / "Próximo". Todos os mega-blocos de números gigantes são um raio-X estritinho </w:t>
      </w:r>
      <w:r>
        <w:rPr>
          <w:b/>
        </w:rPr>
        <w:t>DAQUELE MÊS</w:t>
      </w:r>
      <w:r>
        <w:t>, excluindo totalmente os anos do passado ou o longo-prazo, provando de onde vem as saídas diárias sem mascarar o caixa na soma das montanhas.</w:t>
      </w:r>
    </w:p>
    <w:p>
      <w:pPr/>
      <w:r>
        <w:t>`FIM DE DOCUMENTO OFICIAL PARA EXPORTAÇÃO BASE (PITCH THESIS V8)`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Segoe UI" w:hAnsi="Segoe UI"/>
      <w:b/>
      <w:bCs/>
      <w:color w:val="1E3A8A"/>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Segoe UI" w:hAnsi="Segoe UI"/>
      <w:b/>
      <w:bCs/>
      <w:color w:val="04785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0" w:line="240" w:lineRule="auto"/>
      <w:contextualSpacing/>
      <w:jc w:val="center"/>
    </w:pPr>
    <w:rPr>
      <w:rFonts w:asciiTheme="majorHAnsi" w:eastAsiaTheme="majorEastAsia" w:hAnsiTheme="majorHAnsi" w:cstheme="majorBidi" w:ascii="Segoe UI" w:hAnsi="Segoe UI"/>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Insight">
    <w:name w:val="QuoteInsight"/>
    <w:pPr>
      <w:spacing w:before="200" w:after="200"/>
      <w:ind w:left="720" w:right="720"/>
    </w:pPr>
    <w:rPr>
      <w:rFonts w:ascii="Georgia" w:hAnsi="Georgia"/>
      <w:i/>
      <w:color w:val="D9770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