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</w:pPr>
      <w:r>
        <w:t>NEXUS PLATFORM</w:t>
      </w:r>
    </w:p>
    <w:p>
      <w:pPr>
        <w:pStyle w:val="Heading2"/>
        <w:jc w:val="center"/>
      </w:pPr>
      <w:r>
        <w:t>The Stablecoin P2P Lending Engine</w:t>
        <w:br/>
        <w:t>Whitepaper Executivo — V 1.0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t>Documentation structured after Institutional Pitch Templates</w:t>
      </w:r>
    </w:p>
    <w:p>
      <w:r>
        <w:br w:type="page"/>
      </w:r>
    </w:p>
    <w:p>
      <w:pPr/>
      <w:r/>
      <w:r>
        <w:rPr>
          <w:b/>
        </w:rPr>
        <w:t>Versão 1.0 — Whitepaper Executivo</w:t>
      </w:r>
      <w:r/>
    </w:p>
    <w:p>
      <w:pPr>
        <w:pStyle w:val="Heading1"/>
      </w:pPr>
      <w:r>
        <w:t>1. Sumário Executivo &amp; Abstrato</w:t>
      </w:r>
    </w:p>
    <w:p>
      <w:pPr/>
      <w:r>
        <w:t xml:space="preserve">O mercado financeiro tradicional sustenta seus lucros exorbitantes isolando o cliente final e o pequeno investidor através do </w:t>
      </w:r>
      <w:r>
        <w:rPr>
          <w:b/>
        </w:rPr>
        <w:t>Spread Bancário Assintótico</w:t>
      </w:r>
      <w:r>
        <w:t>. O banco remunera o investidor de varejo com frações da inflação (Selic) e, na outra ponta, afoga o consumidor com juros rotativos de cartões de crédito (frequentemente superando os 400% ao ano no Brasil).</w:t>
      </w:r>
    </w:p>
    <w:p>
      <w:pPr/>
      <w:r>
        <w:t xml:space="preserve">A </w:t>
      </w:r>
      <w:r>
        <w:rPr>
          <w:b/>
        </w:rPr>
        <w:t>Plataforma NEXUS</w:t>
      </w:r>
      <w:r>
        <w:t xml:space="preserve"> nasce para desintegrar esse spread. Projetada como a ponte descentralizada perfeita, ela conecta donos de capital (Aplicantes) diretamente a consumidores (Usuários/Tomadores), liquidando garantias através da eficiência cristalina da tecnologia Blockchain (Stablecoins). Liderada pela nossa infraestrutura de Agentic AI e uma rede comercial ativa imune a choques gerenciais, a NEXUS estabiliza os juros, divide a riqueza com o investidor P2P e imuniza os operadores do negócio (Holding) contra a voracidade tributária.</w:t>
      </w:r>
    </w:p>
    <w:p>
      <w:pPr>
        <w:pStyle w:val="Heading1"/>
      </w:pPr>
      <w:r>
        <w:t>2. A Ineficiência do Crédito &amp; A Solução NEXUS</w:t>
      </w:r>
    </w:p>
    <w:p>
      <w:pPr>
        <w:pStyle w:val="Heading2"/>
      </w:pPr>
      <w:r>
        <w:t>O Problema do Risco Diluído (NPL)</w:t>
      </w:r>
    </w:p>
    <w:p>
      <w:pPr/>
      <w:r>
        <w:t>Em bancos comuns, quando uma safra de devedores não paga (*NPL - Non-Performing Loans*), o banco socorre seu balanço absorvendo a riqueza transacional futura. Na base C2C/P2P crua civil, quem absorve o calote é o emissor original do dinheiro. Além disso, no modelo tributário em países como o Brasil, cobrar ágio (juros) atrai a mais letal das cargas governamentais para a mesa da gestão.</w:t>
      </w:r>
    </w:p>
    <w:p>
      <w:pPr>
        <w:pStyle w:val="Heading2"/>
      </w:pPr>
      <w:r>
        <w:t>O Triângulo de Resolução NEXUS</w:t>
      </w:r>
    </w:p>
    <w:p>
      <w:pPr>
        <w:pStyle w:val="ListNumber"/>
      </w:pPr>
      <w:r/>
      <w:r>
        <w:rPr>
          <w:b/>
        </w:rPr>
        <w:t>O Escudo Tributário (FIDC):</w:t>
      </w:r>
      <w:r>
        <w:t xml:space="preserve"> As transações e captações da ponta operam juridicamente debaixo da guarda autônoma. O lucro P2P (Juros) é intocável pela Receita Federal na conta da Holding, incidindo imposto exclusivo sobre os *Serviços de Intercâmbio (MDR e Tech)*. (-80% de elisão fiscal legal).</w:t>
      </w:r>
    </w:p>
    <w:p>
      <w:pPr>
        <w:pStyle w:val="ListNumber"/>
      </w:pPr>
      <w:r/>
      <w:r>
        <w:rPr>
          <w:b/>
        </w:rPr>
        <w:t>Motor Ativo de Recuperação (Chargeback RH):</w:t>
      </w:r>
      <w:r>
        <w:t xml:space="preserve"> Toda a operação da equipe executiva na rua recebe prêmios contínuos por expansão. Porém se ocorre inadimplência do usuário, </w:t>
      </w:r>
      <w:r>
        <w:rPr>
          <w:b/>
        </w:rPr>
        <w:t>15% do rombo incide na comissão do representante</w:t>
      </w:r>
      <w:r>
        <w:t>. Esta mesma pessoa, ao caçar fisicamente a repactuação, arrebata +30% de comissão num bônus de *Resgate de Calote*, mitigando a "bolha" nativamente.</w:t>
      </w:r>
    </w:p>
    <w:p>
      <w:pPr>
        <w:pStyle w:val="ListNumber"/>
      </w:pPr>
      <w:r/>
      <w:r>
        <w:rPr>
          <w:b/>
        </w:rPr>
        <w:t>Imunidade Física (O Cofre Restrito):</w:t>
      </w:r>
      <w:r>
        <w:t xml:space="preserve"> Os Plásticos de Cartão de Crédito e custos marginais cobrados via assinatura não drenam o Fluxo de Caixa *(DFC)* da empresa. Sofrem destinação estrita, absorvendo e neutralizando os "Abismos Temporais" criados pelo fracionamento das operadoras.</w:t>
      </w:r>
    </w:p>
    <w:p>
      <w:pPr>
        <w:pStyle w:val="Heading1"/>
      </w:pPr>
      <w:r>
        <w:t>3. Arquitetura do APLICANTE (Investidor/Lender)</w:t>
      </w:r>
    </w:p>
    <w:p>
      <w:pPr/>
      <w:r>
        <w:t>O dinheiro que financia o crédito massivo provém da Pool Governamental P2P. Abaixo descrevemos as ferramentas modulares da visão gerencial deste patrocinador da rede:</w:t>
      </w:r>
    </w:p>
    <w:p>
      <w:pPr>
        <w:pStyle w:val="Heading2"/>
      </w:pPr>
      <w:r>
        <w:t>📡 Dashboard Aplicante (`tela-02`)</w:t>
      </w:r>
    </w:p>
    <w:p>
      <w:pPr/>
      <w:r>
        <w:t>A torre de controle central. Com um design de infusão gráfica (inspirada nos mais brilhantes Fintech Dashboards Neo-Banking), o investidor pode monitorar 24hrs os rendimentos em Stablecoin na Pool.</w:t>
      </w:r>
    </w:p>
    <w:p>
      <w:pPr>
        <w:pStyle w:val="ListBullet"/>
      </w:pPr>
      <w:r/>
      <w:r>
        <w:rPr>
          <w:b/>
        </w:rPr>
        <w:t>Volume Investido e Lock-up:</w:t>
      </w:r>
      <w:r>
        <w:t xml:space="preserve"> Fundo resgatável a prazos paramétricos.</w:t>
      </w:r>
    </w:p>
    <w:p>
      <w:pPr>
        <w:pStyle w:val="ListBullet"/>
      </w:pPr>
      <w:r/>
      <w:r>
        <w:rPr>
          <w:b/>
        </w:rPr>
        <w:t>Yield Real-Time:</w:t>
      </w:r>
      <w:r>
        <w:t xml:space="preserve"> Uma projeção estática livre de maquiagens do que o juro rendeu naquele dia nominal.</w:t>
      </w:r>
    </w:p>
    <w:p>
      <w:pPr>
        <w:pStyle w:val="Heading2"/>
      </w:pPr>
      <w:r>
        <w:t>🧬 Composer Portfólio (`tela-03`)</w:t>
      </w:r>
    </w:p>
    <w:p>
      <w:pPr/>
      <w:r>
        <w:t>Por que render 1% se o investidor pode montar o próprio grau de risco/recompensa? O Composer exige a alocação técnica.</w:t>
      </w:r>
    </w:p>
    <w:p>
      <w:pPr>
        <w:pStyle w:val="ListBullet"/>
      </w:pPr>
      <w:r>
        <w:t>O Aplicante pode montar sua carteira direcionando 10% do capital para consumidores com *Score F* e 90% para o público *Score A*.</w:t>
      </w:r>
    </w:p>
    <w:p>
      <w:pPr>
        <w:pStyle w:val="ListBullet"/>
      </w:pPr>
      <w:r/>
      <w:r>
        <w:rPr>
          <w:b/>
        </w:rPr>
        <w:t>Yield Sintético:</w:t>
      </w:r>
      <w:r>
        <w:t xml:space="preserve"> Permite assumir taxas de juro fixo ou "Pegar a Maré" do juro variável conforme o risco do CPF na ponta quebra ou salva a carteira.</w:t>
      </w:r>
    </w:p>
    <w:p>
      <w:pPr>
        <w:pStyle w:val="Heading2"/>
      </w:pPr>
      <w:r>
        <w:t>👁️ Macro Hash AI Engine (`tela-04`)</w:t>
      </w:r>
    </w:p>
    <w:p>
      <w:pPr/>
      <w:r>
        <w:t>As 141 Verticais de Consumo. A IA agenticular (Antigravity Core) monitora as cestas de consumo e distribui frações imperceptíveis do aporte para centenas de milhares de CPFs no Brasil instantaneamente, eliminando a dependência do erro de avaliação manual humana e balanceando carteiras.</w:t>
      </w:r>
    </w:p>
    <w:p>
      <w:pPr>
        <w:pStyle w:val="Heading1"/>
      </w:pPr>
      <w:r>
        <w:t>4. Arquitetura do USUÁRIO (Borrower)</w:t>
      </w:r>
    </w:p>
    <w:p>
      <w:pPr/>
      <w:r>
        <w:t>Da submissão do CPF à compra de supermercado:</w:t>
      </w:r>
    </w:p>
    <w:p>
      <w:pPr>
        <w:pStyle w:val="Heading2"/>
      </w:pPr>
      <w:r>
        <w:t>📱 Dashboard Usuário (`tela-05`)</w:t>
      </w:r>
    </w:p>
    <w:p>
      <w:pPr/>
      <w:r>
        <w:t xml:space="preserve">Experiência transparente via Mobile/Web. Na tela limpa do Tomador ele vê estritamente o seu </w:t>
      </w:r>
      <w:r>
        <w:rPr>
          <w:b/>
        </w:rPr>
        <w:t>Limite de Crédito Atrelado/Liberado</w:t>
      </w:r>
      <w:r>
        <w:t xml:space="preserve"> em Reais (BRL), pareado lastro-a-lastro pela Stablecoin na matriz (USDC/BRLT).</w:t>
      </w:r>
    </w:p>
    <w:p>
      <w:pPr>
        <w:pStyle w:val="Heading2"/>
      </w:pPr>
      <w:r>
        <w:t>💸 Simulação e Solicitação (`tela-06`)</w:t>
      </w:r>
    </w:p>
    <w:p>
      <w:pPr/>
      <w:r>
        <w:t>Sem idas à Caixa Econômica, sem gerentes empoeirados. A tela de Simulação possui sliders (deslizadores UX amigáveis). Ao selecionar 5.000 R$ o usuário já visualiza até quando e por quanto o dinheiro chegará (Juros já deduzidos dos Módulos Aplicantes).</w:t>
      </w:r>
    </w:p>
    <w:p>
      <w:pPr>
        <w:pStyle w:val="Heading2"/>
      </w:pPr>
      <w:r>
        <w:t>⭐ NEXUS Score Exclusivo (`tela-07`)</w:t>
      </w:r>
    </w:p>
    <w:p>
      <w:pPr/>
      <w:r>
        <w:t>Uma rede social baseada no respeito de vida creditícia. Score dinâmico imutável.</w:t>
      </w:r>
    </w:p>
    <w:p>
      <w:pPr>
        <w:pStyle w:val="ListBullet"/>
      </w:pPr>
      <w:r>
        <w:t>Se um CPF pontuar "Z", a taxa da Pool cobrada será letal (12% a.m).</w:t>
      </w:r>
    </w:p>
    <w:p>
      <w:pPr>
        <w:pStyle w:val="ListBullet"/>
      </w:pPr>
      <w:r>
        <w:t>Conforme o Usuário amortiza suas faturas pontualmente meses a fio, a IA (Macro Hash) eleva a nota para "A" e sua taxa despenca para 4.0% a.m, tornando o crédito cada vez mais fiel à base.</w:t>
      </w:r>
    </w:p>
    <w:p>
      <w:pPr>
        <w:pStyle w:val="Heading2"/>
      </w:pPr>
      <w:r>
        <w:t>🧾 Extrato &amp; Fluxo de Parcelas (`tela-08` / `tela-09`)</w:t>
      </w:r>
    </w:p>
    <w:p>
      <w:pPr/>
      <w:r>
        <w:t>A consolidação de despesas no plástico, integração de chaves e PIX com um extrato de despesas agrupado que detalha *onde e com quem* o dinheiro fluiu, desmistificando anuidades escondidas via *Fundo Restrito Custódia*.</w:t>
      </w:r>
    </w:p>
    <w:p>
      <w:pPr>
        <w:pStyle w:val="Heading1"/>
      </w:pPr>
      <w:r>
        <w:t>5. Governança e Corporate (O Engine)</w:t>
      </w:r>
    </w:p>
    <w:p>
      <w:pPr/>
      <w:r>
        <w:t>Visão destinada a CEOs, CTOs e Big-Four Audit Brands.</w:t>
      </w:r>
    </w:p>
    <w:p>
      <w:pPr>
        <w:pStyle w:val="Heading2"/>
      </w:pPr>
      <w:r>
        <w:t>🏛️ The 360-Board &amp; Simulador DRE V8 (`tela-10`)</w:t>
      </w:r>
    </w:p>
    <w:p>
      <w:pPr/>
      <w:r>
        <w:t>O motor que valida se a NEXUS irá durar 5 meses ou 5 Décadas.</w:t>
      </w:r>
    </w:p>
    <w:p>
      <w:pPr/>
      <w:r>
        <w:t>Esta matriz é parametrizada com os maiores preditores da desgraça financeira do risco.</w:t>
      </w:r>
    </w:p>
    <w:p>
      <w:pPr>
        <w:pStyle w:val="ListNumber"/>
      </w:pPr>
      <w:r/>
      <w:r>
        <w:rPr>
          <w:b/>
        </w:rPr>
        <w:t>DRE Completo:</w:t>
      </w:r>
      <w:r>
        <w:t xml:space="preserve"> Cômputo Tributário, OPEX corporativo, Limite de Churn, e Despesas Base.</w:t>
      </w:r>
    </w:p>
    <w:p>
      <w:pPr>
        <w:pStyle w:val="ListNumber"/>
      </w:pPr>
      <w:r/>
      <w:r>
        <w:rPr>
          <w:b/>
        </w:rPr>
        <w:t>Spread Universal de Vida (S-Livre):</w:t>
      </w:r>
      <w:r>
        <w:t xml:space="preserve"> Condiciona a rede comercial a JAMAIS ultrapassar um rendimento base de custo (Comissões RH + Promessa de Yield Investor P2P) maior do que o Juro Original cobrado do CPF punido.</w:t>
      </w:r>
    </w:p>
    <w:p>
      <w:pPr/>
      <w:r>
        <w:t>A tela 360-Board garante o isolamento contábil e permite simular de Mês em Mês (Cockpit V8) quando e quão forte será a travessia do Vale da Morte Financeiro rumo aos Super-Lucros Ebitda bilionários no longo prazo.</w:t>
      </w:r>
    </w:p>
    <w:p>
      <w:pPr>
        <w:pStyle w:val="Heading1"/>
      </w:pPr>
      <w:r>
        <w:t>6. Conclusão da Arquitetura</w:t>
      </w:r>
    </w:p>
    <w:p>
      <w:pPr/>
      <w:r>
        <w:t>A NEXUS não é só mais outro aplicativo focado em front-end em um mundo lotado de cartões de crédito genéricos. Desenvolvemos o ecossistema com a base teórica focada nas leis financeiras pesadas e com a Inteligência Artificial controlando o lastro humano (Credit Pool / Recovery) das amarras.</w:t>
      </w:r>
    </w:p>
    <w:p>
      <w:pPr/>
      <w:r>
        <w:t>As interfaces tela-01 a tela-10 criam a casca atraente sob uma plataforma que matematicamente foi projetada V8-Engine para ser um Hub Imortal de Stablecoin Loans Sul-Americano.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200"/>
    </w:pPr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E40A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5966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47556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Segoe UI Semibold" w:hAnsi="Segoe UI Semibold"/>
      <w:b/>
      <w:color w:val="0F172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