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0A2A14"/>
          </w:tcPr>
          <w:p/>
          <w:p>
            <w:pPr>
              <w:spacing w:before="480"/>
              <w:jc w:val="center"/>
            </w:pPr>
            <w:r>
              <w:rPr>
                <w:b/>
                <w:color w:val="F39C12"/>
                <w:sz w:val="22"/>
              </w:rPr>
              <w:t>[ WHITEPAPER CONFIDENCIAL — DOCUMENTO GREEN-SCD v1.0 — ABRIL 2026 ]</w:t>
            </w:r>
          </w:p>
          <w:p>
            <w:pPr>
              <w:jc w:val="center"/>
            </w:pPr>
            <w:r>
              <w:rPr>
                <w:b/>
                <w:color w:val="FFFFFF"/>
                <w:sz w:val="52"/>
              </w:rPr>
              <w:t>PROJECTO NEXUS GREEN-SCD</w:t>
            </w:r>
          </w:p>
          <w:p>
            <w:pPr>
              <w:jc w:val="center"/>
            </w:pPr>
            <w:r>
              <w:rPr>
                <w:b/>
                <w:color w:val="27AE60"/>
                <w:sz w:val="40"/>
              </w:rPr>
              <w:t>Plataforma P2P via Sociedade de Crédito Direto</w:t>
            </w:r>
          </w:p>
          <w:p>
            <w:pPr>
              <w:spacing w:after="560"/>
              <w:jc w:val="center"/>
            </w:pPr>
            <w:r>
              <w:rPr>
                <w:i/>
                <w:color w:val="AADDBB"/>
                <w:sz w:val="22"/>
              </w:rPr>
              <w:t>Modelo Regulado · Banco Central do Brasil · Resolução CMN 5050/2022 · Capital Próprio</w:t>
            </w:r>
          </w:p>
        </w:tc>
      </w:tr>
    </w:tbl>
    <w:p/>
    <w:p>
      <w:pPr>
        <w:spacing w:after="120" w:before="40"/>
      </w:pPr>
      <w:r>
        <w:rPr>
          <w:b w:val="0"/>
          <w:i/>
          <w:color w:val="557766"/>
          <w:sz w:val="18"/>
        </w:rPr>
        <w:t>Este documento apresenta a estrutura do Projeto NEXUS operando sob o modelo de Sociedade de Crédito Direto (SCD), modalidade regulada pelo Banco Central do Brasil. É destinado a investidores, Conselho de Administração, assessores jurídicos e reguladores.</w:t>
      </w:r>
    </w:p>
    <w:p>
      <w:r>
        <w:br w:type="page"/>
      </w:r>
    </w:p>
    <w:p>
      <w:pPr>
        <w:spacing w:before="280" w:after="120"/>
      </w:pPr>
      <w:r>
        <w:rPr>
          <w:b/>
          <w:color w:val="27AE60"/>
          <w:sz w:val="34"/>
        </w:rPr>
        <w:t>SUMÁRIO EXECUTIVO</w:t>
      </w:r>
    </w:p>
    <w:p>
      <w:pPr>
        <w:spacing w:before="80" w:after="80"/>
        <w:pBdr>
          <w:bottom w:val="single" w:sz="6" w:space="1" w:color="27AE60"/>
        </w:pBdr>
      </w:pPr>
    </w:p>
    <w:p>
      <w:pPr>
        <w:spacing w:after="120" w:before="40"/>
      </w:pPr>
      <w:r>
        <w:rPr>
          <w:b w:val="0"/>
          <w:i w:val="0"/>
          <w:color w:val="334438"/>
          <w:sz w:val="22"/>
        </w:rPr>
        <w:t>O Documento GREEN-SCD apresenta a arquitetura regulada do Projeto NEXUS operando como Sociedade de Crédito Direto (SCD). Na modalidade SCD, a plataforma usa CAPITAL PRÓPRIO para realizar as operações de crédito — não capta recursos diretamente do público. Os Aplicantes investem via emissão de cotas/debêntures da SCD, o capital é alocado internamente e os empréstimos são formalizados em nome da pessoa jurídica. O modelo oferece maior simplicidade operacional, menor risco regulatório e acesso ao ecossistema bancário/fintech nacional, mas exige capital mínimo de R$ 1M e limita a captação de recursos ao mercado de capitais (CVM/B3).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0E3520"/>
          </w:tcPr>
          <w:p/>
          <w:p>
            <w:pPr>
              <w:spacing w:before="120"/>
            </w:pPr>
            <w:r>
              <w:rPr>
                <w:b/>
                <w:color w:val="F39C12"/>
                <w:sz w:val="22"/>
              </w:rPr>
              <w:t>VANTAGENS ESTRATÉGICAS DO MODELO SCD</w:t>
            </w:r>
          </w:p>
          <w:p>
            <w:pPr>
              <w:spacing w:after="40"/>
            </w:pPr>
            <w:r>
              <w:rPr>
                <w:color w:val="BBDDCC"/>
                <w:sz w:val="21"/>
              </w:rPr>
              <w:t>✔  Capital próprio: sem dependência de múltiplos investidores P2P para funding</w:t>
            </w:r>
          </w:p>
          <w:p>
            <w:pPr>
              <w:spacing w:after="40"/>
            </w:pPr>
            <w:r>
              <w:rPr>
                <w:color w:val="BBDDCC"/>
                <w:sz w:val="21"/>
              </w:rPr>
              <w:t>✔  Marca regulada: 'aprovado pelo Banco Central' como diferencial de credibilidade</w:t>
            </w:r>
          </w:p>
          <w:p>
            <w:pPr>
              <w:spacing w:after="40"/>
            </w:pPr>
            <w:r>
              <w:rPr>
                <w:color w:val="BBDDCC"/>
                <w:sz w:val="21"/>
              </w:rPr>
              <w:t>✔  Acesso a serviços bancários: conta-corrente, TEDs, Pix, câmara de compensação</w:t>
            </w:r>
          </w:p>
          <w:p>
            <w:pPr>
              <w:spacing w:after="40"/>
            </w:pPr>
            <w:r>
              <w:rPr>
                <w:color w:val="BBDDCC"/>
                <w:sz w:val="21"/>
              </w:rPr>
              <w:t>✔  Integração Open Finance: acesso a dados de clientes com consentimento (LGPD)</w:t>
            </w:r>
          </w:p>
          <w:p>
            <w:pPr>
              <w:spacing w:after="40"/>
            </w:pPr>
            <w:r>
              <w:rPr>
                <w:color w:val="BBDDCC"/>
                <w:sz w:val="21"/>
              </w:rPr>
              <w:t>✔  Parceria com bandeiras: emissão de cartão Visa/Mastercard via BIN Sponsor nacional</w:t>
            </w:r>
          </w:p>
          <w:p>
            <w:pPr>
              <w:spacing w:after="40"/>
            </w:pPr>
            <w:r>
              <w:rPr>
                <w:color w:val="BBDDCC"/>
                <w:sz w:val="21"/>
              </w:rPr>
              <w:t>✔  Potencial de securitização: FIDC para captar junto a investidores qualificados</w:t>
            </w:r>
          </w:p>
          <w:p>
            <w:pPr>
              <w:spacing w:after="40"/>
            </w:pPr>
            <w:r>
              <w:rPr>
                <w:color w:val="BBDDCC"/>
                <w:sz w:val="21"/>
              </w:rPr>
              <w:t>✔  Menor risco de enquadramento criminal (Lei 7.492/86 — 'crimes contra o SFN')</w:t>
            </w:r>
          </w:p>
          <w:p>
            <w:pPr>
              <w:spacing w:after="120"/>
            </w:pPr>
          </w:p>
        </w:tc>
      </w:tr>
    </w:tbl>
    <w:p/>
    <w:p>
      <w:r>
        <w:br w:type="page"/>
      </w:r>
    </w:p>
    <w:p>
      <w:pPr>
        <w:spacing w:before="280" w:after="120"/>
      </w:pPr>
      <w:r>
        <w:rPr>
          <w:b/>
          <w:color w:val="27AE60"/>
          <w:sz w:val="34"/>
        </w:rPr>
        <w:t>1. REGULAÇÃO — SOCIEDADE DE CRÉDITO DIRETO (SCD)</w:t>
      </w:r>
    </w:p>
    <w:p>
      <w:pPr>
        <w:spacing w:before="80" w:after="80"/>
        <w:pBdr>
          <w:bottom w:val="single" w:sz="6" w:space="1" w:color="27AE60"/>
        </w:pBdr>
      </w:pPr>
    </w:p>
    <w:p>
      <w:pPr>
        <w:spacing w:after="120" w:before="40"/>
      </w:pPr>
      <w:r>
        <w:rPr>
          <w:b w:val="0"/>
          <w:i w:val="0"/>
          <w:color w:val="334438"/>
          <w:sz w:val="21"/>
        </w:rPr>
        <w:t>A SCD foi criada pela Resolução CMN 4.656/2018 (revogada e incorporada pela Resolução CMN 5.050/2022, atualizada pela CMN 5.177/2024 com vigência a partir de 01/01/2025). É uma instituição financeira não-bancária autorizada a funcionar pelo Banco Central do Brasil.</w:t>
      </w:r>
    </w:p>
    <w:p>
      <w:pPr>
        <w:spacing w:before="160" w:after="120"/>
      </w:pPr>
      <w:r>
        <w:rPr>
          <w:b/>
          <w:color w:val="F39C12"/>
          <w:sz w:val="26"/>
        </w:rPr>
        <w:t>1.1 Características Fundamentais da SCD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04"/>
            <w:shd w:val="clear" w:color="auto" w:fill="0A2A1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Característica</w:t>
            </w:r>
          </w:p>
        </w:tc>
        <w:tc>
          <w:tcPr>
            <w:tcW w:type="dxa" w:w="3600"/>
            <w:shd w:val="clear" w:color="auto" w:fill="0A2A1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Regra SCD</w:t>
            </w:r>
          </w:p>
        </w:tc>
        <w:tc>
          <w:tcPr>
            <w:tcW w:type="dxa" w:w="3888"/>
            <w:shd w:val="clear" w:color="auto" w:fill="0A2A1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Impacto no NEXUS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color w:val="1A1A2A"/>
                <w:sz w:val="19"/>
              </w:rPr>
              <w:t>Capital Mínimo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2A"/>
                <w:sz w:val="19"/>
              </w:rPr>
              <w:t>R$ 1.000.000 (patrimônio líquido permanente)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color w:val="1A1A2A"/>
                <w:sz w:val="19"/>
              </w:rPr>
              <w:t>Aporte inicial de pelo menos R$ 1M pelos Shareholders</w:t>
            </w:r>
          </w:p>
        </w:tc>
      </w:tr>
      <w:tr>
        <w:tc>
          <w:tcPr>
            <w:tcW w:type="dxa" w:w="2304"/>
            <w:shd w:val="clear" w:color="auto" w:fill="EBF7EE"/>
          </w:tcPr>
          <w:p>
            <w:r>
              <w:rPr>
                <w:color w:val="1A1A2A"/>
                <w:sz w:val="19"/>
              </w:rPr>
              <w:t>Fonte de Recursos</w:t>
            </w:r>
          </w:p>
        </w:tc>
        <w:tc>
          <w:tcPr>
            <w:tcW w:type="dxa" w:w="3600"/>
            <w:shd w:val="clear" w:color="auto" w:fill="EBF7EE"/>
          </w:tcPr>
          <w:p>
            <w:r>
              <w:rPr>
                <w:color w:val="1A1A2A"/>
                <w:sz w:val="19"/>
              </w:rPr>
              <w:t>EXCLUSIVAMENTE capital próprio (sem captação do público)</w:t>
            </w:r>
          </w:p>
        </w:tc>
        <w:tc>
          <w:tcPr>
            <w:tcW w:type="dxa" w:w="3888"/>
            <w:shd w:val="clear" w:color="auto" w:fill="EBF7EE"/>
          </w:tcPr>
          <w:p>
            <w:r>
              <w:rPr>
                <w:color w:val="1A1A2A"/>
                <w:sz w:val="19"/>
              </w:rPr>
              <w:t>Funding via FIDC, debêntures, emissão de ações — não P2P direto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color w:val="1A1A2A"/>
                <w:sz w:val="19"/>
              </w:rPr>
              <w:t>Operações Permitidas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2A"/>
                <w:sz w:val="19"/>
              </w:rPr>
              <w:t>Empréstimos, financiamentos, aquisição de direitos creditórios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color w:val="1A1A2A"/>
                <w:sz w:val="19"/>
              </w:rPr>
              <w:t>Todos os produtos NEXUS são compatíveis</w:t>
            </w:r>
          </w:p>
        </w:tc>
      </w:tr>
      <w:tr>
        <w:tc>
          <w:tcPr>
            <w:tcW w:type="dxa" w:w="2304"/>
            <w:shd w:val="clear" w:color="auto" w:fill="EBF7EE"/>
          </w:tcPr>
          <w:p>
            <w:r>
              <w:rPr>
                <w:color w:val="1A1A2A"/>
                <w:sz w:val="19"/>
              </w:rPr>
              <w:t>Meio de Concessão</w:t>
            </w:r>
          </w:p>
        </w:tc>
        <w:tc>
          <w:tcPr>
            <w:tcW w:type="dxa" w:w="3600"/>
            <w:shd w:val="clear" w:color="auto" w:fill="EBF7EE"/>
          </w:tcPr>
          <w:p>
            <w:r>
              <w:rPr>
                <w:color w:val="1A1A2A"/>
                <w:sz w:val="19"/>
              </w:rPr>
              <w:t>OBRIGATORIAMENTE via plataforma eletrônica</w:t>
            </w:r>
          </w:p>
        </w:tc>
        <w:tc>
          <w:tcPr>
            <w:tcW w:type="dxa" w:w="3888"/>
            <w:shd w:val="clear" w:color="auto" w:fill="EBF7EE"/>
          </w:tcPr>
          <w:p>
            <w:r>
              <w:rPr>
                <w:color w:val="1A1A2A"/>
                <w:sz w:val="19"/>
              </w:rPr>
              <w:t>Confirma o modelo digital-first do NEXUS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color w:val="1A1A2A"/>
                <w:sz w:val="19"/>
              </w:rPr>
              <w:t>Participação em Outras Inst.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2A"/>
                <w:sz w:val="19"/>
              </w:rPr>
              <w:t>PROIBIDA participação no capital de IFs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color w:val="1A1A2A"/>
                <w:sz w:val="19"/>
              </w:rPr>
              <w:t>SPE Exchange não pode ser IF; deve ser empresa de tecnologia</w:t>
            </w:r>
          </w:p>
        </w:tc>
      </w:tr>
      <w:tr>
        <w:tc>
          <w:tcPr>
            <w:tcW w:type="dxa" w:w="2304"/>
            <w:shd w:val="clear" w:color="auto" w:fill="EBF7EE"/>
          </w:tcPr>
          <w:p>
            <w:r>
              <w:rPr>
                <w:color w:val="1A1A2A"/>
                <w:sz w:val="19"/>
              </w:rPr>
              <w:t>Emissão de Cartão</w:t>
            </w:r>
          </w:p>
        </w:tc>
        <w:tc>
          <w:tcPr>
            <w:tcW w:type="dxa" w:w="3600"/>
            <w:shd w:val="clear" w:color="auto" w:fill="EBF7EE"/>
          </w:tcPr>
          <w:p>
            <w:r>
              <w:rPr>
                <w:color w:val="1A1A2A"/>
                <w:sz w:val="19"/>
              </w:rPr>
              <w:t>Permitida via parceria com instituição emissora</w:t>
            </w:r>
          </w:p>
        </w:tc>
        <w:tc>
          <w:tcPr>
            <w:tcW w:type="dxa" w:w="3888"/>
            <w:shd w:val="clear" w:color="auto" w:fill="EBF7EE"/>
          </w:tcPr>
          <w:p>
            <w:r>
              <w:rPr>
                <w:color w:val="1A1A2A"/>
                <w:sz w:val="19"/>
              </w:rPr>
              <w:t>Parceria com Mastercard/Visa via BIN Sponsor (BS2, Cora, etc.)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color w:val="1A1A2A"/>
                <w:sz w:val="19"/>
              </w:rPr>
              <w:t>Cessão de Crédito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2A"/>
                <w:sz w:val="19"/>
              </w:rPr>
              <w:t>Permitida para Fundos (FIDC) e outras instituições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color w:val="1A1A2A"/>
                <w:sz w:val="19"/>
              </w:rPr>
              <w:t>Securitização para captação de novos recursos</w:t>
            </w:r>
          </w:p>
        </w:tc>
      </w:tr>
      <w:tr>
        <w:tc>
          <w:tcPr>
            <w:tcW w:type="dxa" w:w="2304"/>
            <w:shd w:val="clear" w:color="auto" w:fill="EBF7EE"/>
          </w:tcPr>
          <w:p>
            <w:r>
              <w:rPr>
                <w:color w:val="1A1A2A"/>
                <w:sz w:val="19"/>
              </w:rPr>
              <w:t>FIDC</w:t>
            </w:r>
          </w:p>
        </w:tc>
        <w:tc>
          <w:tcPr>
            <w:tcW w:type="dxa" w:w="3600"/>
            <w:shd w:val="clear" w:color="auto" w:fill="EBF7EE"/>
          </w:tcPr>
          <w:p>
            <w:r>
              <w:rPr>
                <w:color w:val="1A1A2A"/>
                <w:sz w:val="19"/>
              </w:rPr>
              <w:t>SCD pode originar e ceder para FIDC</w:t>
            </w:r>
          </w:p>
        </w:tc>
        <w:tc>
          <w:tcPr>
            <w:tcW w:type="dxa" w:w="3888"/>
            <w:shd w:val="clear" w:color="auto" w:fill="EBF7EE"/>
          </w:tcPr>
          <w:p>
            <w:r>
              <w:rPr>
                <w:color w:val="1A1A2A"/>
                <w:sz w:val="19"/>
              </w:rPr>
              <w:t>Mecanismo principal de funding escalável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color w:val="1A1A2A"/>
                <w:sz w:val="19"/>
              </w:rPr>
              <w:t>Supervisão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2A"/>
                <w:sz w:val="19"/>
              </w:rPr>
              <w:t>Banco Central do Brasil — inspeções periódicas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color w:val="1A1A2A"/>
                <w:sz w:val="19"/>
              </w:rPr>
              <w:t>Compliance e auditoria interna obrigatórios</w:t>
            </w:r>
          </w:p>
        </w:tc>
      </w:tr>
      <w:tr>
        <w:tc>
          <w:tcPr>
            <w:tcW w:type="dxa" w:w="2304"/>
            <w:shd w:val="clear" w:color="auto" w:fill="EBF7EE"/>
          </w:tcPr>
          <w:p>
            <w:r>
              <w:rPr>
                <w:color w:val="1A1A2A"/>
                <w:sz w:val="19"/>
              </w:rPr>
              <w:t>Reporte</w:t>
            </w:r>
          </w:p>
        </w:tc>
        <w:tc>
          <w:tcPr>
            <w:tcW w:type="dxa" w:w="3600"/>
            <w:shd w:val="clear" w:color="auto" w:fill="EBF7EE"/>
          </w:tcPr>
          <w:p>
            <w:r>
              <w:rPr>
                <w:color w:val="1A1A2A"/>
                <w:sz w:val="19"/>
              </w:rPr>
              <w:t>SCR (Central de Risco de Crédito) — mensal</w:t>
            </w:r>
          </w:p>
        </w:tc>
        <w:tc>
          <w:tcPr>
            <w:tcW w:type="dxa" w:w="3888"/>
            <w:shd w:val="clear" w:color="auto" w:fill="EBF7EE"/>
          </w:tcPr>
          <w:p>
            <w:r>
              <w:rPr>
                <w:color w:val="1A1A2A"/>
                <w:sz w:val="19"/>
              </w:rPr>
              <w:t>Toda a carteira reportada ao Bacen mensalmente</w:t>
            </w:r>
          </w:p>
        </w:tc>
      </w:tr>
    </w:tbl>
    <w:p/>
    <w:p>
      <w:pPr>
        <w:spacing w:before="160" w:after="120"/>
      </w:pPr>
      <w:r>
        <w:rPr>
          <w:b/>
          <w:color w:val="F39C12"/>
          <w:sz w:val="26"/>
        </w:rPr>
        <w:t>1.2 Processo de Autorização pelo Banco Central</w:t>
      </w:r>
    </w:p>
    <w:p>
      <w:pPr>
        <w:spacing w:after="120" w:before="40"/>
      </w:pPr>
      <w:r>
        <w:rPr>
          <w:b w:val="0"/>
          <w:i w:val="0"/>
          <w:color w:val="334438"/>
          <w:sz w:val="21"/>
        </w:rPr>
        <w:t>O processo de autorização de uma SCD junto ao Banco Central segue as etapas abaixo:</w:t>
      </w:r>
    </w:p>
    <w:p>
      <w:pPr>
        <w:pStyle w:val="ListBullet"/>
        <w:spacing w:after="60"/>
      </w:pPr>
      <w:r>
        <w:rPr>
          <w:color w:val="334438"/>
          <w:sz w:val="21"/>
        </w:rPr>
        <w:t>ETAPA 1 — Constituição: Constituir S.A. com capital mínimo de R$ 1M integralizado em dinheiro</w:t>
      </w:r>
    </w:p>
    <w:p>
      <w:pPr>
        <w:pStyle w:val="ListBullet"/>
        <w:spacing w:after="60"/>
      </w:pPr>
      <w:r>
        <w:rPr>
          <w:color w:val="334438"/>
          <w:sz w:val="21"/>
        </w:rPr>
        <w:t>ETAPA 2 — Documentação: Submeter ao Bacen estatuto social, atas, qualificação de controladores e administradores (fit &amp; proper test)</w:t>
      </w:r>
    </w:p>
    <w:p>
      <w:pPr>
        <w:pStyle w:val="ListBullet"/>
        <w:spacing w:after="60"/>
      </w:pPr>
      <w:r>
        <w:rPr>
          <w:color w:val="334438"/>
          <w:sz w:val="21"/>
        </w:rPr>
        <w:t>ETAPA 3 — Plano de Negócios: Apresentar plano de negócios detalhado com projeções financeiras para 3 anos</w:t>
      </w:r>
    </w:p>
    <w:p>
      <w:pPr>
        <w:pStyle w:val="ListBullet"/>
        <w:spacing w:after="60"/>
      </w:pPr>
      <w:r>
        <w:rPr>
          <w:color w:val="334438"/>
          <w:sz w:val="21"/>
        </w:rPr>
        <w:t>ETAPA 4 — Análise Bacen: Prazo médio de 12 a 18 meses para análise e visita in loco</w:t>
      </w:r>
    </w:p>
    <w:p>
      <w:pPr>
        <w:pStyle w:val="ListBullet"/>
        <w:spacing w:after="60"/>
      </w:pPr>
      <w:r>
        <w:rPr>
          <w:color w:val="334438"/>
          <w:sz w:val="21"/>
        </w:rPr>
        <w:t>ETAPA 5 — Autorização: Publicação no Diário Oficial da autorização para funcionamento</w:t>
      </w:r>
    </w:p>
    <w:p>
      <w:pPr>
        <w:pStyle w:val="ListBullet"/>
        <w:spacing w:after="60"/>
      </w:pPr>
      <w:r>
        <w:rPr>
          <w:color w:val="334438"/>
          <w:sz w:val="21"/>
        </w:rPr>
        <w:t>ETAPA 6 — Início das Operações: Comunicação ao Bacen do início das operações</w:t>
      </w:r>
    </w:p>
    <w:p>
      <w:pPr>
        <w:spacing w:after="120" w:before="40"/>
      </w:pPr>
      <w:r>
        <w:rPr>
          <w:b/>
          <w:i w:val="0"/>
          <w:color w:val="0A2A14"/>
          <w:sz w:val="21"/>
        </w:rPr>
        <w:t>ESTRATÉGIA ACELERADA: Aquisição de SCD já autorizada (shell company) reduz o prazo de autorização de 18 meses para 30–60 dias. Mercado atual: SCDs autorizadas e disponíveis para aquisição custam entre R$ 800k e R$ 3M dependendo do portfólio e histórico.</w:t>
      </w:r>
    </w:p>
    <w:p>
      <w:r>
        <w:br w:type="page"/>
      </w:r>
    </w:p>
    <w:p>
      <w:pPr>
        <w:spacing w:before="280" w:after="120"/>
      </w:pPr>
      <w:r>
        <w:rPr>
          <w:b/>
          <w:color w:val="27AE60"/>
          <w:sz w:val="34"/>
        </w:rPr>
        <w:t>2. MODELO DE NEGÓCIO ADAPTADO PARA SCD</w:t>
      </w:r>
    </w:p>
    <w:p>
      <w:pPr>
        <w:spacing w:before="80" w:after="80"/>
        <w:pBdr>
          <w:bottom w:val="single" w:sz="6" w:space="1" w:color="27AE60"/>
        </w:pBdr>
      </w:pPr>
    </w:p>
    <w:p>
      <w:pPr>
        <w:spacing w:after="120" w:before="40"/>
      </w:pPr>
      <w:r>
        <w:rPr>
          <w:b w:val="0"/>
          <w:i w:val="0"/>
          <w:color w:val="334438"/>
          <w:sz w:val="21"/>
        </w:rPr>
        <w:t>Na modalidade SCD, o Aplicante não empresta dinheiro diretamente ao Usuário — ele investe no instrumento financeiro emitido pela SCD (debêntures, cotas de FIDC ou CRI/CRA via estrutura de securitização). A SCD, por sua vez, concede o crédito com seu próprio capital e repassa os rendimentos aos investidores conforme acordado.</w:t>
      </w:r>
    </w:p>
    <w:p>
      <w:pPr>
        <w:spacing w:before="160" w:after="120"/>
      </w:pPr>
      <w:r>
        <w:rPr>
          <w:b/>
          <w:color w:val="F39C12"/>
          <w:sz w:val="26"/>
        </w:rPr>
        <w:t>2.1 Fluxo de Funding na SCD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0E3520"/>
          </w:tcPr>
          <w:p/>
          <w:p>
            <w:pPr>
              <w:spacing w:before="120"/>
            </w:pPr>
            <w:r>
              <w:rPr>
                <w:b/>
                <w:color w:val="F39C12"/>
                <w:sz w:val="22"/>
              </w:rPr>
              <w:t>ESTRUTURA DE CAPTAÇÃO — SCD NEXUS</w:t>
            </w:r>
          </w:p>
          <w:p>
            <w:pPr>
              <w:spacing w:after="40"/>
            </w:pPr>
            <w:r>
              <w:rPr>
                <w:color w:val="BBDDCC"/>
                <w:sz w:val="21"/>
              </w:rPr>
              <w:t>FONTE 1 — Capital Social: R$ 1M a R$ 10M dos Shareholders fundadores</w:t>
            </w:r>
          </w:p>
          <w:p>
            <w:pPr>
              <w:spacing w:after="40"/>
            </w:pPr>
            <w:r>
              <w:rPr>
                <w:color w:val="BBDDCC"/>
                <w:sz w:val="21"/>
              </w:rPr>
              <w:t>FONTE 2 — Debêntures Simples: Emissão via CVM (Instrução 476 — esforços restritos, ≤20 investidores qualificados)</w:t>
            </w:r>
          </w:p>
          <w:p>
            <w:pPr>
              <w:spacing w:after="40"/>
            </w:pPr>
            <w:r>
              <w:rPr>
                <w:color w:val="BBDDCC"/>
                <w:sz w:val="21"/>
              </w:rPr>
              <w:t>FONTE 3 — FIDC (Fundo de Investimento em Direitos Creditórios): SCD origina créditos e cede ao FIDC; FIDC capta dos Aplicantes (cotistas)</w:t>
            </w:r>
          </w:p>
          <w:p>
            <w:pPr>
              <w:spacing w:after="40"/>
            </w:pPr>
            <w:r>
              <w:rPr>
                <w:color w:val="BBDDCC"/>
                <w:sz w:val="21"/>
              </w:rPr>
              <w:t>FONTE 4 — CRA/CRI: Para verticais agro e imobiliário, emissão de CRA/CRI via securitizadora parceira</w:t>
            </w:r>
          </w:p>
          <w:p>
            <w:pPr>
              <w:spacing w:after="40"/>
            </w:pPr>
            <w:r>
              <w:rPr>
                <w:color w:val="BBDDCC"/>
                <w:sz w:val="21"/>
              </w:rPr>
              <w:t>FONTE 5 — Parceria Bancária: Linha de crédito com banco parceiro (BaaS) para capital de giro da operação</w:t>
            </w:r>
          </w:p>
          <w:p>
            <w:pPr>
              <w:spacing w:after="40"/>
            </w:pPr>
            <w:r>
              <w:rPr>
                <w:color w:val="BBDDCC"/>
                <w:sz w:val="21"/>
              </w:rPr>
              <w:t>FONTE 6 — Venture Debt: Capital de dívida de fundos de venture debt para fase de escala</w:t>
            </w:r>
          </w:p>
          <w:p>
            <w:pPr>
              <w:spacing w:after="120"/>
            </w:pPr>
          </w:p>
        </w:tc>
      </w:tr>
    </w:tbl>
    <w:p/>
    <w:p>
      <w:pPr>
        <w:spacing w:before="160" w:after="120"/>
      </w:pPr>
      <w:r>
        <w:rPr>
          <w:b/>
          <w:color w:val="F39C12"/>
          <w:sz w:val="26"/>
        </w:rPr>
        <w:t>2.2 FIDC — Veículo Principal de Escala</w:t>
      </w:r>
    </w:p>
    <w:p>
      <w:pPr>
        <w:spacing w:after="120" w:before="40"/>
      </w:pPr>
      <w:r>
        <w:rPr>
          <w:b w:val="0"/>
          <w:i w:val="0"/>
          <w:color w:val="334438"/>
          <w:sz w:val="21"/>
        </w:rPr>
        <w:t>O FIDC (Fundo de Investimento em Direitos Creditórios) é o principal mecanismo de escala do modelo SCD, pois permite que a SCD 'recicle' o capital continuamente:</w:t>
      </w:r>
    </w:p>
    <w:p>
      <w:pPr>
        <w:pStyle w:val="ListBullet"/>
        <w:spacing w:after="60"/>
      </w:pPr>
      <w:r>
        <w:rPr>
          <w:color w:val="334438"/>
          <w:sz w:val="21"/>
        </w:rPr>
        <w:t>SCD origina carteira de crédito (contratos de empréstimo via cartão NEXUS)</w:t>
      </w:r>
    </w:p>
    <w:p>
      <w:pPr>
        <w:pStyle w:val="ListBullet"/>
        <w:spacing w:after="60"/>
      </w:pPr>
      <w:r>
        <w:rPr>
          <w:color w:val="334438"/>
          <w:sz w:val="21"/>
        </w:rPr>
        <w:t>SCD cede os direitos creditórios ao FIDC (venda da carteira)</w:t>
      </w:r>
    </w:p>
    <w:p>
      <w:pPr>
        <w:pStyle w:val="ListBullet"/>
        <w:spacing w:after="60"/>
      </w:pPr>
      <w:r>
        <w:rPr>
          <w:color w:val="334438"/>
          <w:sz w:val="21"/>
        </w:rPr>
        <w:t>FIDC emite cotas Sênior (menor risco, menor retorno: CDI + 5% a.a.) e cotas Júnior/Mezanino (maior risco, maior retorno: CDI + 15% a.a.)</w:t>
      </w:r>
    </w:p>
    <w:p>
      <w:pPr>
        <w:pStyle w:val="ListBullet"/>
        <w:spacing w:after="60"/>
      </w:pPr>
      <w:r>
        <w:rPr>
          <w:color w:val="334438"/>
          <w:sz w:val="21"/>
        </w:rPr>
        <w:t>Aplicantes do NEXUS compram as cotas Júnior/Sênior do FIDC (através da plataforma)</w:t>
      </w:r>
    </w:p>
    <w:p>
      <w:pPr>
        <w:pStyle w:val="ListBullet"/>
        <w:spacing w:after="60"/>
      </w:pPr>
      <w:r>
        <w:rPr>
          <w:color w:val="334438"/>
          <w:sz w:val="21"/>
        </w:rPr>
        <w:t>SCD recebe o capital da cessão e origina novos créditos — ciclo contínuo</w:t>
      </w:r>
    </w:p>
    <w:p>
      <w:pPr>
        <w:pStyle w:val="ListBullet"/>
        <w:spacing w:after="60"/>
      </w:pPr>
      <w:r>
        <w:rPr>
          <w:color w:val="334438"/>
          <w:sz w:val="21"/>
        </w:rPr>
        <w:t>Administrador e Custodiante do FIDC: instituição financeira licenciada (ex: BRL Trust, Oliveira Trust, BTG Pactual)</w:t>
      </w:r>
    </w:p>
    <w:p>
      <w:pPr>
        <w:spacing w:before="160" w:after="120"/>
      </w:pPr>
      <w:r>
        <w:rPr>
          <w:b/>
          <w:color w:val="F39C12"/>
          <w:sz w:val="26"/>
        </w:rPr>
        <w:t>2.3 Mecanismo do Cartão no Modelo SCD</w:t>
      </w:r>
    </w:p>
    <w:p>
      <w:pPr>
        <w:spacing w:after="120" w:before="40"/>
      </w:pPr>
      <w:r>
        <w:rPr>
          <w:b w:val="0"/>
          <w:i w:val="0"/>
          <w:color w:val="334438"/>
          <w:sz w:val="21"/>
        </w:rPr>
        <w:t>No modelo SCD, o cartão pré-pago NEXUS é emitido diretamente sob a licença da SCD em parceria com um BIN Sponsor nacional. O fluxo é inteiramente em reais: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0E3520"/>
          </w:tcPr>
          <w:p/>
          <w:p>
            <w:pPr>
              <w:spacing w:before="120"/>
            </w:pPr>
            <w:r>
              <w:rPr>
                <w:b/>
                <w:color w:val="F39C12"/>
                <w:sz w:val="22"/>
              </w:rPr>
              <w:t>FLUXO DO CARTÃO — MODELO SCD (100% BRL)</w:t>
            </w:r>
          </w:p>
          <w:p>
            <w:pPr>
              <w:spacing w:after="40"/>
            </w:pPr>
            <w:r>
              <w:rPr>
                <w:color w:val="BBDDCC"/>
                <w:sz w:val="21"/>
              </w:rPr>
              <w:t>1. SCD aprova limite de crédito ao Usuário (R$ 500 a R$ 2.500) após scoring KYC/AML</w:t>
            </w:r>
          </w:p>
          <w:p>
            <w:pPr>
              <w:spacing w:after="40"/>
            </w:pPr>
            <w:r>
              <w:rPr>
                <w:color w:val="BBDDCC"/>
                <w:sz w:val="21"/>
              </w:rPr>
              <w:t>2. Cartão pré-pago é emitido pelo BIN Sponsor (ex: Matera, Dock, Conductor, BS2)</w:t>
            </w:r>
          </w:p>
          <w:p>
            <w:pPr>
              <w:spacing w:after="40"/>
            </w:pPr>
            <w:r>
              <w:rPr>
                <w:color w:val="BBDDCC"/>
                <w:sz w:val="21"/>
              </w:rPr>
              <w:t>3. SCD carrega o cartão com o valor aprovado (débito na conta da SCD)</w:t>
            </w:r>
          </w:p>
          <w:p>
            <w:pPr>
              <w:spacing w:after="40"/>
            </w:pPr>
            <w:r>
              <w:rPr>
                <w:color w:val="BBDDCC"/>
                <w:sz w:val="21"/>
              </w:rPr>
              <w:t>4. Usuário usa o cartão nos merchants credenciados (MCCs habilitados por vertical)</w:t>
            </w:r>
          </w:p>
          <w:p>
            <w:pPr>
              <w:spacing w:after="40"/>
            </w:pPr>
            <w:r>
              <w:rPr>
                <w:color w:val="BBDDCC"/>
                <w:sz w:val="21"/>
              </w:rPr>
              <w:t>5. SCD recebe o MDR de 3% do merchant via adquirente parceiro</w:t>
            </w:r>
          </w:p>
          <w:p>
            <w:pPr>
              <w:spacing w:after="40"/>
            </w:pPr>
            <w:r>
              <w:rPr>
                <w:color w:val="BBDDCC"/>
                <w:sz w:val="21"/>
              </w:rPr>
              <w:t>6. No vencimento da fatura, Usuário paga o valor total + 6% de taxa de utilização</w:t>
            </w:r>
          </w:p>
          <w:p>
            <w:pPr>
              <w:spacing w:after="40"/>
            </w:pPr>
            <w:r>
              <w:rPr>
                <w:color w:val="BBDDCC"/>
                <w:sz w:val="21"/>
              </w:rPr>
              <w:t>7. Capital repago retorna à SCD → novo crédito liberado no cartão (ciclo recorrente)</w:t>
            </w:r>
          </w:p>
          <w:p>
            <w:pPr>
              <w:spacing w:after="40"/>
            </w:pPr>
            <w:r>
              <w:rPr>
                <w:color w:val="BBDDCC"/>
                <w:sz w:val="21"/>
              </w:rPr>
              <w:t>8. Rendimentos são distribuídos aos cotistas do FIDC mensalmente (CDI + spread)</w:t>
            </w:r>
          </w:p>
          <w:p>
            <w:pPr>
              <w:spacing w:after="120"/>
            </w:pPr>
          </w:p>
        </w:tc>
      </w:tr>
    </w:tbl>
    <w:p/>
    <w:p>
      <w:r>
        <w:br w:type="page"/>
      </w:r>
    </w:p>
    <w:p>
      <w:pPr>
        <w:spacing w:before="280" w:after="120"/>
      </w:pPr>
      <w:r>
        <w:rPr>
          <w:b/>
          <w:color w:val="27AE60"/>
          <w:sz w:val="34"/>
        </w:rPr>
        <w:t>3. ANÁLISE COMPARATIVA — VANTAGENS E DESVANTAGENS DA SCD</w:t>
      </w:r>
    </w:p>
    <w:p>
      <w:pPr>
        <w:spacing w:before="80" w:after="80"/>
        <w:pBdr>
          <w:bottom w:val="single" w:sz="6" w:space="1" w:color="27AE60"/>
        </w:pBdr>
      </w:pPr>
    </w:p>
    <w:p>
      <w:pPr>
        <w:spacing w:before="160" w:after="120"/>
      </w:pPr>
      <w:r>
        <w:rPr>
          <w:b/>
          <w:color w:val="F39C12"/>
          <w:sz w:val="26"/>
        </w:rPr>
        <w:t>3.1 Vantagens da SCD vs. SEP vs. GREY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160"/>
            <w:shd w:val="clear" w:color="auto" w:fill="0A2A1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Dimensão</w:t>
            </w:r>
          </w:p>
        </w:tc>
        <w:tc>
          <w:tcPr>
            <w:tcW w:type="dxa" w:w="2304"/>
            <w:shd w:val="clear" w:color="auto" w:fill="0A2A1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SCD</w:t>
            </w:r>
          </w:p>
        </w:tc>
        <w:tc>
          <w:tcPr>
            <w:tcW w:type="dxa" w:w="2304"/>
            <w:shd w:val="clear" w:color="auto" w:fill="0A2A1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SEP</w:t>
            </w:r>
          </w:p>
        </w:tc>
        <w:tc>
          <w:tcPr>
            <w:tcW w:type="dxa" w:w="3024"/>
            <w:shd w:val="clear" w:color="auto" w:fill="0A2A1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GREY (Stablecoin)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color w:val="1A1A2A"/>
                <w:sz w:val="19"/>
              </w:rPr>
              <w:t>Regulação Bacen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1A1A2A"/>
                <w:sz w:val="19"/>
              </w:rPr>
              <w:t>✔ Licença plena IF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1A1A2A"/>
                <w:sz w:val="19"/>
              </w:rPr>
              <w:t>✔ Licença plena IF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1A1A2A"/>
                <w:sz w:val="19"/>
              </w:rPr>
              <w:t>✘ Fora do BC Brasil</w:t>
            </w:r>
          </w:p>
        </w:tc>
      </w:tr>
      <w:tr>
        <w:tc>
          <w:tcPr>
            <w:tcW w:type="dxa" w:w="2160"/>
            <w:shd w:val="clear" w:color="auto" w:fill="EBF7EE"/>
          </w:tcPr>
          <w:p>
            <w:r>
              <w:rPr>
                <w:color w:val="1A1A2A"/>
                <w:sz w:val="19"/>
              </w:rPr>
              <w:t>Credibilidade Inst.</w:t>
            </w:r>
          </w:p>
        </w:tc>
        <w:tc>
          <w:tcPr>
            <w:tcW w:type="dxa" w:w="2304"/>
            <w:shd w:val="clear" w:color="auto" w:fill="EBF7EE"/>
          </w:tcPr>
          <w:p>
            <w:r>
              <w:rPr>
                <w:color w:val="1A1A2A"/>
                <w:sz w:val="19"/>
              </w:rPr>
              <w:t>★★★★★ Máxima</w:t>
            </w:r>
          </w:p>
        </w:tc>
        <w:tc>
          <w:tcPr>
            <w:tcW w:type="dxa" w:w="2304"/>
            <w:shd w:val="clear" w:color="auto" w:fill="EBF7EE"/>
          </w:tcPr>
          <w:p>
            <w:r>
              <w:rPr>
                <w:color w:val="1A1A2A"/>
                <w:sz w:val="19"/>
              </w:rPr>
              <w:t>★★★★☆ Alta</w:t>
            </w:r>
          </w:p>
        </w:tc>
        <w:tc>
          <w:tcPr>
            <w:tcW w:type="dxa" w:w="3024"/>
            <w:shd w:val="clear" w:color="auto" w:fill="EBF7EE"/>
          </w:tcPr>
          <w:p>
            <w:r>
              <w:rPr>
                <w:color w:val="1A1A2A"/>
                <w:sz w:val="19"/>
              </w:rPr>
              <w:t>★★★☆☆ Média (offshore)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color w:val="1A1A2A"/>
                <w:sz w:val="19"/>
              </w:rPr>
              <w:t>Velocidade de Setup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1A1A2A"/>
                <w:sz w:val="19"/>
              </w:rPr>
              <w:t>12–18m (ou 30d c/ aquisição)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1A1A2A"/>
                <w:sz w:val="19"/>
              </w:rPr>
              <w:t>12–18m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1A1A2A"/>
                <w:sz w:val="19"/>
              </w:rPr>
              <w:t>3–6m (Dubai DIFC)</w:t>
            </w:r>
          </w:p>
        </w:tc>
      </w:tr>
      <w:tr>
        <w:tc>
          <w:tcPr>
            <w:tcW w:type="dxa" w:w="2160"/>
            <w:shd w:val="clear" w:color="auto" w:fill="EBF7EE"/>
          </w:tcPr>
          <w:p>
            <w:r>
              <w:rPr>
                <w:color w:val="1A1A2A"/>
                <w:sz w:val="19"/>
              </w:rPr>
              <w:t>Fonte de Capital</w:t>
            </w:r>
          </w:p>
        </w:tc>
        <w:tc>
          <w:tcPr>
            <w:tcW w:type="dxa" w:w="2304"/>
            <w:shd w:val="clear" w:color="auto" w:fill="EBF7EE"/>
          </w:tcPr>
          <w:p>
            <w:r>
              <w:rPr>
                <w:color w:val="1A1A2A"/>
                <w:sz w:val="19"/>
              </w:rPr>
              <w:t>Próprio + FIDC + Debêntures</w:t>
            </w:r>
          </w:p>
        </w:tc>
        <w:tc>
          <w:tcPr>
            <w:tcW w:type="dxa" w:w="2304"/>
            <w:shd w:val="clear" w:color="auto" w:fill="EBF7EE"/>
          </w:tcPr>
          <w:p>
            <w:r>
              <w:rPr>
                <w:color w:val="1A1A2A"/>
                <w:sz w:val="19"/>
              </w:rPr>
              <w:t>P2P direto (pool público)</w:t>
            </w:r>
          </w:p>
        </w:tc>
        <w:tc>
          <w:tcPr>
            <w:tcW w:type="dxa" w:w="3024"/>
            <w:shd w:val="clear" w:color="auto" w:fill="EBF7EE"/>
          </w:tcPr>
          <w:p>
            <w:r>
              <w:rPr>
                <w:color w:val="1A1A2A"/>
                <w:sz w:val="19"/>
              </w:rPr>
              <w:t>Stablecoin pool global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color w:val="1A1A2A"/>
                <w:sz w:val="19"/>
              </w:rPr>
              <w:t>Risco Regulatório BR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1A1A2A"/>
                <w:sz w:val="19"/>
              </w:rPr>
              <w:t>Baixo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1A1A2A"/>
                <w:sz w:val="19"/>
              </w:rPr>
              <w:t>Baixo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1A1A2A"/>
                <w:sz w:val="19"/>
              </w:rPr>
              <w:t>ALTO (área cinzenta)</w:t>
            </w:r>
          </w:p>
        </w:tc>
      </w:tr>
      <w:tr>
        <w:tc>
          <w:tcPr>
            <w:tcW w:type="dxa" w:w="2160"/>
            <w:shd w:val="clear" w:color="auto" w:fill="EBF7EE"/>
          </w:tcPr>
          <w:p>
            <w:r>
              <w:rPr>
                <w:color w:val="1A1A2A"/>
                <w:sz w:val="19"/>
              </w:rPr>
              <w:t>Acesso a Bancários</w:t>
            </w:r>
          </w:p>
        </w:tc>
        <w:tc>
          <w:tcPr>
            <w:tcW w:type="dxa" w:w="2304"/>
            <w:shd w:val="clear" w:color="auto" w:fill="EBF7EE"/>
          </w:tcPr>
          <w:p>
            <w:r>
              <w:rPr>
                <w:color w:val="1A1A2A"/>
                <w:sz w:val="19"/>
              </w:rPr>
              <w:t>Total (conta, Pix, TED)</w:t>
            </w:r>
          </w:p>
        </w:tc>
        <w:tc>
          <w:tcPr>
            <w:tcW w:type="dxa" w:w="2304"/>
            <w:shd w:val="clear" w:color="auto" w:fill="EBF7EE"/>
          </w:tcPr>
          <w:p>
            <w:r>
              <w:rPr>
                <w:color w:val="1A1A2A"/>
                <w:sz w:val="19"/>
              </w:rPr>
              <w:t>Total</w:t>
            </w:r>
          </w:p>
        </w:tc>
        <w:tc>
          <w:tcPr>
            <w:tcW w:type="dxa" w:w="3024"/>
            <w:shd w:val="clear" w:color="auto" w:fill="EBF7EE"/>
          </w:tcPr>
          <w:p>
            <w:r>
              <w:rPr>
                <w:color w:val="1A1A2A"/>
                <w:sz w:val="19"/>
              </w:rPr>
              <w:t>Via parceiro local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color w:val="1A1A2A"/>
                <w:sz w:val="19"/>
              </w:rPr>
              <w:t>Emissão de Cartão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1A1A2A"/>
                <w:sz w:val="19"/>
              </w:rPr>
              <w:t>Via BIN Sponsor nacional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1A1A2A"/>
                <w:sz w:val="19"/>
              </w:rPr>
              <w:t>Via BIN Sponsor nacional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1A1A2A"/>
                <w:sz w:val="19"/>
              </w:rPr>
              <w:t>Via Rain/Reap + on-ramp</w:t>
            </w:r>
          </w:p>
        </w:tc>
      </w:tr>
      <w:tr>
        <w:tc>
          <w:tcPr>
            <w:tcW w:type="dxa" w:w="2160"/>
            <w:shd w:val="clear" w:color="auto" w:fill="EBF7EE"/>
          </w:tcPr>
          <w:p>
            <w:r>
              <w:rPr>
                <w:color w:val="1A1A2A"/>
                <w:sz w:val="19"/>
              </w:rPr>
              <w:t>Tributação Efetiva</w:t>
            </w:r>
          </w:p>
        </w:tc>
        <w:tc>
          <w:tcPr>
            <w:tcW w:type="dxa" w:w="2304"/>
            <w:shd w:val="clear" w:color="auto" w:fill="EBF7EE"/>
          </w:tcPr>
          <w:p>
            <w:r>
              <w:rPr>
                <w:color w:val="1A1A2A"/>
                <w:sz w:val="19"/>
              </w:rPr>
              <w:t>IR 25% + CSLL 20% (IF)</w:t>
            </w:r>
          </w:p>
        </w:tc>
        <w:tc>
          <w:tcPr>
            <w:tcW w:type="dxa" w:w="2304"/>
            <w:shd w:val="clear" w:color="auto" w:fill="EBF7EE"/>
          </w:tcPr>
          <w:p>
            <w:r>
              <w:rPr>
                <w:color w:val="1A1A2A"/>
                <w:sz w:val="19"/>
              </w:rPr>
              <w:t>IR 25% + CSLL 20% (IF)</w:t>
            </w:r>
          </w:p>
        </w:tc>
        <w:tc>
          <w:tcPr>
            <w:tcW w:type="dxa" w:w="3024"/>
            <w:shd w:val="clear" w:color="auto" w:fill="EBF7EE"/>
          </w:tcPr>
          <w:p>
            <w:r>
              <w:rPr>
                <w:color w:val="1A1A2A"/>
                <w:sz w:val="19"/>
              </w:rPr>
              <w:t>0% (Dubai) + câmbio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color w:val="1A1A2A"/>
                <w:sz w:val="19"/>
              </w:rPr>
              <w:t>Investor Base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1A1A2A"/>
                <w:sz w:val="19"/>
              </w:rPr>
              <w:t>Qualificados (CVM)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1A1A2A"/>
                <w:sz w:val="19"/>
              </w:rPr>
              <w:t>Pessoa Física e Qualificados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1A1A2A"/>
                <w:sz w:val="19"/>
              </w:rPr>
              <w:t>Global (sem restrição)</w:t>
            </w:r>
          </w:p>
        </w:tc>
      </w:tr>
      <w:tr>
        <w:tc>
          <w:tcPr>
            <w:tcW w:type="dxa" w:w="2160"/>
            <w:shd w:val="clear" w:color="auto" w:fill="EBF7EE"/>
          </w:tcPr>
          <w:p>
            <w:r>
              <w:rPr>
                <w:color w:val="1A1A2A"/>
                <w:sz w:val="19"/>
              </w:rPr>
              <w:t>Pitch para Inst.</w:t>
            </w:r>
          </w:p>
        </w:tc>
        <w:tc>
          <w:tcPr>
            <w:tcW w:type="dxa" w:w="2304"/>
            <w:shd w:val="clear" w:color="auto" w:fill="EBF7EE"/>
          </w:tcPr>
          <w:p>
            <w:r>
              <w:rPr>
                <w:color w:val="1A1A2A"/>
                <w:sz w:val="19"/>
              </w:rPr>
              <w:t>Excelente</w:t>
            </w:r>
          </w:p>
        </w:tc>
        <w:tc>
          <w:tcPr>
            <w:tcW w:type="dxa" w:w="2304"/>
            <w:shd w:val="clear" w:color="auto" w:fill="EBF7EE"/>
          </w:tcPr>
          <w:p>
            <w:r>
              <w:rPr>
                <w:color w:val="1A1A2A"/>
                <w:sz w:val="19"/>
              </w:rPr>
              <w:t>Muito bom</w:t>
            </w:r>
          </w:p>
        </w:tc>
        <w:tc>
          <w:tcPr>
            <w:tcW w:type="dxa" w:w="3024"/>
            <w:shd w:val="clear" w:color="auto" w:fill="EBF7EE"/>
          </w:tcPr>
          <w:p>
            <w:r>
              <w:rPr>
                <w:color w:val="1A1A2A"/>
                <w:sz w:val="19"/>
              </w:rPr>
              <w:t>Bom (jurisdição Dubai)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color w:val="1A1A2A"/>
                <w:sz w:val="19"/>
              </w:rPr>
              <w:t>IOF nas Operações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1A1A2A"/>
                <w:sz w:val="19"/>
              </w:rPr>
              <w:t>Sim (tabela fixa)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1A1A2A"/>
                <w:sz w:val="19"/>
              </w:rPr>
              <w:t>Sim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1A1A2A"/>
                <w:sz w:val="19"/>
              </w:rPr>
              <w:t>Minimizado</w:t>
            </w:r>
          </w:p>
        </w:tc>
      </w:tr>
      <w:tr>
        <w:tc>
          <w:tcPr>
            <w:tcW w:type="dxa" w:w="2160"/>
            <w:shd w:val="clear" w:color="auto" w:fill="EBF7EE"/>
          </w:tcPr>
          <w:p>
            <w:r>
              <w:rPr>
                <w:color w:val="1A1A2A"/>
                <w:sz w:val="19"/>
              </w:rPr>
              <w:t>Reporte ao Bacen</w:t>
            </w:r>
          </w:p>
        </w:tc>
        <w:tc>
          <w:tcPr>
            <w:tcW w:type="dxa" w:w="2304"/>
            <w:shd w:val="clear" w:color="auto" w:fill="EBF7EE"/>
          </w:tcPr>
          <w:p>
            <w:r>
              <w:rPr>
                <w:color w:val="1A1A2A"/>
                <w:sz w:val="19"/>
              </w:rPr>
              <w:t>Sim (SCR mensal)</w:t>
            </w:r>
          </w:p>
        </w:tc>
        <w:tc>
          <w:tcPr>
            <w:tcW w:type="dxa" w:w="2304"/>
            <w:shd w:val="clear" w:color="auto" w:fill="EBF7EE"/>
          </w:tcPr>
          <w:p>
            <w:r>
              <w:rPr>
                <w:color w:val="1A1A2A"/>
                <w:sz w:val="19"/>
              </w:rPr>
              <w:t>Sim (SCR mensal)</w:t>
            </w:r>
          </w:p>
        </w:tc>
        <w:tc>
          <w:tcPr>
            <w:tcW w:type="dxa" w:w="3024"/>
            <w:shd w:val="clear" w:color="auto" w:fill="EBF7EE"/>
          </w:tcPr>
          <w:p>
            <w:r>
              <w:rPr>
                <w:color w:val="1A1A2A"/>
                <w:sz w:val="19"/>
              </w:rPr>
              <w:t>Não (fora do perímetro)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color w:val="1A1A2A"/>
                <w:sz w:val="19"/>
              </w:rPr>
              <w:t>Escalabilidade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1A1A2A"/>
                <w:sz w:val="19"/>
              </w:rPr>
              <w:t>Alta (via FIDC)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1A1A2A"/>
                <w:sz w:val="19"/>
              </w:rPr>
              <w:t>Alta (via pool público)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1A1A2A"/>
                <w:sz w:val="19"/>
              </w:rPr>
              <w:t>Alta (via crypto pool)</w:t>
            </w:r>
          </w:p>
        </w:tc>
      </w:tr>
    </w:tbl>
    <w:p/>
    <w:p>
      <w:pPr>
        <w:spacing w:before="160" w:after="120"/>
      </w:pPr>
      <w:r>
        <w:rPr>
          <w:b/>
          <w:color w:val="F39C12"/>
          <w:sz w:val="26"/>
        </w:rPr>
        <w:t>3.2 Riscos Específicos da SCD</w:t>
      </w:r>
    </w:p>
    <w:p>
      <w:pPr>
        <w:pStyle w:val="ListBullet"/>
        <w:spacing w:after="60"/>
      </w:pPr>
      <w:r>
        <w:rPr>
          <w:color w:val="444433"/>
          <w:sz w:val="21"/>
        </w:rPr>
        <w:t>RISCO DE CAPITAL: A SCD opera com capital próprio — se a inadimplência superar o patrimônio líquido, a SCD pode se tornar insolvente. Mitigação: FIDC com subordinação e Fundo de Reserva.</w:t>
      </w:r>
    </w:p>
    <w:p>
      <w:pPr>
        <w:pStyle w:val="ListBullet"/>
        <w:spacing w:after="60"/>
      </w:pPr>
      <w:r>
        <w:rPr>
          <w:color w:val="444433"/>
          <w:sz w:val="21"/>
        </w:rPr>
        <w:t>RISCO REGULATÓRIO: Mudanças na regulação do Bacen podem afetar o modelo de negócio. Mitigação: diversificação entre SCD e outras estruturas.</w:t>
      </w:r>
    </w:p>
    <w:p>
      <w:pPr>
        <w:pStyle w:val="ListBullet"/>
        <w:spacing w:after="60"/>
      </w:pPr>
      <w:r>
        <w:rPr>
          <w:color w:val="444433"/>
          <w:sz w:val="21"/>
        </w:rPr>
        <w:t>RISCO DE LIQUIDEZ: Carteira ilíquida até cessão ao FIDC. Mitigação: originação diversificada e linha de crédito bancária como backstop.</w:t>
      </w:r>
    </w:p>
    <w:p>
      <w:pPr>
        <w:pStyle w:val="ListBullet"/>
        <w:spacing w:after="60"/>
      </w:pPr>
      <w:r>
        <w:rPr>
          <w:color w:val="444433"/>
          <w:sz w:val="21"/>
        </w:rPr>
        <w:t>RISCO TRIBUTÁRIO: SCDs têm tributação de instituição financeira (IR 25% + CSLL 20% = 45% sobre lucro). Mitigação: planejamento tributário via JCP e estrutura holding.</w:t>
      </w:r>
    </w:p>
    <w:p>
      <w:pPr>
        <w:pStyle w:val="ListBullet"/>
        <w:spacing w:after="60"/>
      </w:pPr>
      <w:r>
        <w:rPr>
          <w:color w:val="444433"/>
          <w:sz w:val="21"/>
        </w:rPr>
        <w:t>RISCO DE CONCENTRAÇÃO: Dependência de poucos investidores qualificados no FIDC. Mitigação: diversificação da base de cotistas e múltiplas séries.</w:t>
      </w:r>
    </w:p>
    <w:p>
      <w:r>
        <w:br w:type="page"/>
      </w:r>
    </w:p>
    <w:p>
      <w:pPr>
        <w:spacing w:before="280" w:after="120"/>
      </w:pPr>
      <w:r>
        <w:rPr>
          <w:b/>
          <w:color w:val="27AE60"/>
          <w:sz w:val="34"/>
        </w:rPr>
        <w:t>4. TRIBUTAÇÃO E PLANEJAMENTO FISCAL — SCD</w:t>
      </w:r>
    </w:p>
    <w:p>
      <w:pPr>
        <w:spacing w:before="80" w:after="80"/>
        <w:pBdr>
          <w:bottom w:val="single" w:sz="6" w:space="1" w:color="27AE60"/>
        </w:pBdr>
      </w:pPr>
    </w:p>
    <w:p>
      <w:pPr>
        <w:spacing w:after="120" w:before="40"/>
      </w:pPr>
      <w:r>
        <w:rPr>
          <w:b w:val="0"/>
          <w:i w:val="0"/>
          <w:color w:val="334438"/>
          <w:sz w:val="21"/>
        </w:rPr>
        <w:t>A SCD é classificada como instituição financeira pelo Banco Central, o que implica tributação diferenciada (mais onerosa) em comparação a empresas não-financeiras:</w:t>
      </w:r>
    </w:p>
    <w:p>
      <w:pPr>
        <w:spacing w:before="160" w:after="120"/>
      </w:pPr>
      <w:r>
        <w:rPr>
          <w:b/>
          <w:color w:val="F39C12"/>
          <w:sz w:val="26"/>
        </w:rPr>
        <w:t>4.1 Tributos Incidentes sobre a SCD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728"/>
            <w:shd w:val="clear" w:color="auto" w:fill="0A2A1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Tributo</w:t>
            </w:r>
          </w:p>
        </w:tc>
        <w:tc>
          <w:tcPr>
            <w:tcW w:type="dxa" w:w="2160"/>
            <w:shd w:val="clear" w:color="auto" w:fill="0A2A1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Base de Cálculo</w:t>
            </w:r>
          </w:p>
        </w:tc>
        <w:tc>
          <w:tcPr>
            <w:tcW w:type="dxa" w:w="1440"/>
            <w:shd w:val="clear" w:color="auto" w:fill="0A2A1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Alíquota SCD</w:t>
            </w:r>
          </w:p>
        </w:tc>
        <w:tc>
          <w:tcPr>
            <w:tcW w:type="dxa" w:w="2016"/>
            <w:shd w:val="clear" w:color="auto" w:fill="0A2A1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Alíquota Empresa Comum</w:t>
            </w:r>
          </w:p>
        </w:tc>
        <w:tc>
          <w:tcPr>
            <w:tcW w:type="dxa" w:w="3168"/>
            <w:shd w:val="clear" w:color="auto" w:fill="0A2A1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Observação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color w:val="1A1A2A"/>
                <w:sz w:val="19"/>
              </w:rPr>
              <w:t>IRPJ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A1A2A"/>
                <w:sz w:val="19"/>
              </w:rPr>
              <w:t>Lucro Real/Presumido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2A"/>
                <w:sz w:val="19"/>
              </w:rPr>
              <w:t>25%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A1A2A"/>
                <w:sz w:val="19"/>
              </w:rPr>
              <w:t>15% + adic. 10%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A1A2A"/>
                <w:sz w:val="19"/>
              </w:rPr>
              <w:t>IFs: alíquota majorada de 25% flat</w:t>
            </w:r>
          </w:p>
        </w:tc>
      </w:tr>
      <w:tr>
        <w:tc>
          <w:tcPr>
            <w:tcW w:type="dxa" w:w="1728"/>
            <w:shd w:val="clear" w:color="auto" w:fill="EBF7EE"/>
          </w:tcPr>
          <w:p>
            <w:r>
              <w:rPr>
                <w:color w:val="1A1A2A"/>
                <w:sz w:val="19"/>
              </w:rPr>
              <w:t>CSLL</w:t>
            </w:r>
          </w:p>
        </w:tc>
        <w:tc>
          <w:tcPr>
            <w:tcW w:type="dxa" w:w="2160"/>
            <w:shd w:val="clear" w:color="auto" w:fill="EBF7EE"/>
          </w:tcPr>
          <w:p>
            <w:r>
              <w:rPr>
                <w:color w:val="1A1A2A"/>
                <w:sz w:val="19"/>
              </w:rPr>
              <w:t>Lucro ajustado</w:t>
            </w:r>
          </w:p>
        </w:tc>
        <w:tc>
          <w:tcPr>
            <w:tcW w:type="dxa" w:w="1440"/>
            <w:shd w:val="clear" w:color="auto" w:fill="EBF7EE"/>
          </w:tcPr>
          <w:p>
            <w:r>
              <w:rPr>
                <w:color w:val="1A1A2A"/>
                <w:sz w:val="19"/>
              </w:rPr>
              <w:t>20%</w:t>
            </w:r>
          </w:p>
        </w:tc>
        <w:tc>
          <w:tcPr>
            <w:tcW w:type="dxa" w:w="2016"/>
            <w:shd w:val="clear" w:color="auto" w:fill="EBF7EE"/>
          </w:tcPr>
          <w:p>
            <w:r>
              <w:rPr>
                <w:color w:val="1A1A2A"/>
                <w:sz w:val="19"/>
              </w:rPr>
              <w:t>9%</w:t>
            </w:r>
          </w:p>
        </w:tc>
        <w:tc>
          <w:tcPr>
            <w:tcW w:type="dxa" w:w="3168"/>
            <w:shd w:val="clear" w:color="auto" w:fill="EBF7EE"/>
          </w:tcPr>
          <w:p>
            <w:r>
              <w:rPr>
                <w:color w:val="1A1A2A"/>
                <w:sz w:val="19"/>
              </w:rPr>
              <w:t>IFs: 20% (vs 9% para outras empresas)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color w:val="1A1A2A"/>
                <w:sz w:val="19"/>
              </w:rPr>
              <w:t>PIS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A1A2A"/>
                <w:sz w:val="19"/>
              </w:rPr>
              <w:t>Receita bruta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2A"/>
                <w:sz w:val="19"/>
              </w:rPr>
              <w:t>0,65%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A1A2A"/>
                <w:sz w:val="19"/>
              </w:rPr>
              <w:t>0,65%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A1A2A"/>
                <w:sz w:val="19"/>
              </w:rPr>
              <w:t>Receitas financeiras: Decreto 8.426/2015</w:t>
            </w:r>
          </w:p>
        </w:tc>
      </w:tr>
      <w:tr>
        <w:tc>
          <w:tcPr>
            <w:tcW w:type="dxa" w:w="1728"/>
            <w:shd w:val="clear" w:color="auto" w:fill="EBF7EE"/>
          </w:tcPr>
          <w:p>
            <w:r>
              <w:rPr>
                <w:color w:val="1A1A2A"/>
                <w:sz w:val="19"/>
              </w:rPr>
              <w:t>COFINS</w:t>
            </w:r>
          </w:p>
        </w:tc>
        <w:tc>
          <w:tcPr>
            <w:tcW w:type="dxa" w:w="2160"/>
            <w:shd w:val="clear" w:color="auto" w:fill="EBF7EE"/>
          </w:tcPr>
          <w:p>
            <w:r>
              <w:rPr>
                <w:color w:val="1A1A2A"/>
                <w:sz w:val="19"/>
              </w:rPr>
              <w:t>Receita bruta</w:t>
            </w:r>
          </w:p>
        </w:tc>
        <w:tc>
          <w:tcPr>
            <w:tcW w:type="dxa" w:w="1440"/>
            <w:shd w:val="clear" w:color="auto" w:fill="EBF7EE"/>
          </w:tcPr>
          <w:p>
            <w:r>
              <w:rPr>
                <w:color w:val="1A1A2A"/>
                <w:sz w:val="19"/>
              </w:rPr>
              <w:t>4,00%</w:t>
            </w:r>
          </w:p>
        </w:tc>
        <w:tc>
          <w:tcPr>
            <w:tcW w:type="dxa" w:w="2016"/>
            <w:shd w:val="clear" w:color="auto" w:fill="EBF7EE"/>
          </w:tcPr>
          <w:p>
            <w:r>
              <w:rPr>
                <w:color w:val="1A1A2A"/>
                <w:sz w:val="19"/>
              </w:rPr>
              <w:t>3% (não-cumulativo)</w:t>
            </w:r>
          </w:p>
        </w:tc>
        <w:tc>
          <w:tcPr>
            <w:tcW w:type="dxa" w:w="3168"/>
            <w:shd w:val="clear" w:color="auto" w:fill="EBF7EE"/>
          </w:tcPr>
          <w:p>
            <w:r>
              <w:rPr>
                <w:color w:val="1A1A2A"/>
                <w:sz w:val="19"/>
              </w:rPr>
              <w:t>IFs: regime cumulativo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color w:val="1A1A2A"/>
                <w:sz w:val="19"/>
              </w:rPr>
              <w:t>ISS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A1A2A"/>
                <w:sz w:val="19"/>
              </w:rPr>
              <w:t>Receita de serviços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2A"/>
                <w:sz w:val="19"/>
              </w:rPr>
              <w:t>2%–5%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A1A2A"/>
                <w:sz w:val="19"/>
              </w:rPr>
              <w:t>2%–5%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A1A2A"/>
                <w:sz w:val="19"/>
              </w:rPr>
              <w:t>Depende do município</w:t>
            </w:r>
          </w:p>
        </w:tc>
      </w:tr>
      <w:tr>
        <w:tc>
          <w:tcPr>
            <w:tcW w:type="dxa" w:w="1728"/>
            <w:shd w:val="clear" w:color="auto" w:fill="EBF7EE"/>
          </w:tcPr>
          <w:p>
            <w:r>
              <w:rPr>
                <w:color w:val="1A1A2A"/>
                <w:sz w:val="19"/>
              </w:rPr>
              <w:t>IOF/Crédito</w:t>
            </w:r>
          </w:p>
        </w:tc>
        <w:tc>
          <w:tcPr>
            <w:tcW w:type="dxa" w:w="2160"/>
            <w:shd w:val="clear" w:color="auto" w:fill="EBF7EE"/>
          </w:tcPr>
          <w:p>
            <w:r>
              <w:rPr>
                <w:color w:val="1A1A2A"/>
                <w:sz w:val="19"/>
              </w:rPr>
              <w:t>Saldo devedor do empréstimo</w:t>
            </w:r>
          </w:p>
        </w:tc>
        <w:tc>
          <w:tcPr>
            <w:tcW w:type="dxa" w:w="1440"/>
            <w:shd w:val="clear" w:color="auto" w:fill="EBF7EE"/>
          </w:tcPr>
          <w:p>
            <w:r>
              <w:rPr>
                <w:color w:val="1A1A2A"/>
                <w:sz w:val="19"/>
              </w:rPr>
              <w:t>0,0082%/dia</w:t>
            </w:r>
          </w:p>
        </w:tc>
        <w:tc>
          <w:tcPr>
            <w:tcW w:type="dxa" w:w="2016"/>
            <w:shd w:val="clear" w:color="auto" w:fill="EBF7EE"/>
          </w:tcPr>
          <w:p>
            <w:r>
              <w:rPr>
                <w:color w:val="1A1A2A"/>
                <w:sz w:val="19"/>
              </w:rPr>
              <w:t>N/A</w:t>
            </w:r>
          </w:p>
        </w:tc>
        <w:tc>
          <w:tcPr>
            <w:tcW w:type="dxa" w:w="3168"/>
            <w:shd w:val="clear" w:color="auto" w:fill="EBF7EE"/>
          </w:tcPr>
          <w:p>
            <w:r>
              <w:rPr>
                <w:color w:val="1A1A2A"/>
                <w:sz w:val="19"/>
              </w:rPr>
              <w:t>= 3% a.a. sobre saldo médio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color w:val="1A1A2A"/>
                <w:sz w:val="19"/>
              </w:rPr>
              <w:t>IOF/Câmbio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A1A2A"/>
                <w:sz w:val="19"/>
              </w:rPr>
              <w:t>Conversão de moedas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2A"/>
                <w:sz w:val="19"/>
              </w:rPr>
              <w:t>0,38%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A1A2A"/>
                <w:sz w:val="19"/>
              </w:rPr>
              <w:t>0,38%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A1A2A"/>
                <w:sz w:val="19"/>
              </w:rPr>
              <w:t>Aplicável em remessas ao exterior</w:t>
            </w:r>
          </w:p>
        </w:tc>
      </w:tr>
      <w:tr>
        <w:tc>
          <w:tcPr>
            <w:tcW w:type="dxa" w:w="1728"/>
            <w:shd w:val="clear" w:color="auto" w:fill="EBF7EE"/>
          </w:tcPr>
          <w:p>
            <w:r>
              <w:rPr>
                <w:color w:val="1A1A2A"/>
                <w:sz w:val="19"/>
              </w:rPr>
              <w:t>CPMF (prop.)</w:t>
            </w:r>
          </w:p>
        </w:tc>
        <w:tc>
          <w:tcPr>
            <w:tcW w:type="dxa" w:w="2160"/>
            <w:shd w:val="clear" w:color="auto" w:fill="EBF7EE"/>
          </w:tcPr>
          <w:p>
            <w:r>
              <w:rPr>
                <w:color w:val="1A1A2A"/>
                <w:sz w:val="19"/>
              </w:rPr>
              <w:t>Movimentações financeiras</w:t>
            </w:r>
          </w:p>
        </w:tc>
        <w:tc>
          <w:tcPr>
            <w:tcW w:type="dxa" w:w="1440"/>
            <w:shd w:val="clear" w:color="auto" w:fill="EBF7EE"/>
          </w:tcPr>
          <w:p>
            <w:r>
              <w:rPr>
                <w:color w:val="1A1A2A"/>
                <w:sz w:val="19"/>
              </w:rPr>
              <w:t>Não vigente</w:t>
            </w:r>
          </w:p>
        </w:tc>
        <w:tc>
          <w:tcPr>
            <w:tcW w:type="dxa" w:w="2016"/>
            <w:shd w:val="clear" w:color="auto" w:fill="EBF7EE"/>
          </w:tcPr>
          <w:p>
            <w:r>
              <w:rPr>
                <w:color w:val="1A1A2A"/>
                <w:sz w:val="19"/>
              </w:rPr>
              <w:t>Não vigente</w:t>
            </w:r>
          </w:p>
        </w:tc>
        <w:tc>
          <w:tcPr>
            <w:tcW w:type="dxa" w:w="3168"/>
            <w:shd w:val="clear" w:color="auto" w:fill="EBF7EE"/>
          </w:tcPr>
          <w:p>
            <w:r>
              <w:rPr>
                <w:color w:val="1A1A2A"/>
                <w:sz w:val="19"/>
              </w:rPr>
              <w:t>Risco de reintrodução legislativa</w:t>
            </w:r>
          </w:p>
        </w:tc>
      </w:tr>
    </w:tbl>
    <w:p/>
    <w:p>
      <w:pPr>
        <w:spacing w:before="160" w:after="120"/>
      </w:pPr>
      <w:r>
        <w:rPr>
          <w:b/>
          <w:color w:val="F39C12"/>
          <w:sz w:val="26"/>
        </w:rPr>
        <w:t>4.2 Estratégias de Otimização Tributária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0E3520"/>
          </w:tcPr>
          <w:p/>
          <w:p>
            <w:pPr>
              <w:spacing w:before="120"/>
            </w:pPr>
            <w:r>
              <w:rPr>
                <w:b/>
                <w:color w:val="F39C12"/>
                <w:sz w:val="22"/>
              </w:rPr>
              <w:t>PLANEJAMENTO TRIBUTÁRIO — SCD NEXUS</w:t>
            </w:r>
          </w:p>
          <w:p>
            <w:pPr>
              <w:spacing w:after="40"/>
            </w:pPr>
            <w:r>
              <w:rPr>
                <w:color w:val="BBDDCC"/>
                <w:sz w:val="21"/>
              </w:rPr>
              <w:t>▸ JCP (Juros sobre Capital Próprio): dedução de até 50% do lucro como JCP — reduz base do IR/CSLL</w:t>
            </w:r>
          </w:p>
          <w:p>
            <w:pPr>
              <w:spacing w:after="40"/>
            </w:pPr>
            <w:r>
              <w:rPr>
                <w:color w:val="BBDDCC"/>
                <w:sz w:val="21"/>
              </w:rPr>
              <w:t>▸ Estrutura Holding: SCD como subsidiária de holding PJ — holding captura dividendos isentos de IR</w:t>
            </w:r>
          </w:p>
          <w:p>
            <w:pPr>
              <w:spacing w:after="40"/>
            </w:pPr>
            <w:r>
              <w:rPr>
                <w:color w:val="BBDDCC"/>
                <w:sz w:val="21"/>
              </w:rPr>
              <w:t>▸ Lucro Real obrigatório: permite dedução integral de despesas operacionais, inadimplência e provisões</w:t>
            </w:r>
          </w:p>
          <w:p>
            <w:pPr>
              <w:spacing w:after="40"/>
            </w:pPr>
            <w:r>
              <w:rPr>
                <w:color w:val="BBDDCC"/>
                <w:sz w:val="21"/>
              </w:rPr>
              <w:t>▸ Provisão para Devedores Duvidosos (PDD): dedutível do IR na proporção do risco calculado pelo BACEN</w:t>
            </w:r>
          </w:p>
          <w:p>
            <w:pPr>
              <w:spacing w:after="40"/>
            </w:pPr>
            <w:r>
              <w:rPr>
                <w:color w:val="BBDDCC"/>
                <w:sz w:val="21"/>
              </w:rPr>
              <w:t>▸ Incentivos Regionais: instalação em ZPE (Zona de Processamento de Exportações) ou SUFRAMA pode gerar créditos tributários</w:t>
            </w:r>
          </w:p>
          <w:p>
            <w:pPr>
              <w:spacing w:after="40"/>
            </w:pPr>
            <w:r>
              <w:rPr>
                <w:color w:val="BBDDCC"/>
                <w:sz w:val="21"/>
              </w:rPr>
              <w:t>▸ FIDC como hedge fiscal: cessão de carteira ao FIDC transfere tributação para cotistas (que podem ser isentos — ex: FII/FIP)</w:t>
            </w:r>
          </w:p>
          <w:p>
            <w:pPr>
              <w:spacing w:after="40"/>
            </w:pPr>
            <w:r>
              <w:rPr>
                <w:color w:val="BBDDCC"/>
                <w:sz w:val="21"/>
              </w:rPr>
              <w:t>▸ Benefícios da Lei do Bem (inovação tecnológica): despesas com P&amp;D (MACRO HASH, IA) podem ser deduzidas em 160% do valor real</w:t>
            </w:r>
          </w:p>
          <w:p>
            <w:pPr>
              <w:spacing w:after="120"/>
            </w:pPr>
          </w:p>
        </w:tc>
      </w:tr>
    </w:tbl>
    <w:p/>
    <w:p>
      <w:pPr>
        <w:spacing w:before="160" w:after="120"/>
      </w:pPr>
      <w:r>
        <w:rPr>
          <w:b/>
          <w:color w:val="F39C12"/>
          <w:sz w:val="26"/>
        </w:rPr>
        <w:t>4.3 Carga Tributária Efetiva — Simulação para Pitch</w:t>
      </w:r>
    </w:p>
    <w:p>
      <w:pPr>
        <w:spacing w:after="120" w:before="40"/>
      </w:pPr>
      <w:r>
        <w:rPr>
          <w:b w:val="0"/>
          <w:i w:val="0"/>
          <w:color w:val="334438"/>
          <w:sz w:val="21"/>
        </w:rPr>
        <w:t>Simulação baseada em R$ 10M de lucro antes dos impostos no Ano 3, com planejamento tributário otimizado: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600"/>
            <w:shd w:val="clear" w:color="auto" w:fill="0A2A1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880"/>
            <w:shd w:val="clear" w:color="auto" w:fill="0A2A1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Sem Planejamento</w:t>
            </w:r>
          </w:p>
        </w:tc>
        <w:tc>
          <w:tcPr>
            <w:tcW w:type="dxa" w:w="3600"/>
            <w:shd w:val="clear" w:color="auto" w:fill="0A2A1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 Planejamento Tributário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A1A2A"/>
                <w:sz w:val="19"/>
              </w:rPr>
              <w:t>Lucro Antes do IR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1A1A2A"/>
                <w:sz w:val="19"/>
              </w:rPr>
              <w:t>R$ 10.000.000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2A"/>
                <w:sz w:val="19"/>
              </w:rPr>
              <w:t>R$ 10.000.000</w:t>
            </w:r>
          </w:p>
        </w:tc>
      </w:tr>
      <w:tr>
        <w:tc>
          <w:tcPr>
            <w:tcW w:type="dxa" w:w="3600"/>
            <w:shd w:val="clear" w:color="auto" w:fill="EBF7EE"/>
          </w:tcPr>
          <w:p>
            <w:r>
              <w:rPr>
                <w:color w:val="1A1A2A"/>
                <w:sz w:val="19"/>
              </w:rPr>
              <w:t>(-) JCP Dedutível</w:t>
            </w:r>
          </w:p>
        </w:tc>
        <w:tc>
          <w:tcPr>
            <w:tcW w:type="dxa" w:w="2880"/>
            <w:shd w:val="clear" w:color="auto" w:fill="EBF7EE"/>
          </w:tcPr>
          <w:p>
            <w:r>
              <w:rPr>
                <w:color w:val="1A1A2A"/>
                <w:sz w:val="19"/>
              </w:rPr>
              <w:t>—</w:t>
            </w:r>
          </w:p>
        </w:tc>
        <w:tc>
          <w:tcPr>
            <w:tcW w:type="dxa" w:w="3600"/>
            <w:shd w:val="clear" w:color="auto" w:fill="EBF7EE"/>
          </w:tcPr>
          <w:p>
            <w:r>
              <w:rPr>
                <w:color w:val="1A1A2A"/>
                <w:sz w:val="19"/>
              </w:rPr>
              <w:t>R$ 3.000.000 (30% do PL)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A1A2A"/>
                <w:sz w:val="19"/>
              </w:rPr>
              <w:t>Base de Cálculo IR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1A1A2A"/>
                <w:sz w:val="19"/>
              </w:rPr>
              <w:t>R$ 10.000.000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2A"/>
                <w:sz w:val="19"/>
              </w:rPr>
              <w:t>R$ 7.000.000</w:t>
            </w:r>
          </w:p>
        </w:tc>
      </w:tr>
      <w:tr>
        <w:tc>
          <w:tcPr>
            <w:tcW w:type="dxa" w:w="3600"/>
            <w:shd w:val="clear" w:color="auto" w:fill="EBF7EE"/>
          </w:tcPr>
          <w:p>
            <w:r>
              <w:rPr>
                <w:color w:val="1A1A2A"/>
                <w:sz w:val="19"/>
              </w:rPr>
              <w:t>IRPJ (25%)</w:t>
            </w:r>
          </w:p>
        </w:tc>
        <w:tc>
          <w:tcPr>
            <w:tcW w:type="dxa" w:w="2880"/>
            <w:shd w:val="clear" w:color="auto" w:fill="EBF7EE"/>
          </w:tcPr>
          <w:p>
            <w:r>
              <w:rPr>
                <w:color w:val="1A1A2A"/>
                <w:sz w:val="19"/>
              </w:rPr>
              <w:t>R$ 2.500.000</w:t>
            </w:r>
          </w:p>
        </w:tc>
        <w:tc>
          <w:tcPr>
            <w:tcW w:type="dxa" w:w="3600"/>
            <w:shd w:val="clear" w:color="auto" w:fill="EBF7EE"/>
          </w:tcPr>
          <w:p>
            <w:r>
              <w:rPr>
                <w:color w:val="1A1A2A"/>
                <w:sz w:val="19"/>
              </w:rPr>
              <w:t>R$ 1.750.000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A1A2A"/>
                <w:sz w:val="19"/>
              </w:rPr>
              <w:t>CSLL (20%)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1A1A2A"/>
                <w:sz w:val="19"/>
              </w:rPr>
              <w:t>R$ 2.000.000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2A"/>
                <w:sz w:val="19"/>
              </w:rPr>
              <w:t>R$ 1.400.000</w:t>
            </w:r>
          </w:p>
        </w:tc>
      </w:tr>
      <w:tr>
        <w:tc>
          <w:tcPr>
            <w:tcW w:type="dxa" w:w="3600"/>
            <w:shd w:val="clear" w:color="auto" w:fill="EBF7EE"/>
          </w:tcPr>
          <w:p>
            <w:r>
              <w:rPr>
                <w:color w:val="1A1A2A"/>
                <w:sz w:val="19"/>
              </w:rPr>
              <w:t>PIS/COFINS (4,65% receita)</w:t>
            </w:r>
          </w:p>
        </w:tc>
        <w:tc>
          <w:tcPr>
            <w:tcW w:type="dxa" w:w="2880"/>
            <w:shd w:val="clear" w:color="auto" w:fill="EBF7EE"/>
          </w:tcPr>
          <w:p>
            <w:r>
              <w:rPr>
                <w:color w:val="1A1A2A"/>
                <w:sz w:val="19"/>
              </w:rPr>
              <w:t>R$ 1.395.000</w:t>
            </w:r>
          </w:p>
        </w:tc>
        <w:tc>
          <w:tcPr>
            <w:tcW w:type="dxa" w:w="3600"/>
            <w:shd w:val="clear" w:color="auto" w:fill="EBF7EE"/>
          </w:tcPr>
          <w:p>
            <w:r>
              <w:rPr>
                <w:color w:val="1A1A2A"/>
                <w:sz w:val="19"/>
              </w:rPr>
              <w:t>R$ 1.395.000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A1A2A"/>
                <w:sz w:val="19"/>
              </w:rPr>
              <w:t>Total Tributos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1A1A2A"/>
                <w:sz w:val="19"/>
              </w:rPr>
              <w:t>R$ 5.895.000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2A"/>
                <w:sz w:val="19"/>
              </w:rPr>
              <w:t>R$ 4.545.000</w:t>
            </w:r>
          </w:p>
        </w:tc>
      </w:tr>
      <w:tr>
        <w:tc>
          <w:tcPr>
            <w:tcW w:type="dxa" w:w="3600"/>
            <w:shd w:val="clear" w:color="auto" w:fill="EBF7EE"/>
          </w:tcPr>
          <w:p>
            <w:r>
              <w:rPr>
                <w:color w:val="1A1A2A"/>
                <w:sz w:val="19"/>
              </w:rPr>
              <w:t>Carga Tributária Efetiva</w:t>
            </w:r>
          </w:p>
        </w:tc>
        <w:tc>
          <w:tcPr>
            <w:tcW w:type="dxa" w:w="2880"/>
            <w:shd w:val="clear" w:color="auto" w:fill="EBF7EE"/>
          </w:tcPr>
          <w:p>
            <w:r>
              <w:rPr>
                <w:color w:val="1A1A2A"/>
                <w:sz w:val="19"/>
              </w:rPr>
              <w:t>58,9%</w:t>
            </w:r>
          </w:p>
        </w:tc>
        <w:tc>
          <w:tcPr>
            <w:tcW w:type="dxa" w:w="3600"/>
            <w:shd w:val="clear" w:color="auto" w:fill="EBF7EE"/>
          </w:tcPr>
          <w:p>
            <w:r>
              <w:rPr>
                <w:color w:val="1A1A2A"/>
                <w:sz w:val="19"/>
              </w:rPr>
              <w:t>45,4%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A1A2A"/>
                <w:sz w:val="19"/>
              </w:rPr>
              <w:t>Lucro Líquido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1A1A2A"/>
                <w:sz w:val="19"/>
              </w:rPr>
              <w:t>R$ 4.105.000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2A"/>
                <w:sz w:val="19"/>
              </w:rPr>
              <w:t>R$ 5.455.000</w:t>
            </w:r>
          </w:p>
        </w:tc>
      </w:tr>
    </w:tbl>
    <w:p/>
    <w:p>
      <w:r>
        <w:br w:type="page"/>
      </w:r>
    </w:p>
    <w:p>
      <w:pPr>
        <w:spacing w:before="280" w:after="120"/>
      </w:pPr>
      <w:r>
        <w:rPr>
          <w:b/>
          <w:color w:val="27AE60"/>
          <w:sz w:val="34"/>
        </w:rPr>
        <w:t>5. MODELO FINANCEIRO — SCD NEXUS</w:t>
      </w:r>
    </w:p>
    <w:p>
      <w:pPr>
        <w:spacing w:before="80" w:after="80"/>
        <w:pBdr>
          <w:bottom w:val="single" w:sz="6" w:space="1" w:color="27AE60"/>
        </w:pBdr>
      </w:pPr>
    </w:p>
    <w:p>
      <w:pPr>
        <w:spacing w:before="160" w:after="120"/>
      </w:pPr>
      <w:r>
        <w:rPr>
          <w:b/>
          <w:color w:val="F39C12"/>
          <w:sz w:val="26"/>
        </w:rPr>
        <w:t>5.1 Estrutura de Capital e Funding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448"/>
            <w:shd w:val="clear" w:color="auto" w:fill="0A2A1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Instrumento</w:t>
            </w:r>
          </w:p>
        </w:tc>
        <w:tc>
          <w:tcPr>
            <w:tcW w:type="dxa" w:w="2016"/>
            <w:shd w:val="clear" w:color="auto" w:fill="0A2A1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Montante (Ano 1)</w:t>
            </w:r>
          </w:p>
        </w:tc>
        <w:tc>
          <w:tcPr>
            <w:tcW w:type="dxa" w:w="2160"/>
            <w:shd w:val="clear" w:color="auto" w:fill="0A2A1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Custo do Capital</w:t>
            </w:r>
          </w:p>
        </w:tc>
        <w:tc>
          <w:tcPr>
            <w:tcW w:type="dxa" w:w="1296"/>
            <w:shd w:val="clear" w:color="auto" w:fill="0A2A1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Prazo</w:t>
            </w:r>
          </w:p>
        </w:tc>
        <w:tc>
          <w:tcPr>
            <w:tcW w:type="dxa" w:w="3312"/>
            <w:shd w:val="clear" w:color="auto" w:fill="0A2A1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Investidores Alvo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color w:val="1A1A2A"/>
                <w:sz w:val="19"/>
              </w:rPr>
              <w:t>Capital Social (SCD)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A1A2A"/>
                <w:sz w:val="19"/>
              </w:rPr>
              <w:t>R$ 5.000.000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A1A2A"/>
                <w:sz w:val="19"/>
              </w:rPr>
              <w:t>Equity (retorno variável)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color w:val="1A1A2A"/>
                <w:sz w:val="19"/>
              </w:rPr>
              <w:t>Perpétuo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color w:val="1A1A2A"/>
                <w:sz w:val="19"/>
              </w:rPr>
              <w:t>Founders + Seed</w:t>
            </w:r>
          </w:p>
        </w:tc>
      </w:tr>
      <w:tr>
        <w:tc>
          <w:tcPr>
            <w:tcW w:type="dxa" w:w="2448"/>
            <w:shd w:val="clear" w:color="auto" w:fill="EBF7EE"/>
          </w:tcPr>
          <w:p>
            <w:r>
              <w:rPr>
                <w:color w:val="1A1A2A"/>
                <w:sz w:val="19"/>
              </w:rPr>
              <w:t>Debêntures Série 1</w:t>
            </w:r>
          </w:p>
        </w:tc>
        <w:tc>
          <w:tcPr>
            <w:tcW w:type="dxa" w:w="2016"/>
            <w:shd w:val="clear" w:color="auto" w:fill="EBF7EE"/>
          </w:tcPr>
          <w:p>
            <w:r>
              <w:rPr>
                <w:color w:val="1A1A2A"/>
                <w:sz w:val="19"/>
              </w:rPr>
              <w:t>R$ 20.000.000</w:t>
            </w:r>
          </w:p>
        </w:tc>
        <w:tc>
          <w:tcPr>
            <w:tcW w:type="dxa" w:w="2160"/>
            <w:shd w:val="clear" w:color="auto" w:fill="EBF7EE"/>
          </w:tcPr>
          <w:p>
            <w:r>
              <w:rPr>
                <w:color w:val="1A1A2A"/>
                <w:sz w:val="19"/>
              </w:rPr>
              <w:t>CDI + 8% a.a.</w:t>
            </w:r>
          </w:p>
        </w:tc>
        <w:tc>
          <w:tcPr>
            <w:tcW w:type="dxa" w:w="1296"/>
            <w:shd w:val="clear" w:color="auto" w:fill="EBF7EE"/>
          </w:tcPr>
          <w:p>
            <w:r>
              <w:rPr>
                <w:color w:val="1A1A2A"/>
                <w:sz w:val="19"/>
              </w:rPr>
              <w:t>36 meses</w:t>
            </w:r>
          </w:p>
        </w:tc>
        <w:tc>
          <w:tcPr>
            <w:tcW w:type="dxa" w:w="3312"/>
            <w:shd w:val="clear" w:color="auto" w:fill="EBF7EE"/>
          </w:tcPr>
          <w:p>
            <w:r>
              <w:rPr>
                <w:color w:val="1A1A2A"/>
                <w:sz w:val="19"/>
              </w:rPr>
              <w:t>Investidores qualificados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color w:val="1A1A2A"/>
                <w:sz w:val="19"/>
              </w:rPr>
              <w:t>FIDC Sênior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A1A2A"/>
                <w:sz w:val="19"/>
              </w:rPr>
              <w:t>R$ 50.000.000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A1A2A"/>
                <w:sz w:val="19"/>
              </w:rPr>
              <w:t>CDI + 4% a.a.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color w:val="1A1A2A"/>
                <w:sz w:val="19"/>
              </w:rPr>
              <w:t>24 meses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color w:val="1A1A2A"/>
                <w:sz w:val="19"/>
              </w:rPr>
              <w:t>Fundos, FPCPs, Family Offices</w:t>
            </w:r>
          </w:p>
        </w:tc>
      </w:tr>
      <w:tr>
        <w:tc>
          <w:tcPr>
            <w:tcW w:type="dxa" w:w="2448"/>
            <w:shd w:val="clear" w:color="auto" w:fill="EBF7EE"/>
          </w:tcPr>
          <w:p>
            <w:r>
              <w:rPr>
                <w:color w:val="1A1A2A"/>
                <w:sz w:val="19"/>
              </w:rPr>
              <w:t>FIDC Júnior/Mezanino</w:t>
            </w:r>
          </w:p>
        </w:tc>
        <w:tc>
          <w:tcPr>
            <w:tcW w:type="dxa" w:w="2016"/>
            <w:shd w:val="clear" w:color="auto" w:fill="EBF7EE"/>
          </w:tcPr>
          <w:p>
            <w:r>
              <w:rPr>
                <w:color w:val="1A1A2A"/>
                <w:sz w:val="19"/>
              </w:rPr>
              <w:t>R$ 15.000.000</w:t>
            </w:r>
          </w:p>
        </w:tc>
        <w:tc>
          <w:tcPr>
            <w:tcW w:type="dxa" w:w="2160"/>
            <w:shd w:val="clear" w:color="auto" w:fill="EBF7EE"/>
          </w:tcPr>
          <w:p>
            <w:r>
              <w:rPr>
                <w:color w:val="1A1A2A"/>
                <w:sz w:val="19"/>
              </w:rPr>
              <w:t>CDI + 18% a.a.</w:t>
            </w:r>
          </w:p>
        </w:tc>
        <w:tc>
          <w:tcPr>
            <w:tcW w:type="dxa" w:w="1296"/>
            <w:shd w:val="clear" w:color="auto" w:fill="EBF7EE"/>
          </w:tcPr>
          <w:p>
            <w:r>
              <w:rPr>
                <w:color w:val="1A1A2A"/>
                <w:sz w:val="19"/>
              </w:rPr>
              <w:t>24 meses</w:t>
            </w:r>
          </w:p>
        </w:tc>
        <w:tc>
          <w:tcPr>
            <w:tcW w:type="dxa" w:w="3312"/>
            <w:shd w:val="clear" w:color="auto" w:fill="EBF7EE"/>
          </w:tcPr>
          <w:p>
            <w:r>
              <w:rPr>
                <w:color w:val="1A1A2A"/>
                <w:sz w:val="19"/>
              </w:rPr>
              <w:t>Aplicantes NEXUS (plataforma)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color w:val="1A1A2A"/>
                <w:sz w:val="19"/>
              </w:rPr>
              <w:t>Linha Bancária (BaaS)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A1A2A"/>
                <w:sz w:val="19"/>
              </w:rPr>
              <w:t>R$ 10.000.000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A1A2A"/>
                <w:sz w:val="19"/>
              </w:rPr>
              <w:t>CDI + 6% a.a.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color w:val="1A1A2A"/>
                <w:sz w:val="19"/>
              </w:rPr>
              <w:t>12 meses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color w:val="1A1A2A"/>
                <w:sz w:val="19"/>
              </w:rPr>
              <w:t>Banco parceiro (BS2, BV, etc.)</w:t>
            </w:r>
          </w:p>
        </w:tc>
      </w:tr>
      <w:tr>
        <w:tc>
          <w:tcPr>
            <w:tcW w:type="dxa" w:w="2448"/>
            <w:shd w:val="clear" w:color="auto" w:fill="EBF7EE"/>
          </w:tcPr>
          <w:p>
            <w:r>
              <w:rPr>
                <w:color w:val="1A1A2A"/>
                <w:sz w:val="19"/>
              </w:rPr>
              <w:t>TOTAL ANO 1</w:t>
            </w:r>
          </w:p>
        </w:tc>
        <w:tc>
          <w:tcPr>
            <w:tcW w:type="dxa" w:w="2016"/>
            <w:shd w:val="clear" w:color="auto" w:fill="EBF7EE"/>
          </w:tcPr>
          <w:p>
            <w:r>
              <w:rPr>
                <w:color w:val="1A1A2A"/>
                <w:sz w:val="19"/>
              </w:rPr>
              <w:t>R$ 100.000.000</w:t>
            </w:r>
          </w:p>
        </w:tc>
        <w:tc>
          <w:tcPr>
            <w:tcW w:type="dxa" w:w="2160"/>
            <w:shd w:val="clear" w:color="auto" w:fill="EBF7EE"/>
          </w:tcPr>
          <w:p>
            <w:r>
              <w:rPr>
                <w:color w:val="1A1A2A"/>
                <w:sz w:val="19"/>
              </w:rPr>
              <w:t>CDI + ~7% (média ponderada)</w:t>
            </w:r>
          </w:p>
        </w:tc>
        <w:tc>
          <w:tcPr>
            <w:tcW w:type="dxa" w:w="1296"/>
            <w:shd w:val="clear" w:color="auto" w:fill="EBF7EE"/>
          </w:tcPr>
          <w:p>
            <w:r>
              <w:rPr>
                <w:color w:val="1A1A2A"/>
                <w:sz w:val="19"/>
              </w:rPr>
              <w:t>—</w:t>
            </w:r>
          </w:p>
        </w:tc>
        <w:tc>
          <w:tcPr>
            <w:tcW w:type="dxa" w:w="3312"/>
            <w:shd w:val="clear" w:color="auto" w:fill="EBF7EE"/>
          </w:tcPr>
          <w:p>
            <w:r>
              <w:rPr>
                <w:color w:val="1A1A2A"/>
                <w:sz w:val="19"/>
              </w:rPr>
              <w:t>—</w:t>
            </w:r>
          </w:p>
        </w:tc>
      </w:tr>
    </w:tbl>
    <w:p/>
    <w:p>
      <w:pPr>
        <w:spacing w:before="160" w:after="120"/>
      </w:pPr>
      <w:r>
        <w:rPr>
          <w:b/>
          <w:color w:val="F39C12"/>
          <w:sz w:val="26"/>
        </w:rPr>
        <w:t>5.2 Projeção Financeira — 3 Anos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00"/>
            <w:shd w:val="clear" w:color="auto" w:fill="0A2A1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1872"/>
            <w:shd w:val="clear" w:color="auto" w:fill="0A2A1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Ano 1</w:t>
            </w:r>
          </w:p>
        </w:tc>
        <w:tc>
          <w:tcPr>
            <w:tcW w:type="dxa" w:w="1872"/>
            <w:shd w:val="clear" w:color="auto" w:fill="0A2A1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Ano 2</w:t>
            </w:r>
          </w:p>
        </w:tc>
        <w:tc>
          <w:tcPr>
            <w:tcW w:type="dxa" w:w="1872"/>
            <w:shd w:val="clear" w:color="auto" w:fill="0A2A1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Ano 3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A1A2A"/>
                <w:sz w:val="19"/>
              </w:rPr>
              <w:t>Cartões Ativos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2A"/>
                <w:sz w:val="19"/>
              </w:rPr>
              <w:t>25.000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2A"/>
                <w:sz w:val="19"/>
              </w:rPr>
              <w:t>80.000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2A"/>
                <w:sz w:val="19"/>
              </w:rPr>
              <w:t>200.000</w:t>
            </w:r>
          </w:p>
        </w:tc>
      </w:tr>
      <w:tr>
        <w:tc>
          <w:tcPr>
            <w:tcW w:type="dxa" w:w="3600"/>
            <w:shd w:val="clear" w:color="auto" w:fill="EBF7EE"/>
          </w:tcPr>
          <w:p>
            <w:r>
              <w:rPr>
                <w:color w:val="1A1A2A"/>
                <w:sz w:val="19"/>
              </w:rPr>
              <w:t>Carteira de Crédito Ativa</w:t>
            </w:r>
          </w:p>
        </w:tc>
        <w:tc>
          <w:tcPr>
            <w:tcW w:type="dxa" w:w="1872"/>
            <w:shd w:val="clear" w:color="auto" w:fill="EBF7EE"/>
          </w:tcPr>
          <w:p>
            <w:r>
              <w:rPr>
                <w:color w:val="1A1A2A"/>
                <w:sz w:val="19"/>
              </w:rPr>
              <w:t>R$ 37M</w:t>
            </w:r>
          </w:p>
        </w:tc>
        <w:tc>
          <w:tcPr>
            <w:tcW w:type="dxa" w:w="1872"/>
            <w:shd w:val="clear" w:color="auto" w:fill="EBF7EE"/>
          </w:tcPr>
          <w:p>
            <w:r>
              <w:rPr>
                <w:color w:val="1A1A2A"/>
                <w:sz w:val="19"/>
              </w:rPr>
              <w:t>R$ 120M</w:t>
            </w:r>
          </w:p>
        </w:tc>
        <w:tc>
          <w:tcPr>
            <w:tcW w:type="dxa" w:w="1872"/>
            <w:shd w:val="clear" w:color="auto" w:fill="EBF7EE"/>
          </w:tcPr>
          <w:p>
            <w:r>
              <w:rPr>
                <w:color w:val="1A1A2A"/>
                <w:sz w:val="19"/>
              </w:rPr>
              <w:t>R$ 300M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A1A2A"/>
                <w:sz w:val="19"/>
              </w:rPr>
              <w:t>Receita MDR (3%)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2A"/>
                <w:sz w:val="19"/>
              </w:rPr>
              <w:t>R$ 9M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2A"/>
                <w:sz w:val="19"/>
              </w:rPr>
              <w:t>R$ 28M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2A"/>
                <w:sz w:val="19"/>
              </w:rPr>
              <w:t>R$ 72M</w:t>
            </w:r>
          </w:p>
        </w:tc>
      </w:tr>
      <w:tr>
        <w:tc>
          <w:tcPr>
            <w:tcW w:type="dxa" w:w="3600"/>
            <w:shd w:val="clear" w:color="auto" w:fill="EBF7EE"/>
          </w:tcPr>
          <w:p>
            <w:r>
              <w:rPr>
                <w:color w:val="1A1A2A"/>
                <w:sz w:val="19"/>
              </w:rPr>
              <w:t>Receita de Juros (6% a.m.)</w:t>
            </w:r>
          </w:p>
        </w:tc>
        <w:tc>
          <w:tcPr>
            <w:tcW w:type="dxa" w:w="1872"/>
            <w:shd w:val="clear" w:color="auto" w:fill="EBF7EE"/>
          </w:tcPr>
          <w:p>
            <w:r>
              <w:rPr>
                <w:color w:val="1A1A2A"/>
                <w:sz w:val="19"/>
              </w:rPr>
              <w:t>R$ 22M</w:t>
            </w:r>
          </w:p>
        </w:tc>
        <w:tc>
          <w:tcPr>
            <w:tcW w:type="dxa" w:w="1872"/>
            <w:shd w:val="clear" w:color="auto" w:fill="EBF7EE"/>
          </w:tcPr>
          <w:p>
            <w:r>
              <w:rPr>
                <w:color w:val="1A1A2A"/>
                <w:sz w:val="19"/>
              </w:rPr>
              <w:t>R$ 72M</w:t>
            </w:r>
          </w:p>
        </w:tc>
        <w:tc>
          <w:tcPr>
            <w:tcW w:type="dxa" w:w="1872"/>
            <w:shd w:val="clear" w:color="auto" w:fill="EBF7EE"/>
          </w:tcPr>
          <w:p>
            <w:r>
              <w:rPr>
                <w:color w:val="1A1A2A"/>
                <w:sz w:val="19"/>
              </w:rPr>
              <w:t>R$ 180M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A1A2A"/>
                <w:sz w:val="19"/>
              </w:rPr>
              <w:t>Receita Total Bruta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2A"/>
                <w:sz w:val="19"/>
              </w:rPr>
              <w:t>R$ 31M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2A"/>
                <w:sz w:val="19"/>
              </w:rPr>
              <w:t>R$ 100M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2A"/>
                <w:sz w:val="19"/>
              </w:rPr>
              <w:t>R$ 252M</w:t>
            </w:r>
          </w:p>
        </w:tc>
      </w:tr>
      <w:tr>
        <w:tc>
          <w:tcPr>
            <w:tcW w:type="dxa" w:w="3600"/>
            <w:shd w:val="clear" w:color="auto" w:fill="EBF7EE"/>
          </w:tcPr>
          <w:p>
            <w:r>
              <w:rPr>
                <w:color w:val="1A1A2A"/>
                <w:sz w:val="19"/>
              </w:rPr>
              <w:t>Custo Financeiro (FIDC/Debêntures)</w:t>
            </w:r>
          </w:p>
        </w:tc>
        <w:tc>
          <w:tcPr>
            <w:tcW w:type="dxa" w:w="1872"/>
            <w:shd w:val="clear" w:color="auto" w:fill="EBF7EE"/>
          </w:tcPr>
          <w:p>
            <w:r>
              <w:rPr>
                <w:color w:val="1A1A2A"/>
                <w:sz w:val="19"/>
              </w:rPr>
              <w:t>– R$ 8M</w:t>
            </w:r>
          </w:p>
        </w:tc>
        <w:tc>
          <w:tcPr>
            <w:tcW w:type="dxa" w:w="1872"/>
            <w:shd w:val="clear" w:color="auto" w:fill="EBF7EE"/>
          </w:tcPr>
          <w:p>
            <w:r>
              <w:rPr>
                <w:color w:val="1A1A2A"/>
                <w:sz w:val="19"/>
              </w:rPr>
              <w:t>– R$ 20M</w:t>
            </w:r>
          </w:p>
        </w:tc>
        <w:tc>
          <w:tcPr>
            <w:tcW w:type="dxa" w:w="1872"/>
            <w:shd w:val="clear" w:color="auto" w:fill="EBF7EE"/>
          </w:tcPr>
          <w:p>
            <w:r>
              <w:rPr>
                <w:color w:val="1A1A2A"/>
                <w:sz w:val="19"/>
              </w:rPr>
              <w:t>– R$ 40M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A1A2A"/>
                <w:sz w:val="19"/>
              </w:rPr>
              <w:t>Custo de Inadimplência (7%)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2A"/>
                <w:sz w:val="19"/>
              </w:rPr>
              <w:t>– R$ 2,6M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2A"/>
                <w:sz w:val="19"/>
              </w:rPr>
              <w:t>– R$ 8,4M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2A"/>
                <w:sz w:val="19"/>
              </w:rPr>
              <w:t>– R$ 21M</w:t>
            </w:r>
          </w:p>
        </w:tc>
      </w:tr>
      <w:tr>
        <w:tc>
          <w:tcPr>
            <w:tcW w:type="dxa" w:w="3600"/>
            <w:shd w:val="clear" w:color="auto" w:fill="EBF7EE"/>
          </w:tcPr>
          <w:p>
            <w:r>
              <w:rPr>
                <w:color w:val="1A1A2A"/>
                <w:sz w:val="19"/>
              </w:rPr>
              <w:t>Despesas Operacionais</w:t>
            </w:r>
          </w:p>
        </w:tc>
        <w:tc>
          <w:tcPr>
            <w:tcW w:type="dxa" w:w="1872"/>
            <w:shd w:val="clear" w:color="auto" w:fill="EBF7EE"/>
          </w:tcPr>
          <w:p>
            <w:r>
              <w:rPr>
                <w:color w:val="1A1A2A"/>
                <w:sz w:val="19"/>
              </w:rPr>
              <w:t>– R$ 20M</w:t>
            </w:r>
          </w:p>
        </w:tc>
        <w:tc>
          <w:tcPr>
            <w:tcW w:type="dxa" w:w="1872"/>
            <w:shd w:val="clear" w:color="auto" w:fill="EBF7EE"/>
          </w:tcPr>
          <w:p>
            <w:r>
              <w:rPr>
                <w:color w:val="1A1A2A"/>
                <w:sz w:val="19"/>
              </w:rPr>
              <w:t>– R$ 45M</w:t>
            </w:r>
          </w:p>
        </w:tc>
        <w:tc>
          <w:tcPr>
            <w:tcW w:type="dxa" w:w="1872"/>
            <w:shd w:val="clear" w:color="auto" w:fill="EBF7EE"/>
          </w:tcPr>
          <w:p>
            <w:r>
              <w:rPr>
                <w:color w:val="1A1A2A"/>
                <w:sz w:val="19"/>
              </w:rPr>
              <w:t>– R$ 85M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A1A2A"/>
                <w:sz w:val="19"/>
              </w:rPr>
              <w:t>EBITDA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2A"/>
                <w:sz w:val="19"/>
              </w:rPr>
              <w:t>R$ 0,4M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2A"/>
                <w:sz w:val="19"/>
              </w:rPr>
              <w:t>R$ 26,6M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2A"/>
                <w:sz w:val="19"/>
              </w:rPr>
              <w:t>R$ 106M</w:t>
            </w:r>
          </w:p>
        </w:tc>
      </w:tr>
      <w:tr>
        <w:tc>
          <w:tcPr>
            <w:tcW w:type="dxa" w:w="3600"/>
            <w:shd w:val="clear" w:color="auto" w:fill="EBF7EE"/>
          </w:tcPr>
          <w:p>
            <w:r>
              <w:rPr>
                <w:color w:val="1A1A2A"/>
                <w:sz w:val="19"/>
              </w:rPr>
              <w:t>Tributos (45,4% otimizado)</w:t>
            </w:r>
          </w:p>
        </w:tc>
        <w:tc>
          <w:tcPr>
            <w:tcW w:type="dxa" w:w="1872"/>
            <w:shd w:val="clear" w:color="auto" w:fill="EBF7EE"/>
          </w:tcPr>
          <w:p>
            <w:r>
              <w:rPr>
                <w:color w:val="1A1A2A"/>
                <w:sz w:val="19"/>
              </w:rPr>
              <w:t>– R$ 0,2M</w:t>
            </w:r>
          </w:p>
        </w:tc>
        <w:tc>
          <w:tcPr>
            <w:tcW w:type="dxa" w:w="1872"/>
            <w:shd w:val="clear" w:color="auto" w:fill="EBF7EE"/>
          </w:tcPr>
          <w:p>
            <w:r>
              <w:rPr>
                <w:color w:val="1A1A2A"/>
                <w:sz w:val="19"/>
              </w:rPr>
              <w:t>– R$ 12,1M</w:t>
            </w:r>
          </w:p>
        </w:tc>
        <w:tc>
          <w:tcPr>
            <w:tcW w:type="dxa" w:w="1872"/>
            <w:shd w:val="clear" w:color="auto" w:fill="EBF7EE"/>
          </w:tcPr>
          <w:p>
            <w:r>
              <w:rPr>
                <w:color w:val="1A1A2A"/>
                <w:sz w:val="19"/>
              </w:rPr>
              <w:t>– R$ 48M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A1A2A"/>
                <w:sz w:val="19"/>
              </w:rPr>
              <w:t>Lucro Líquido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2A"/>
                <w:sz w:val="19"/>
              </w:rPr>
              <w:t>R$ 0,2M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2A"/>
                <w:sz w:val="19"/>
              </w:rPr>
              <w:t>R$ 14,5M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2A"/>
                <w:sz w:val="19"/>
              </w:rPr>
              <w:t>R$ 58M</w:t>
            </w:r>
          </w:p>
        </w:tc>
      </w:tr>
      <w:tr>
        <w:tc>
          <w:tcPr>
            <w:tcW w:type="dxa" w:w="3600"/>
            <w:shd w:val="clear" w:color="auto" w:fill="EBF7EE"/>
          </w:tcPr>
          <w:p>
            <w:r>
              <w:rPr>
                <w:color w:val="1A1A2A"/>
                <w:sz w:val="19"/>
              </w:rPr>
              <w:t>Margem Líquida</w:t>
            </w:r>
          </w:p>
        </w:tc>
        <w:tc>
          <w:tcPr>
            <w:tcW w:type="dxa" w:w="1872"/>
            <w:shd w:val="clear" w:color="auto" w:fill="EBF7EE"/>
          </w:tcPr>
          <w:p>
            <w:r>
              <w:rPr>
                <w:color w:val="1A1A2A"/>
                <w:sz w:val="19"/>
              </w:rPr>
              <w:t>0,6%</w:t>
            </w:r>
          </w:p>
        </w:tc>
        <w:tc>
          <w:tcPr>
            <w:tcW w:type="dxa" w:w="1872"/>
            <w:shd w:val="clear" w:color="auto" w:fill="EBF7EE"/>
          </w:tcPr>
          <w:p>
            <w:r>
              <w:rPr>
                <w:color w:val="1A1A2A"/>
                <w:sz w:val="19"/>
              </w:rPr>
              <w:t>14,5%</w:t>
            </w:r>
          </w:p>
        </w:tc>
        <w:tc>
          <w:tcPr>
            <w:tcW w:type="dxa" w:w="1872"/>
            <w:shd w:val="clear" w:color="auto" w:fill="EBF7EE"/>
          </w:tcPr>
          <w:p>
            <w:r>
              <w:rPr>
                <w:color w:val="1A1A2A"/>
                <w:sz w:val="19"/>
              </w:rPr>
              <w:t>23%</w:t>
            </w:r>
          </w:p>
        </w:tc>
      </w:tr>
    </w:tbl>
    <w:p/>
    <w:p>
      <w:r>
        <w:br w:type="page"/>
      </w:r>
    </w:p>
    <w:p>
      <w:pPr>
        <w:spacing w:before="280" w:after="120"/>
      </w:pPr>
      <w:r>
        <w:rPr>
          <w:b/>
          <w:color w:val="27AE60"/>
          <w:sz w:val="34"/>
        </w:rPr>
        <w:t>6. COMPLIANCE, AML/KYC E GESTÃO DE RISCOS</w:t>
      </w:r>
    </w:p>
    <w:p>
      <w:pPr>
        <w:spacing w:before="80" w:after="80"/>
        <w:pBdr>
          <w:bottom w:val="single" w:sz="6" w:space="1" w:color="27AE60"/>
        </w:pBdr>
      </w:pPr>
    </w:p>
    <w:p>
      <w:pPr>
        <w:spacing w:before="160" w:after="120"/>
      </w:pPr>
      <w:r>
        <w:rPr>
          <w:b/>
          <w:color w:val="F39C12"/>
          <w:sz w:val="26"/>
        </w:rPr>
        <w:t>6.1 Obrigações de Compliance da SCD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312"/>
            <w:shd w:val="clear" w:color="auto" w:fill="0A2A1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Obrigação</w:t>
            </w:r>
          </w:p>
        </w:tc>
        <w:tc>
          <w:tcPr>
            <w:tcW w:type="dxa" w:w="1440"/>
            <w:shd w:val="clear" w:color="auto" w:fill="0A2A1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Frequência</w:t>
            </w:r>
          </w:p>
        </w:tc>
        <w:tc>
          <w:tcPr>
            <w:tcW w:type="dxa" w:w="1872"/>
            <w:shd w:val="clear" w:color="auto" w:fill="0A2A1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Responsável</w:t>
            </w:r>
          </w:p>
        </w:tc>
        <w:tc>
          <w:tcPr>
            <w:tcW w:type="dxa" w:w="2592"/>
            <w:shd w:val="clear" w:color="auto" w:fill="0A2A1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Sistema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color w:val="1A1A2A"/>
                <w:sz w:val="19"/>
              </w:rPr>
              <w:t>SCR — Sistema de Central de Risco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2A"/>
                <w:sz w:val="19"/>
              </w:rPr>
              <w:t>Mensal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2A"/>
                <w:sz w:val="19"/>
              </w:rPr>
              <w:t>CFO + Compliance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2A"/>
                <w:sz w:val="19"/>
              </w:rPr>
              <w:t>Bacen API</w:t>
            </w:r>
          </w:p>
        </w:tc>
      </w:tr>
      <w:tr>
        <w:tc>
          <w:tcPr>
            <w:tcW w:type="dxa" w:w="3312"/>
            <w:shd w:val="clear" w:color="auto" w:fill="EBF7EE"/>
          </w:tcPr>
          <w:p>
            <w:r>
              <w:rPr>
                <w:color w:val="1A1A2A"/>
                <w:sz w:val="19"/>
              </w:rPr>
              <w:t>CadastRO — Cadastro de Pessoas</w:t>
            </w:r>
          </w:p>
        </w:tc>
        <w:tc>
          <w:tcPr>
            <w:tcW w:type="dxa" w:w="1440"/>
            <w:shd w:val="clear" w:color="auto" w:fill="EBF7EE"/>
          </w:tcPr>
          <w:p>
            <w:r>
              <w:rPr>
                <w:color w:val="1A1A2A"/>
                <w:sz w:val="19"/>
              </w:rPr>
              <w:t>Contínuo</w:t>
            </w:r>
          </w:p>
        </w:tc>
        <w:tc>
          <w:tcPr>
            <w:tcW w:type="dxa" w:w="1872"/>
            <w:shd w:val="clear" w:color="auto" w:fill="EBF7EE"/>
          </w:tcPr>
          <w:p>
            <w:r>
              <w:rPr>
                <w:color w:val="1A1A2A"/>
                <w:sz w:val="19"/>
              </w:rPr>
              <w:t>Compliance</w:t>
            </w:r>
          </w:p>
        </w:tc>
        <w:tc>
          <w:tcPr>
            <w:tcW w:type="dxa" w:w="2592"/>
            <w:shd w:val="clear" w:color="auto" w:fill="EBF7EE"/>
          </w:tcPr>
          <w:p>
            <w:r>
              <w:rPr>
                <w:color w:val="1A1A2A"/>
                <w:sz w:val="19"/>
              </w:rPr>
              <w:t>Bacen CadPF/CadPJ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color w:val="1A1A2A"/>
                <w:sz w:val="19"/>
              </w:rPr>
              <w:t>COAF — Comunicação de Operações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2A"/>
                <w:sz w:val="19"/>
              </w:rPr>
              <w:t>≤24h (suspeitas)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2A"/>
                <w:sz w:val="19"/>
              </w:rPr>
              <w:t>CCROO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2A"/>
                <w:sz w:val="19"/>
              </w:rPr>
              <w:t>COAF Web</w:t>
            </w:r>
          </w:p>
        </w:tc>
      </w:tr>
      <w:tr>
        <w:tc>
          <w:tcPr>
            <w:tcW w:type="dxa" w:w="3312"/>
            <w:shd w:val="clear" w:color="auto" w:fill="EBF7EE"/>
          </w:tcPr>
          <w:p>
            <w:r>
              <w:rPr>
                <w:color w:val="1A1A2A"/>
                <w:sz w:val="19"/>
              </w:rPr>
              <w:t>LGPD — Proteção de Dados</w:t>
            </w:r>
          </w:p>
        </w:tc>
        <w:tc>
          <w:tcPr>
            <w:tcW w:type="dxa" w:w="1440"/>
            <w:shd w:val="clear" w:color="auto" w:fill="EBF7EE"/>
          </w:tcPr>
          <w:p>
            <w:r>
              <w:rPr>
                <w:color w:val="1A1A2A"/>
                <w:sz w:val="19"/>
              </w:rPr>
              <w:t>Contínuo</w:t>
            </w:r>
          </w:p>
        </w:tc>
        <w:tc>
          <w:tcPr>
            <w:tcW w:type="dxa" w:w="1872"/>
            <w:shd w:val="clear" w:color="auto" w:fill="EBF7EE"/>
          </w:tcPr>
          <w:p>
            <w:r>
              <w:rPr>
                <w:color w:val="1A1A2A"/>
                <w:sz w:val="19"/>
              </w:rPr>
              <w:t>DPO</w:t>
            </w:r>
          </w:p>
        </w:tc>
        <w:tc>
          <w:tcPr>
            <w:tcW w:type="dxa" w:w="2592"/>
            <w:shd w:val="clear" w:color="auto" w:fill="EBF7EE"/>
          </w:tcPr>
          <w:p>
            <w:r>
              <w:rPr>
                <w:color w:val="1A1A2A"/>
                <w:sz w:val="19"/>
              </w:rPr>
              <w:t>Plataforma interna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color w:val="1A1A2A"/>
                <w:sz w:val="19"/>
              </w:rPr>
              <w:t>Relatório de Estabilidade Financeira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2A"/>
                <w:sz w:val="19"/>
              </w:rPr>
              <w:t>Semestral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2A"/>
                <w:sz w:val="19"/>
              </w:rPr>
              <w:t>CFO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2A"/>
                <w:sz w:val="19"/>
              </w:rPr>
              <w:t>Bacen Portal</w:t>
            </w:r>
          </w:p>
        </w:tc>
      </w:tr>
      <w:tr>
        <w:tc>
          <w:tcPr>
            <w:tcW w:type="dxa" w:w="3312"/>
            <w:shd w:val="clear" w:color="auto" w:fill="EBF7EE"/>
          </w:tcPr>
          <w:p>
            <w:r>
              <w:rPr>
                <w:color w:val="1A1A2A"/>
                <w:sz w:val="19"/>
              </w:rPr>
              <w:t>Auditoria Externa</w:t>
            </w:r>
          </w:p>
        </w:tc>
        <w:tc>
          <w:tcPr>
            <w:tcW w:type="dxa" w:w="1440"/>
            <w:shd w:val="clear" w:color="auto" w:fill="EBF7EE"/>
          </w:tcPr>
          <w:p>
            <w:r>
              <w:rPr>
                <w:color w:val="1A1A2A"/>
                <w:sz w:val="19"/>
              </w:rPr>
              <w:t>Anual</w:t>
            </w:r>
          </w:p>
        </w:tc>
        <w:tc>
          <w:tcPr>
            <w:tcW w:type="dxa" w:w="1872"/>
            <w:shd w:val="clear" w:color="auto" w:fill="EBF7EE"/>
          </w:tcPr>
          <w:p>
            <w:r>
              <w:rPr>
                <w:color w:val="1A1A2A"/>
                <w:sz w:val="19"/>
              </w:rPr>
              <w:t>Board</w:t>
            </w:r>
          </w:p>
        </w:tc>
        <w:tc>
          <w:tcPr>
            <w:tcW w:type="dxa" w:w="2592"/>
            <w:shd w:val="clear" w:color="auto" w:fill="EBF7EE"/>
          </w:tcPr>
          <w:p>
            <w:r>
              <w:rPr>
                <w:color w:val="1A1A2A"/>
                <w:sz w:val="19"/>
              </w:rPr>
              <w:t>Big 4 recomendado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color w:val="1A1A2A"/>
                <w:sz w:val="19"/>
              </w:rPr>
              <w:t>Relatório de Controles Internos (RCI)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2A"/>
                <w:sz w:val="19"/>
              </w:rPr>
              <w:t>Anual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2A"/>
                <w:sz w:val="19"/>
              </w:rPr>
              <w:t>Auditoria Interna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2A"/>
                <w:sz w:val="19"/>
              </w:rPr>
              <w:t>Bacen Portal</w:t>
            </w:r>
          </w:p>
        </w:tc>
      </w:tr>
      <w:tr>
        <w:tc>
          <w:tcPr>
            <w:tcW w:type="dxa" w:w="3312"/>
            <w:shd w:val="clear" w:color="auto" w:fill="EBF7EE"/>
          </w:tcPr>
          <w:p>
            <w:r>
              <w:rPr>
                <w:color w:val="1A1A2A"/>
                <w:sz w:val="19"/>
              </w:rPr>
              <w:t>PLD/FT — Prevenção LD/Financ. Terrorismo</w:t>
            </w:r>
          </w:p>
        </w:tc>
        <w:tc>
          <w:tcPr>
            <w:tcW w:type="dxa" w:w="1440"/>
            <w:shd w:val="clear" w:color="auto" w:fill="EBF7EE"/>
          </w:tcPr>
          <w:p>
            <w:r>
              <w:rPr>
                <w:color w:val="1A1A2A"/>
                <w:sz w:val="19"/>
              </w:rPr>
              <w:t>Contínuo</w:t>
            </w:r>
          </w:p>
        </w:tc>
        <w:tc>
          <w:tcPr>
            <w:tcW w:type="dxa" w:w="1872"/>
            <w:shd w:val="clear" w:color="auto" w:fill="EBF7EE"/>
          </w:tcPr>
          <w:p>
            <w:r>
              <w:rPr>
                <w:color w:val="1A1A2A"/>
                <w:sz w:val="19"/>
              </w:rPr>
              <w:t>CCROO</w:t>
            </w:r>
          </w:p>
        </w:tc>
        <w:tc>
          <w:tcPr>
            <w:tcW w:type="dxa" w:w="2592"/>
            <w:shd w:val="clear" w:color="auto" w:fill="EBF7EE"/>
          </w:tcPr>
          <w:p>
            <w:r>
              <w:rPr>
                <w:color w:val="1A1A2A"/>
                <w:sz w:val="19"/>
              </w:rPr>
              <w:t>Software PLD</w:t>
            </w:r>
          </w:p>
        </w:tc>
      </w:tr>
    </w:tbl>
    <w:p/>
    <w:p>
      <w:pPr>
        <w:spacing w:before="160" w:after="120"/>
      </w:pPr>
      <w:r>
        <w:rPr>
          <w:b/>
          <w:color w:val="F39C12"/>
          <w:sz w:val="26"/>
        </w:rPr>
        <w:t>6.2 Processo KYC/AML do Usuário</w:t>
      </w:r>
    </w:p>
    <w:p>
      <w:pPr>
        <w:spacing w:after="120" w:before="40"/>
      </w:pPr>
      <w:r>
        <w:rPr>
          <w:b w:val="0"/>
          <w:i w:val="0"/>
          <w:color w:val="334438"/>
          <w:sz w:val="21"/>
        </w:rPr>
        <w:t>O processo de qualificação do Usuário na SCD NEXUS combina validação automatizada com revisão humana pelo Executivo de Contas responsável pela área:</w:t>
      </w:r>
    </w:p>
    <w:p>
      <w:pPr>
        <w:pStyle w:val="ListBullet"/>
        <w:spacing w:after="60"/>
      </w:pPr>
      <w:r>
        <w:rPr>
          <w:color w:val="334438"/>
          <w:sz w:val="21"/>
        </w:rPr>
        <w:t>FASE 1 — IDENTIFICAÇÃO: CPF, RG/CNH, selfie com documento, comprovante de residência</w:t>
      </w:r>
    </w:p>
    <w:p>
      <w:pPr>
        <w:pStyle w:val="ListBullet"/>
        <w:spacing w:after="60"/>
      </w:pPr>
      <w:r>
        <w:rPr>
          <w:color w:val="334438"/>
          <w:sz w:val="21"/>
        </w:rPr>
        <w:t>FASE 2 — VALIDAÇÃO DE RENDA: Holerite, extrato bancário 3 meses, declaração IR (quando aplicável)</w:t>
      </w:r>
    </w:p>
    <w:p>
      <w:pPr>
        <w:pStyle w:val="ListBullet"/>
        <w:spacing w:after="60"/>
      </w:pPr>
      <w:r>
        <w:rPr>
          <w:color w:val="334438"/>
          <w:sz w:val="21"/>
        </w:rPr>
        <w:t>FASE 3 — BUREAU CHECK: Serasa Experian, SPC, Quod, Boa Vista + SCR Bacen</w:t>
      </w:r>
    </w:p>
    <w:p>
      <w:pPr>
        <w:pStyle w:val="ListBullet"/>
        <w:spacing w:after="60"/>
      </w:pPr>
      <w:r>
        <w:rPr>
          <w:color w:val="334438"/>
          <w:sz w:val="21"/>
        </w:rPr>
        <w:t>FASE 4 — SCORING NEXUS: Motor proprietário com 40+ variáveis comportamentais + bureau</w:t>
      </w:r>
    </w:p>
    <w:p>
      <w:pPr>
        <w:pStyle w:val="ListBullet"/>
        <w:spacing w:after="60"/>
      </w:pPr>
      <w:r>
        <w:rPr>
          <w:color w:val="334438"/>
          <w:sz w:val="21"/>
        </w:rPr>
        <w:t>FASE 5 — REVISÃO HUMANA: Executivo de Contas valida e aprova (ou solicita documentação adicional)</w:t>
      </w:r>
    </w:p>
    <w:p>
      <w:pPr>
        <w:pStyle w:val="ListBullet"/>
        <w:spacing w:after="60"/>
      </w:pPr>
      <w:r>
        <w:rPr>
          <w:color w:val="334438"/>
          <w:sz w:val="21"/>
        </w:rPr>
        <w:t>FASE 6 — ENQUADRAMENTO DE VERTICAL: Sistema define vertical(is) do Usuário e limite inicial do cartão</w:t>
      </w:r>
    </w:p>
    <w:p>
      <w:pPr>
        <w:pStyle w:val="ListBullet"/>
        <w:spacing w:after="60"/>
      </w:pPr>
      <w:r>
        <w:rPr>
          <w:color w:val="334438"/>
          <w:sz w:val="21"/>
        </w:rPr>
        <w:t>FASE 7 — ASSINATURA DIGITAL: Contrato de crédito rotativo assinado via DocuSign ou plataforma parceira</w:t>
      </w:r>
    </w:p>
    <w:p>
      <w:r>
        <w:br w:type="page"/>
      </w:r>
    </w:p>
    <w:p>
      <w:pPr>
        <w:spacing w:before="280" w:after="120"/>
      </w:pPr>
      <w:r>
        <w:rPr>
          <w:b/>
          <w:color w:val="27AE60"/>
          <w:sz w:val="34"/>
        </w:rPr>
        <w:t>7. ESTRUTURA ORGANIZACIONAL NEXUS-SCD</w:t>
      </w:r>
    </w:p>
    <w:p>
      <w:pPr>
        <w:spacing w:before="80" w:after="80"/>
        <w:pBdr>
          <w:bottom w:val="single" w:sz="6" w:space="1" w:color="27AE60"/>
        </w:pBdr>
      </w:pPr>
    </w:p>
    <w:p>
      <w:pPr>
        <w:spacing w:after="120" w:before="40"/>
      </w:pPr>
      <w:r>
        <w:rPr>
          <w:b w:val="0"/>
          <w:i w:val="0"/>
          <w:color w:val="334438"/>
          <w:sz w:val="21"/>
        </w:rPr>
        <w:t>A estrutura organizacional da SCD NEXUS é idêntica ao Documento GREY nos elementos de campo (Executivos, Gerentes, Diretores), mas inclui departamentos adicionais exigidos pelo Bacen para instituições financeiras: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val="clear" w:color="auto" w:fill="0A2A1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Setor</w:t>
            </w:r>
          </w:p>
        </w:tc>
        <w:tc>
          <w:tcPr>
            <w:tcW w:type="dxa" w:w="4896"/>
            <w:shd w:val="clear" w:color="auto" w:fill="0A2A1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Função / Obrigação Bacen</w:t>
            </w:r>
          </w:p>
        </w:tc>
        <w:tc>
          <w:tcPr>
            <w:tcW w:type="dxa" w:w="1728"/>
            <w:shd w:val="clear" w:color="auto" w:fill="0A2A1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Headcount Ano 1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2A"/>
                <w:sz w:val="19"/>
              </w:rPr>
              <w:t>CEO / Presidência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color w:val="1A1A2A"/>
                <w:sz w:val="19"/>
              </w:rPr>
              <w:t>Representante legal perante o Bacen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2A"/>
                <w:sz w:val="19"/>
              </w:rPr>
              <w:t>1</w:t>
            </w:r>
          </w:p>
        </w:tc>
      </w:tr>
      <w:tr>
        <w:tc>
          <w:tcPr>
            <w:tcW w:type="dxa" w:w="2592"/>
            <w:shd w:val="clear" w:color="auto" w:fill="EBF7EE"/>
          </w:tcPr>
          <w:p>
            <w:r>
              <w:rPr>
                <w:color w:val="1A1A2A"/>
                <w:sz w:val="19"/>
              </w:rPr>
              <w:t>CRO — Chief Risk Officer</w:t>
            </w:r>
          </w:p>
        </w:tc>
        <w:tc>
          <w:tcPr>
            <w:tcW w:type="dxa" w:w="4896"/>
            <w:shd w:val="clear" w:color="auto" w:fill="EBF7EE"/>
          </w:tcPr>
          <w:p>
            <w:r>
              <w:rPr>
                <w:color w:val="1A1A2A"/>
                <w:sz w:val="19"/>
              </w:rPr>
              <w:t>OBRIGATÓRIO para IFs: gestão de risco, capital regulatório (Basileia)</w:t>
            </w:r>
          </w:p>
        </w:tc>
        <w:tc>
          <w:tcPr>
            <w:tcW w:type="dxa" w:w="1728"/>
            <w:shd w:val="clear" w:color="auto" w:fill="EBF7EE"/>
          </w:tcPr>
          <w:p>
            <w:r>
              <w:rPr>
                <w:color w:val="1A1A2A"/>
                <w:sz w:val="19"/>
              </w:rPr>
              <w:t>1 + eq. 3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2A"/>
                <w:sz w:val="19"/>
              </w:rPr>
              <w:t>CCROO / Diretor de Compliance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color w:val="1A1A2A"/>
                <w:sz w:val="19"/>
              </w:rPr>
              <w:t>OBRIGATÓRIO: PLD/FT, COAF, Bacen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2A"/>
                <w:sz w:val="19"/>
              </w:rPr>
              <w:t>1 + eq. 4</w:t>
            </w:r>
          </w:p>
        </w:tc>
      </w:tr>
      <w:tr>
        <w:tc>
          <w:tcPr>
            <w:tcW w:type="dxa" w:w="2592"/>
            <w:shd w:val="clear" w:color="auto" w:fill="EBF7EE"/>
          </w:tcPr>
          <w:p>
            <w:r>
              <w:rPr>
                <w:color w:val="1A1A2A"/>
                <w:sz w:val="19"/>
              </w:rPr>
              <w:t>CFO — Financeiro</w:t>
            </w:r>
          </w:p>
        </w:tc>
        <w:tc>
          <w:tcPr>
            <w:tcW w:type="dxa" w:w="4896"/>
            <w:shd w:val="clear" w:color="auto" w:fill="EBF7EE"/>
          </w:tcPr>
          <w:p>
            <w:r>
              <w:rPr>
                <w:color w:val="1A1A2A"/>
                <w:sz w:val="19"/>
              </w:rPr>
              <w:t>SCR, relatórios Bacen, ODOO, FIDC/Debêntures</w:t>
            </w:r>
          </w:p>
        </w:tc>
        <w:tc>
          <w:tcPr>
            <w:tcW w:type="dxa" w:w="1728"/>
            <w:shd w:val="clear" w:color="auto" w:fill="EBF7EE"/>
          </w:tcPr>
          <w:p>
            <w:r>
              <w:rPr>
                <w:color w:val="1A1A2A"/>
                <w:sz w:val="19"/>
              </w:rPr>
              <w:t>1 + eq. 5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2A"/>
                <w:sz w:val="19"/>
              </w:rPr>
              <w:t>CTO — Tecnologia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color w:val="1A1A2A"/>
                <w:sz w:val="19"/>
              </w:rPr>
              <w:t>Segurança da informação (Res. 4893 Bacen), MACRO HASH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2A"/>
                <w:sz w:val="19"/>
              </w:rPr>
              <w:t>1 + eq. 10</w:t>
            </w:r>
          </w:p>
        </w:tc>
      </w:tr>
      <w:tr>
        <w:tc>
          <w:tcPr>
            <w:tcW w:type="dxa" w:w="2592"/>
            <w:shd w:val="clear" w:color="auto" w:fill="EBF7EE"/>
          </w:tcPr>
          <w:p>
            <w:r>
              <w:rPr>
                <w:color w:val="1A1A2A"/>
                <w:sz w:val="19"/>
              </w:rPr>
              <w:t>Auditoria Interna</w:t>
            </w:r>
          </w:p>
        </w:tc>
        <w:tc>
          <w:tcPr>
            <w:tcW w:type="dxa" w:w="4896"/>
            <w:shd w:val="clear" w:color="auto" w:fill="EBF7EE"/>
          </w:tcPr>
          <w:p>
            <w:r>
              <w:rPr>
                <w:color w:val="1A1A2A"/>
                <w:sz w:val="19"/>
              </w:rPr>
              <w:t>OBRIGATÓRIO para IFs com PL &gt; R$ 1M: auditoria independente</w:t>
            </w:r>
          </w:p>
        </w:tc>
        <w:tc>
          <w:tcPr>
            <w:tcW w:type="dxa" w:w="1728"/>
            <w:shd w:val="clear" w:color="auto" w:fill="EBF7EE"/>
          </w:tcPr>
          <w:p>
            <w:r>
              <w:rPr>
                <w:color w:val="1A1A2A"/>
                <w:sz w:val="19"/>
              </w:rPr>
              <w:t>Eq. 3 + auditoria ext.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2A"/>
                <w:sz w:val="19"/>
              </w:rPr>
              <w:t>Crédito &amp; Políticas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color w:val="1A1A2A"/>
                <w:sz w:val="19"/>
              </w:rPr>
              <w:t>Definição de políticas de crédito, provisão (PCLD), scoring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2A"/>
                <w:sz w:val="19"/>
              </w:rPr>
              <w:t>Eq. 6</w:t>
            </w:r>
          </w:p>
        </w:tc>
      </w:tr>
      <w:tr>
        <w:tc>
          <w:tcPr>
            <w:tcW w:type="dxa" w:w="2592"/>
            <w:shd w:val="clear" w:color="auto" w:fill="EBF7EE"/>
          </w:tcPr>
          <w:p>
            <w:r>
              <w:rPr>
                <w:color w:val="1A1A2A"/>
                <w:sz w:val="19"/>
              </w:rPr>
              <w:t>Operações de Campo</w:t>
            </w:r>
          </w:p>
        </w:tc>
        <w:tc>
          <w:tcPr>
            <w:tcW w:type="dxa" w:w="4896"/>
            <w:shd w:val="clear" w:color="auto" w:fill="EBF7EE"/>
          </w:tcPr>
          <w:p>
            <w:r>
              <w:rPr>
                <w:color w:val="1A1A2A"/>
                <w:sz w:val="19"/>
              </w:rPr>
              <w:t>Executivos Sênior/Júnior e Assistentes (comercial)</w:t>
            </w:r>
          </w:p>
        </w:tc>
        <w:tc>
          <w:tcPr>
            <w:tcW w:type="dxa" w:w="1728"/>
            <w:shd w:val="clear" w:color="auto" w:fill="EBF7EE"/>
          </w:tcPr>
          <w:p>
            <w:r>
              <w:rPr>
                <w:color w:val="1A1A2A"/>
                <w:sz w:val="19"/>
              </w:rPr>
              <w:t>200+ (escala)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2A"/>
                <w:sz w:val="19"/>
              </w:rPr>
              <w:t>Jurídico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color w:val="1A1A2A"/>
                <w:sz w:val="19"/>
              </w:rPr>
              <w:t>Contratos, compliance regulatório, litígios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2A"/>
                <w:sz w:val="19"/>
              </w:rPr>
              <w:t>Eq. 3</w:t>
            </w:r>
          </w:p>
        </w:tc>
      </w:tr>
      <w:tr>
        <w:tc>
          <w:tcPr>
            <w:tcW w:type="dxa" w:w="2592"/>
            <w:shd w:val="clear" w:color="auto" w:fill="EBF7EE"/>
          </w:tcPr>
          <w:p>
            <w:r>
              <w:rPr>
                <w:color w:val="1A1A2A"/>
                <w:sz w:val="19"/>
              </w:rPr>
              <w:t>Data Science &amp; BI</w:t>
            </w:r>
          </w:p>
        </w:tc>
        <w:tc>
          <w:tcPr>
            <w:tcW w:type="dxa" w:w="4896"/>
            <w:shd w:val="clear" w:color="auto" w:fill="EBF7EE"/>
          </w:tcPr>
          <w:p>
            <w:r>
              <w:rPr>
                <w:color w:val="1A1A2A"/>
                <w:sz w:val="19"/>
              </w:rPr>
              <w:t>Motor de scoring, análise de carteira, 360° Board</w:t>
            </w:r>
          </w:p>
        </w:tc>
        <w:tc>
          <w:tcPr>
            <w:tcW w:type="dxa" w:w="1728"/>
            <w:shd w:val="clear" w:color="auto" w:fill="EBF7EE"/>
          </w:tcPr>
          <w:p>
            <w:r>
              <w:rPr>
                <w:color w:val="1A1A2A"/>
                <w:sz w:val="19"/>
              </w:rPr>
              <w:t>Eq. 5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2A"/>
                <w:sz w:val="19"/>
              </w:rPr>
              <w:t>Produto &amp; UX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color w:val="1A1A2A"/>
                <w:sz w:val="19"/>
              </w:rPr>
              <w:t>Plataformas Aplicante, Usuário e 360° BOARD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2A"/>
                <w:sz w:val="19"/>
              </w:rPr>
              <w:t>Eq. 5</w:t>
            </w:r>
          </w:p>
        </w:tc>
      </w:tr>
      <w:tr>
        <w:tc>
          <w:tcPr>
            <w:tcW w:type="dxa" w:w="2592"/>
            <w:shd w:val="clear" w:color="auto" w:fill="EBF7EE"/>
          </w:tcPr>
          <w:p>
            <w:r>
              <w:rPr>
                <w:color w:val="1A1A2A"/>
                <w:sz w:val="19"/>
              </w:rPr>
              <w:t>Marketing &amp; Growth</w:t>
            </w:r>
          </w:p>
        </w:tc>
        <w:tc>
          <w:tcPr>
            <w:tcW w:type="dxa" w:w="4896"/>
            <w:shd w:val="clear" w:color="auto" w:fill="EBF7EE"/>
          </w:tcPr>
          <w:p>
            <w:r>
              <w:rPr>
                <w:color w:val="1A1A2A"/>
                <w:sz w:val="19"/>
              </w:rPr>
              <w:t>Aquisição de Aplicantes (cotistas FIDC) e Usuários</w:t>
            </w:r>
          </w:p>
        </w:tc>
        <w:tc>
          <w:tcPr>
            <w:tcW w:type="dxa" w:w="1728"/>
            <w:shd w:val="clear" w:color="auto" w:fill="EBF7EE"/>
          </w:tcPr>
          <w:p>
            <w:r>
              <w:rPr>
                <w:color w:val="1A1A2A"/>
                <w:sz w:val="19"/>
              </w:rPr>
              <w:t>Eq. 5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2A"/>
                <w:sz w:val="19"/>
              </w:rPr>
              <w:t>SAC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color w:val="1A1A2A"/>
                <w:sz w:val="19"/>
              </w:rPr>
              <w:t>Suporte a Usuários, Aplicantes e Executivos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2A"/>
                <w:sz w:val="19"/>
              </w:rPr>
              <w:t>Eq. 15</w:t>
            </w:r>
          </w:p>
        </w:tc>
      </w:tr>
      <w:tr>
        <w:tc>
          <w:tcPr>
            <w:tcW w:type="dxa" w:w="2592"/>
            <w:shd w:val="clear" w:color="auto" w:fill="EBF7EE"/>
          </w:tcPr>
          <w:p>
            <w:r>
              <w:rPr>
                <w:color w:val="1A1A2A"/>
                <w:sz w:val="19"/>
              </w:rPr>
              <w:t>Merchant Success</w:t>
            </w:r>
          </w:p>
        </w:tc>
        <w:tc>
          <w:tcPr>
            <w:tcW w:type="dxa" w:w="4896"/>
            <w:shd w:val="clear" w:color="auto" w:fill="EBF7EE"/>
          </w:tcPr>
          <w:p>
            <w:r>
              <w:rPr>
                <w:color w:val="1A1A2A"/>
                <w:sz w:val="19"/>
              </w:rPr>
              <w:t>Credenciamento e gestão da rede de merchants</w:t>
            </w:r>
          </w:p>
        </w:tc>
        <w:tc>
          <w:tcPr>
            <w:tcW w:type="dxa" w:w="1728"/>
            <w:shd w:val="clear" w:color="auto" w:fill="EBF7EE"/>
          </w:tcPr>
          <w:p>
            <w:r>
              <w:rPr>
                <w:color w:val="1A1A2A"/>
                <w:sz w:val="19"/>
              </w:rPr>
              <w:t>Eq. 6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2A"/>
                <w:sz w:val="19"/>
              </w:rPr>
              <w:t>Cobrança &amp; Recuperação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color w:val="1A1A2A"/>
                <w:sz w:val="19"/>
              </w:rPr>
              <w:t>Negociação, renegociação, jurídico de cobrança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2A"/>
                <w:sz w:val="19"/>
              </w:rPr>
              <w:t>Eq. 8</w:t>
            </w:r>
          </w:p>
        </w:tc>
      </w:tr>
    </w:tbl>
    <w:p/>
    <w:p>
      <w:r>
        <w:br w:type="page"/>
      </w:r>
    </w:p>
    <w:p>
      <w:pPr>
        <w:spacing w:before="280" w:after="120"/>
      </w:pPr>
      <w:r>
        <w:rPr>
          <w:b/>
          <w:color w:val="27AE60"/>
          <w:sz w:val="34"/>
        </w:rPr>
        <w:t>8. ROADMAP DE IMPLEMENTAÇÃO — SCD NEXUS</w:t>
      </w:r>
    </w:p>
    <w:p>
      <w:pPr>
        <w:spacing w:before="80" w:after="80"/>
        <w:pBdr>
          <w:bottom w:val="single" w:sz="6" w:space="1" w:color="27AE60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28"/>
            <w:shd w:val="clear" w:color="auto" w:fill="0A2A1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type="dxa" w:w="1296"/>
            <w:shd w:val="clear" w:color="auto" w:fill="0A2A1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Período</w:t>
            </w:r>
          </w:p>
        </w:tc>
        <w:tc>
          <w:tcPr>
            <w:tcW w:type="dxa" w:w="4320"/>
            <w:shd w:val="clear" w:color="auto" w:fill="0A2A1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Entregas Principais</w:t>
            </w:r>
          </w:p>
        </w:tc>
        <w:tc>
          <w:tcPr>
            <w:tcW w:type="dxa" w:w="2448"/>
            <w:shd w:val="clear" w:color="auto" w:fill="0A2A1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Marco Regulatório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color w:val="1A1A2A"/>
                <w:sz w:val="19"/>
              </w:rPr>
              <w:t>Fase 0 — Fundação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color w:val="1A1A2A"/>
                <w:sz w:val="19"/>
              </w:rPr>
              <w:t>Meses 1–3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color w:val="1A1A2A"/>
                <w:sz w:val="19"/>
              </w:rPr>
              <w:t>Constituição S.A. | Integralização capital | Contratação time jurídico/compliance | Due diligence SCD disponível para aquisição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color w:val="1A1A2A"/>
                <w:sz w:val="19"/>
              </w:rPr>
              <w:t>Protocolo pedido autorização Bacen ou aquisição SCD</w:t>
            </w:r>
          </w:p>
        </w:tc>
      </w:tr>
      <w:tr>
        <w:tc>
          <w:tcPr>
            <w:tcW w:type="dxa" w:w="1728"/>
            <w:shd w:val="clear" w:color="auto" w:fill="EBF7EE"/>
          </w:tcPr>
          <w:p>
            <w:r>
              <w:rPr>
                <w:color w:val="1A1A2A"/>
                <w:sz w:val="19"/>
              </w:rPr>
              <w:t>Fase 1 — Autorização</w:t>
            </w:r>
          </w:p>
        </w:tc>
        <w:tc>
          <w:tcPr>
            <w:tcW w:type="dxa" w:w="1296"/>
            <w:shd w:val="clear" w:color="auto" w:fill="EBF7EE"/>
          </w:tcPr>
          <w:p>
            <w:r>
              <w:rPr>
                <w:color w:val="1A1A2A"/>
                <w:sz w:val="19"/>
              </w:rPr>
              <w:t>Meses 4–18</w:t>
            </w:r>
          </w:p>
        </w:tc>
        <w:tc>
          <w:tcPr>
            <w:tcW w:type="dxa" w:w="4320"/>
            <w:shd w:val="clear" w:color="auto" w:fill="EBF7EE"/>
          </w:tcPr>
          <w:p>
            <w:r>
              <w:rPr>
                <w:color w:val="1A1A2A"/>
                <w:sz w:val="19"/>
              </w:rPr>
              <w:t>Desenvolvimento plataforma MVP | Estruturação FIDC | Parceria BIN Sponsor (Dock/Conductor/BS2) | Implantação ODOO</w:t>
            </w:r>
          </w:p>
        </w:tc>
        <w:tc>
          <w:tcPr>
            <w:tcW w:type="dxa" w:w="2448"/>
            <w:shd w:val="clear" w:color="auto" w:fill="EBF7EE"/>
          </w:tcPr>
          <w:p>
            <w:r>
              <w:rPr>
                <w:color w:val="1A1A2A"/>
                <w:sz w:val="19"/>
              </w:rPr>
              <w:t>Obtenção autorização Bacen (ou closing aquisição)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color w:val="1A1A2A"/>
                <w:sz w:val="19"/>
              </w:rPr>
              <w:t>Fase 2 — Go-Live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color w:val="1A1A2A"/>
                <w:sz w:val="19"/>
              </w:rPr>
              <w:t>Meses 19–24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color w:val="1A1A2A"/>
                <w:sz w:val="19"/>
              </w:rPr>
              <w:t>Lançamento plataforma | 100 Executivos de Campo | 10.000 cartões beta | Emissão Debêntures Série 1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color w:val="1A1A2A"/>
                <w:sz w:val="19"/>
              </w:rPr>
              <w:t>Primeiro reporte SCR ao Bacen</w:t>
            </w:r>
          </w:p>
        </w:tc>
      </w:tr>
      <w:tr>
        <w:tc>
          <w:tcPr>
            <w:tcW w:type="dxa" w:w="1728"/>
            <w:shd w:val="clear" w:color="auto" w:fill="EBF7EE"/>
          </w:tcPr>
          <w:p>
            <w:r>
              <w:rPr>
                <w:color w:val="1A1A2A"/>
                <w:sz w:val="19"/>
              </w:rPr>
              <w:t>Fase 3 — Escala</w:t>
            </w:r>
          </w:p>
        </w:tc>
        <w:tc>
          <w:tcPr>
            <w:tcW w:type="dxa" w:w="1296"/>
            <w:shd w:val="clear" w:color="auto" w:fill="EBF7EE"/>
          </w:tcPr>
          <w:p>
            <w:r>
              <w:rPr>
                <w:color w:val="1A1A2A"/>
                <w:sz w:val="19"/>
              </w:rPr>
              <w:t>Meses 25–36</w:t>
            </w:r>
          </w:p>
        </w:tc>
        <w:tc>
          <w:tcPr>
            <w:tcW w:type="dxa" w:w="4320"/>
            <w:shd w:val="clear" w:color="auto" w:fill="EBF7EE"/>
          </w:tcPr>
          <w:p>
            <w:r>
              <w:rPr>
                <w:color w:val="1A1A2A"/>
                <w:sz w:val="19"/>
              </w:rPr>
              <w:t>Emissão FIDC Série 1 (R$ 50M) | 80.000 cartões | Rede nacional de Executivos | 360° Board completo</w:t>
            </w:r>
          </w:p>
        </w:tc>
        <w:tc>
          <w:tcPr>
            <w:tcW w:type="dxa" w:w="2448"/>
            <w:shd w:val="clear" w:color="auto" w:fill="EBF7EE"/>
          </w:tcPr>
          <w:p>
            <w:r>
              <w:rPr>
                <w:color w:val="1A1A2A"/>
                <w:sz w:val="19"/>
              </w:rPr>
              <w:t>Auditoria externa Ano 1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color w:val="1A1A2A"/>
                <w:sz w:val="19"/>
              </w:rPr>
              <w:t>Fase 4 — Expansão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color w:val="1A1A2A"/>
                <w:sz w:val="19"/>
              </w:rPr>
              <w:t>Meses 37–48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color w:val="1A1A2A"/>
                <w:sz w:val="19"/>
              </w:rPr>
              <w:t>FIDC Série 2 (R$ 150M) | 200.000 cartões | Internacionalização via parceria com IF estrangeira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color w:val="1A1A2A"/>
                <w:sz w:val="19"/>
              </w:rPr>
              <w:t>ICVM aprovação para oferta pública (CVM)</w:t>
            </w:r>
          </w:p>
        </w:tc>
      </w:tr>
    </w:tbl>
    <w:p/>
    <w:p>
      <w:r>
        <w:br w:type="page"/>
      </w:r>
    </w:p>
    <w:p>
      <w:pPr>
        <w:spacing w:before="280" w:after="120"/>
      </w:pPr>
      <w:r>
        <w:rPr>
          <w:b/>
          <w:color w:val="27AE60"/>
          <w:sz w:val="34"/>
        </w:rPr>
        <w:t>9. REFERÊNCIAS</w:t>
      </w:r>
    </w:p>
    <w:p>
      <w:pPr>
        <w:spacing w:before="80" w:after="80"/>
        <w:pBdr>
          <w:bottom w:val="single" w:sz="6" w:space="1" w:color="27AE60"/>
        </w:pBdr>
      </w:pPr>
    </w:p>
    <w:p>
      <w:pPr>
        <w:spacing w:after="60"/>
      </w:pPr>
      <w:r>
        <w:rPr>
          <w:color w:val="334438"/>
          <w:sz w:val="18"/>
        </w:rPr>
        <w:t>[1] Banco Central do Brasil. Resolução CMN 5.050/2022 — Consolida as normas sobre SCD e SEP.</w:t>
      </w:r>
    </w:p>
    <w:p>
      <w:pPr>
        <w:spacing w:after="60"/>
      </w:pPr>
      <w:r>
        <w:rPr>
          <w:color w:val="334438"/>
          <w:sz w:val="18"/>
        </w:rPr>
        <w:t>[2] Banco Central do Brasil. Resolução CMN 5.177/2024 — Atualização regulatória, vigência 01/01/2025.</w:t>
      </w:r>
    </w:p>
    <w:p>
      <w:pPr>
        <w:spacing w:after="60"/>
      </w:pPr>
      <w:r>
        <w:rPr>
          <w:color w:val="334438"/>
          <w:sz w:val="18"/>
        </w:rPr>
        <w:t>[3] Banco Central do Brasil. Resolução 4.893/2021 — Política de segurança cibernética para IFs.</w:t>
      </w:r>
    </w:p>
    <w:p>
      <w:pPr>
        <w:spacing w:after="60"/>
      </w:pPr>
      <w:r>
        <w:rPr>
          <w:color w:val="334438"/>
          <w:sz w:val="18"/>
        </w:rPr>
        <w:t>[4] CVM. Instrução 476/2009 — Oferta pública de esforços restritos (debêntures para qualificados).</w:t>
      </w:r>
    </w:p>
    <w:p>
      <w:pPr>
        <w:spacing w:after="60"/>
      </w:pPr>
      <w:r>
        <w:rPr>
          <w:color w:val="334438"/>
          <w:sz w:val="18"/>
        </w:rPr>
        <w:t>[5] Lei 4.595/1964 — Lei da Reforma Bancária (define instituição financeira no Brasil).</w:t>
      </w:r>
    </w:p>
    <w:p>
      <w:pPr>
        <w:spacing w:after="60"/>
      </w:pPr>
      <w:r>
        <w:rPr>
          <w:color w:val="334438"/>
          <w:sz w:val="18"/>
        </w:rPr>
        <w:t>[6] Lei 7.492/1986 — Crimes contra o Sistema Financeiro Nacional.</w:t>
      </w:r>
    </w:p>
    <w:p>
      <w:pPr>
        <w:spacing w:after="60"/>
      </w:pPr>
      <w:r>
        <w:rPr>
          <w:color w:val="334438"/>
          <w:sz w:val="18"/>
        </w:rPr>
        <w:t>[7] Lei 13.709/2018 — Lei Geral de Proteção de Dados (LGPD).</w:t>
      </w:r>
    </w:p>
    <w:p>
      <w:pPr>
        <w:spacing w:after="60"/>
      </w:pPr>
      <w:r>
        <w:rPr>
          <w:color w:val="334438"/>
          <w:sz w:val="18"/>
        </w:rPr>
        <w:t>[8] Iyer, R. et al. (2009). Screening in new credit markets (NBER W15242).</w:t>
      </w:r>
    </w:p>
    <w:p>
      <w:pPr>
        <w:spacing w:after="60"/>
      </w:pPr>
      <w:r>
        <w:rPr>
          <w:color w:val="334438"/>
          <w:sz w:val="18"/>
        </w:rPr>
        <w:t>[9] Berger, S. C., &amp; Gleisner, F. (2009). Emergence of financial intermediaries in electronic markets. BuR.</w:t>
      </w:r>
    </w:p>
    <w:p>
      <w:pPr>
        <w:spacing w:after="60"/>
      </w:pPr>
      <w:r>
        <w:rPr>
          <w:color w:val="334438"/>
          <w:sz w:val="18"/>
        </w:rPr>
        <w:t>[10] Herzenstein, M. et al. (2008). Tell me a good story and I may lend you money. Working Paper.</w:t>
      </w:r>
    </w:p>
    <w:p>
      <w:pPr>
        <w:spacing w:after="60"/>
      </w:pPr>
      <w:r>
        <w:rPr>
          <w:color w:val="334438"/>
          <w:sz w:val="18"/>
        </w:rPr>
        <w:t>[11] Lin, M., Prabhala, N. R., &amp; Viswanathan, S. (2012). Judging borrowers by the company they keep.</w:t>
      </w:r>
    </w:p>
    <w:p>
      <w:pPr>
        <w:spacing w:after="60"/>
      </w:pPr>
      <w:r>
        <w:rPr>
          <w:color w:val="334438"/>
          <w:sz w:val="18"/>
        </w:rPr>
        <w:t>[12] Nexoos (2024). Relatório Anual — Plataforma SEP Brasil.</w:t>
      </w:r>
    </w:p>
    <w:p>
      <w:pPr>
        <w:spacing w:after="60"/>
      </w:pPr>
      <w:r>
        <w:rPr>
          <w:color w:val="334438"/>
          <w:sz w:val="18"/>
        </w:rPr>
        <w:t>[13] Biva (2024). Relatório de Portfólio — P2P Lending PME Brasil.</w:t>
      </w:r>
    </w:p>
    <w:p>
      <w:pPr>
        <w:spacing w:after="60"/>
      </w:pPr>
      <w:r>
        <w:rPr>
          <w:color w:val="334438"/>
          <w:sz w:val="18"/>
        </w:rPr>
        <w:t>[14] PricewaterhouseCoopers (2024). Guia Tributário para Instituições Financeiras — Brasil.</w:t>
      </w:r>
    </w:p>
    <w:p/>
    <w:p>
      <w:pPr>
        <w:spacing w:after="120" w:before="40"/>
      </w:pPr>
      <w:r>
        <w:rPr>
          <w:b w:val="0"/>
          <w:i/>
          <w:color w:val="557755"/>
          <w:sz w:val="18"/>
        </w:rPr>
        <w:t>NEXUS GREEN-SCD v1.0 | Abril 2026 | Documento Confidencial | Todos os direitos reservados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