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B0E11"/>
          </w:tcPr>
          <w:p/>
          <w:p/>
          <w:p/>
          <w:p/>
          <w:p>
            <w:pPr>
              <w:jc w:val="center"/>
            </w:pPr>
            <w:r>
              <w:rPr>
                <w:rFonts w:ascii="Arial" w:hAnsi="Arial"/>
                <w:b/>
                <w:color w:val="F0B90B"/>
                <w:sz w:val="84"/>
              </w:rPr>
              <w:t>NEXUS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color w:val="EAECEF"/>
                <w:sz w:val="36"/>
              </w:rPr>
              <w:t>UI/UX Prompt Master  v3</w:t>
            </w:r>
          </w:p>
          <w:p>
            <w:pPr>
              <w:jc w:val="center"/>
            </w:pPr>
            <w:r>
              <w:rPr>
                <w:rFonts w:ascii="Arial" w:hAnsi="Arial"/>
                <w:color w:val="848E9C"/>
                <w:sz w:val="22"/>
              </w:rPr>
              <w:t>Binance Design System  +  Dribbble Reference Library  +  Full BI Integration</w:t>
            </w:r>
          </w:p>
          <w:p/>
          <w:p/>
          <w:p>
            <w:pPr>
              <w:jc w:val="center"/>
            </w:pPr>
            <w:r>
              <w:rPr>
                <w:rFonts w:ascii="Arial" w:hAnsi="Arial"/>
                <w:color w:val="474D57"/>
                <w:sz w:val="19"/>
              </w:rPr>
              <w:t>React 18  ·  TypeScript  ·  Tailwind CSS  ·  shadcn/ui  ·  lightweight-charts  ·  Framer Motion</w:t>
            </w:r>
          </w:p>
          <w:p/>
          <w:p/>
        </w:tc>
      </w:tr>
    </w:tbl>
    <w:p/>
    <w:p>
      <w:r>
        <w:br w:type="page"/>
      </w:r>
    </w:p>
    <w:p>
      <w:pPr>
        <w:shd w:val="clear" w:color="auto" w:fill="161A1E"/>
        <w:spacing w:before="360" w:after="120"/>
        <w:ind w:left="144"/>
      </w:pPr>
      <w:r>
        <w:rPr>
          <w:rFonts w:ascii="Arial" w:hAnsi="Arial"/>
          <w:b/>
          <w:color w:val="F0B90B"/>
          <w:sz w:val="32"/>
        </w:rPr>
        <w:t>1. Por que Binance Style para o NEXUS?</w:t>
      </w:r>
    </w:p>
    <w:p>
      <w:pPr>
        <w:spacing w:before="40" w:after="40"/>
      </w:pPr>
      <w:r>
        <w:rPr>
          <w:rFonts w:ascii="Arial" w:hAnsi="Arial"/>
          <w:b w:val="0"/>
          <w:color w:val="848E9C"/>
          <w:sz w:val="20"/>
        </w:rPr>
        <w:t>O estilo Binance foi escolhido por ser o padrão de-facto para plataformas financeiras de alta densidade de dados. Ao contrário do estilo OpenSea (NFT marketplace — foco em imagens, espaçamento generoso, identidade visual de coleção), o Binance prioriza legibilidade de métricas, densidade informacional e cognição rápida em ambiente de trading.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2493"/>
        <w:gridCol w:w="2493"/>
        <w:gridCol w:w="2493"/>
      </w:tblGrid>
      <w:tr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Dimensão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OpenSea (v1)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Binance (v3)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Impacto no NEXUS</w:t>
            </w:r>
          </w:p>
        </w:tc>
      </w:tr>
      <w:tr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Fundo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Navy (#1A1D2E)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Preto (#0B0E11)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Menor fadiga visual em uso contínuo</w:t>
            </w:r>
          </w:p>
        </w:tc>
      </w:tr>
      <w:tr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Cards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Glass morphism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Border sólida #2B3139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Hierarquia mais clara em dashboards</w:t>
            </w:r>
          </w:p>
        </w:tc>
      </w:tr>
      <w:tr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Border-radius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16–24px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4–8px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Mais profissional para BI corporativo</w:t>
            </w:r>
          </w:p>
        </w:tc>
      </w:tr>
      <w:tr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Tipografia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Inter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IBM Plex Sans/Mono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Mono para números — leitura precisa</w:t>
            </w:r>
          </w:p>
        </w:tc>
      </w:tr>
      <w:tr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Sombra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Drop shadow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Sem sombra (borda)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Performance melhor em tabelas densas</w:t>
            </w:r>
          </w:p>
        </w:tc>
      </w:tr>
      <w:tr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Gráficos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Area chart simples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Candlestick TradingView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Mostra volatilidade de portfólio</w:t>
            </w:r>
          </w:p>
        </w:tc>
      </w:tr>
      <w:tr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Estado hover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Escala (scale)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Bg muda (#1E2329)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Menos distração, mais foco</w:t>
            </w:r>
          </w:p>
        </w:tc>
      </w:tr>
      <w:tr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CTA primário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Gradiente roxo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Sólido #F0B90B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Reconhecimento imediato de ação</w:t>
            </w:r>
          </w:p>
        </w:tc>
      </w:tr>
    </w:tbl>
    <w:p/>
    <w:p>
      <w:pPr>
        <w:shd w:val="clear" w:color="auto" w:fill="161A1E"/>
        <w:spacing w:before="360" w:after="120"/>
        <w:ind w:left="144"/>
      </w:pPr>
      <w:r>
        <w:rPr>
          <w:rFonts w:ascii="Arial" w:hAnsi="Arial"/>
          <w:b/>
          <w:color w:val="F0B90B"/>
          <w:sz w:val="32"/>
        </w:rPr>
        <w:t>2. Design Tokens — Sistema de Cores e Tipografia</w:t>
      </w:r>
    </w:p>
    <w:p>
      <w:pPr>
        <w:spacing w:before="200" w:after="80"/>
      </w:pPr>
      <w:r>
        <w:rPr>
          <w:rFonts w:ascii="Arial" w:hAnsi="Arial"/>
          <w:b/>
          <w:color w:val="EAECEF"/>
          <w:sz w:val="26"/>
        </w:rPr>
        <w:t>2.1 Paleta de Cores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3324"/>
        <w:gridCol w:w="3324"/>
      </w:tblGrid>
      <w:tr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Token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Hex</w:t>
            </w:r>
          </w:p>
        </w:tc>
        <w:tc>
          <w:tcPr>
            <w:tcW w:type="dxa" w:w="7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Uso</w:t>
            </w:r>
          </w:p>
        </w:tc>
      </w:tr>
      <w:tr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848E9C"/>
                <w:sz w:val="17"/>
              </w:rPr>
              <w:t>bg-deep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0B90B"/>
                <w:sz w:val="17"/>
              </w:rPr>
              <w:t>#0B0E11</w:t>
            </w:r>
          </w:p>
        </w:tc>
        <w:tc>
          <w:tcPr>
            <w:tcW w:type="dxa" w:w="7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Canvas principal, fundo máximo</w:t>
            </w:r>
          </w:p>
        </w:tc>
      </w:tr>
      <w:tr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848E9C"/>
                <w:sz w:val="17"/>
              </w:rPr>
              <w:t>bg-card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#161A1E</w:t>
            </w:r>
          </w:p>
        </w:tc>
        <w:tc>
          <w:tcPr>
            <w:tcW w:type="dxa" w:w="7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Cards, painéis, sidebars</w:t>
            </w:r>
          </w:p>
        </w:tc>
      </w:tr>
      <w:tr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848E9C"/>
                <w:sz w:val="17"/>
              </w:rPr>
              <w:t>bg-hover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#1E2329</w:t>
            </w:r>
          </w:p>
        </w:tc>
        <w:tc>
          <w:tcPr>
            <w:tcW w:type="dxa" w:w="7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Hover state de rows e itens</w:t>
            </w:r>
          </w:p>
        </w:tc>
      </w:tr>
      <w:tr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848E9C"/>
                <w:sz w:val="17"/>
              </w:rPr>
              <w:t>border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#2B3139</w:t>
            </w:r>
          </w:p>
        </w:tc>
        <w:tc>
          <w:tcPr>
            <w:tcW w:type="dxa" w:w="7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Todas as bordas e divisores</w:t>
            </w:r>
          </w:p>
        </w:tc>
      </w:tr>
      <w:tr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0B90B"/>
                <w:sz w:val="17"/>
              </w:rPr>
              <w:t>gold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0B90B"/>
                <w:sz w:val="17"/>
              </w:rPr>
              <w:t>#F0B90B</w:t>
            </w:r>
          </w:p>
        </w:tc>
        <w:tc>
          <w:tcPr>
            <w:tcW w:type="dxa" w:w="7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CTA primário, destaques, ícones ativos</w:t>
            </w:r>
          </w:p>
        </w:tc>
      </w:tr>
      <w:tr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3C076"/>
                <w:sz w:val="17"/>
              </w:rPr>
              <w:t>green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3C076"/>
                <w:sz w:val="17"/>
              </w:rPr>
              <w:t>#03C076</w:t>
            </w:r>
          </w:p>
        </w:tc>
        <w:tc>
          <w:tcPr>
            <w:tcW w:type="dxa" w:w="7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Valores positivos, rentabilidade, sucesso</w:t>
            </w:r>
          </w:p>
        </w:tc>
      </w:tr>
      <w:tr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6465C"/>
                <w:sz w:val="17"/>
              </w:rPr>
              <w:t>red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6465C"/>
                <w:sz w:val="17"/>
              </w:rPr>
              <w:t>#F6465C</w:t>
            </w:r>
          </w:p>
        </w:tc>
        <w:tc>
          <w:tcPr>
            <w:tcW w:type="dxa" w:w="7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Valores negativos, inadimplência, alerta</w:t>
            </w:r>
          </w:p>
        </w:tc>
      </w:tr>
      <w:tr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091FF"/>
                <w:sz w:val="17"/>
              </w:rPr>
              <w:t>blue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091FF"/>
                <w:sz w:val="17"/>
              </w:rPr>
              <w:t>#0091FF</w:t>
            </w:r>
          </w:p>
        </w:tc>
        <w:tc>
          <w:tcPr>
            <w:tcW w:type="dxa" w:w="7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Links, info, badge secundário</w:t>
            </w:r>
          </w:p>
        </w:tc>
      </w:tr>
      <w:tr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6C3ABD"/>
                <w:sz w:val="17"/>
              </w:rPr>
              <w:t>purple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6C3ABD"/>
                <w:sz w:val="17"/>
              </w:rPr>
              <w:t>#6C3ABD</w:t>
            </w:r>
          </w:p>
        </w:tc>
        <w:tc>
          <w:tcPr>
            <w:tcW w:type="dxa" w:w="7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Premium tier, Aplicante Qualificado</w:t>
            </w:r>
          </w:p>
        </w:tc>
      </w:tr>
      <w:tr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text-pri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#EAECEF</w:t>
            </w:r>
          </w:p>
        </w:tc>
        <w:tc>
          <w:tcPr>
            <w:tcW w:type="dxa" w:w="7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Texto principal, labels</w:t>
            </w:r>
          </w:p>
        </w:tc>
      </w:tr>
      <w:tr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848E9C"/>
                <w:sz w:val="17"/>
              </w:rPr>
              <w:t>text-sec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848E9C"/>
                <w:sz w:val="17"/>
              </w:rPr>
              <w:t>#848E9C</w:t>
            </w:r>
          </w:p>
        </w:tc>
        <w:tc>
          <w:tcPr>
            <w:tcW w:type="dxa" w:w="7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Labels secundários, placeholders</w:t>
            </w:r>
          </w:p>
        </w:tc>
      </w:tr>
      <w:tr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474D57"/>
                <w:sz w:val="17"/>
              </w:rPr>
              <w:t>text-dis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474D57"/>
                <w:sz w:val="17"/>
              </w:rPr>
              <w:t>#474D57</w:t>
            </w:r>
          </w:p>
        </w:tc>
        <w:tc>
          <w:tcPr>
            <w:tcW w:type="dxa" w:w="7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Disabled, linhas de separação leve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EAECEF"/>
          <w:sz w:val="26"/>
        </w:rPr>
        <w:t>2.2 Tipografia — IBM Plex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994"/>
        <w:gridCol w:w="1994"/>
        <w:gridCol w:w="1994"/>
        <w:gridCol w:w="1994"/>
      </w:tblGrid>
      <w:tr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Elemento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Fonte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Tamanho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Peso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Cor</w:t>
            </w:r>
          </w:p>
        </w:tc>
      </w:tr>
      <w:tr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Display (hero número)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IBM Plex Mono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32–48px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700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#EAECEF</w:t>
            </w:r>
          </w:p>
        </w:tc>
      </w:tr>
      <w:tr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H1 — título de seção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IBM Plex Sans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24px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600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#EAECEF</w:t>
            </w:r>
          </w:p>
        </w:tc>
      </w:tr>
      <w:tr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H2 — subtítulo card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IBM Plex Sans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18px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600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#EAECEF</w:t>
            </w:r>
          </w:p>
        </w:tc>
      </w:tr>
      <w:tr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H3 — label de campo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IBM Plex Sans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14px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500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#848E9C</w:t>
            </w:r>
          </w:p>
        </w:tc>
      </w:tr>
      <w:tr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Body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IBM Plex Sans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14px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400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#EAECEF</w:t>
            </w:r>
          </w:p>
        </w:tc>
      </w:tr>
      <w:tr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Caption / meta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IBM Plex Sans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12px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400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#848E9C</w:t>
            </w:r>
          </w:p>
        </w:tc>
      </w:tr>
      <w:tr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Código / hash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IBM Plex Mono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12px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400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#F0B90B</w:t>
            </w:r>
          </w:p>
        </w:tc>
      </w:tr>
      <w:tr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Tabela numérica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IBM Plex Mono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13px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400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#EAECEF</w:t>
            </w:r>
          </w:p>
        </w:tc>
      </w:tr>
      <w:tr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Badge / chip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IBM Plex Sans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11px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600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contextual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EAECEF"/>
          <w:sz w:val="26"/>
        </w:rPr>
        <w:t>2.3 Espaçamento e Grid</w:t>
      </w:r>
    </w:p>
    <w:p>
      <w:pPr>
        <w:spacing w:before="40" w:after="40"/>
      </w:pPr>
      <w:r>
        <w:rPr>
          <w:rFonts w:ascii="Arial" w:hAnsi="Arial"/>
          <w:b/>
          <w:color w:val="EAECEF"/>
          <w:sz w:val="20"/>
        </w:rPr>
        <w:t>Base unit: 4px. Escala: 4 / 8 / 12 / 16 / 24 / 32 / 48 / 64px.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3324"/>
        <w:gridCol w:w="3324"/>
      </w:tblGrid>
      <w:tr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Elemento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Valor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DXA equiv.</w:t>
            </w:r>
          </w:p>
        </w:tc>
      </w:tr>
      <w:tr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Card padding interno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16px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240</w:t>
            </w:r>
          </w:p>
        </w:tc>
      </w:tr>
      <w:tr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Gap entre cards (grid)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12px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180</w:t>
            </w:r>
          </w:p>
        </w:tc>
      </w:tr>
      <w:tr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Sidebar width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240px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—</w:t>
            </w:r>
          </w:p>
        </w:tc>
      </w:tr>
      <w:tr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Topbar height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56px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—</w:t>
            </w:r>
          </w:p>
        </w:tc>
      </w:tr>
      <w:tr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Border-radius card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6px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—</w:t>
            </w:r>
          </w:p>
        </w:tc>
      </w:tr>
      <w:tr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Border-radius button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4px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—</w:t>
            </w:r>
          </w:p>
        </w:tc>
      </w:tr>
      <w:tr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Border-radius chip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100px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—</w:t>
            </w:r>
          </w:p>
        </w:tc>
      </w:tr>
      <w:tr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Border width padrão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1px solid #2B3139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—</w:t>
            </w:r>
          </w:p>
        </w:tc>
      </w:tr>
      <w:tr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Icon size padrão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16x16px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—</w:t>
            </w:r>
          </w:p>
        </w:tc>
      </w:tr>
      <w:tr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Table row height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48px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—</w:t>
            </w:r>
          </w:p>
        </w:tc>
      </w:tr>
    </w:tbl>
    <w:p/>
    <w:p>
      <w:r>
        <w:br w:type="page"/>
      </w:r>
    </w:p>
    <w:p>
      <w:pPr>
        <w:shd w:val="clear" w:color="auto" w:fill="161A1E"/>
        <w:spacing w:before="360" w:after="120"/>
        <w:ind w:left="144"/>
      </w:pPr>
      <w:r>
        <w:rPr>
          <w:rFonts w:ascii="Arial" w:hAnsi="Arial"/>
          <w:b/>
          <w:color w:val="F0B90B"/>
          <w:sz w:val="32"/>
        </w:rPr>
        <w:t>3. Biblioteca de Referências Dribbble</w:t>
      </w:r>
    </w:p>
    <w:p>
      <w:pPr>
        <w:spacing w:before="40" w:after="40"/>
      </w:pPr>
      <w:r>
        <w:rPr>
          <w:rFonts w:ascii="Arial" w:hAnsi="Arial"/>
          <w:b w:val="0"/>
          <w:color w:val="848E9C"/>
          <w:sz w:val="20"/>
        </w:rPr>
        <w:t>Cada tela do NEXUS é mapeada para uma ou mais referências de alta votação do Dribbble. O gerador de IA (v0.dev / Lovable / Bolt.new) deve receber estas referências para estilo e densidade visual.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994"/>
        <w:gridCol w:w="1994"/>
        <w:gridCol w:w="1994"/>
        <w:gridCol w:w="1994"/>
      </w:tblGrid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ID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Nome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Autor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Destaque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Aplicação no NEXUS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REF-01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ChainScope – Crypto Dashboard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Fikri Ruslandi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25.996k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Dark mode denso, portfolio overview, candle semanal, módulo de conversão inline, métricas de staking. Fundo #0D1117, cards com borda #21262D. Aplica em: A-01, A-02, D-01.</w:t>
            </w:r>
          </w:p>
        </w:tc>
      </w:tr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REF-02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Crystal Stock App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Milkinside Team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869 likes / 284k views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App mobile de stocks mais curtido do Dribbble. Cards de preço com sparkline integrado, lista de watchlist compacta, detalhe de ativo com área chart. Aplica em: A-03, E-01.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REF-03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FinVerse – Finance Dashboard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Mike Taylor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Alta avaliação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Dashboard financeiro full dark. Sidebar com ícones monocromáticos, KPI grid 4-colunas, gráfico de barras empilhadas para breakdown de categorias. Aplica em: A-01, C-01, D-01.</w:t>
            </w:r>
          </w:p>
        </w:tc>
      </w:tr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REF-04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Fintech Dashboard UI Dark Theme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Olga Furmanchuk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Destaque Dribbble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Fintech dark de referência. Painel esquerdo de navegação com seções colapsáveis, header com search e notificações, tabela de transações com filtros inline. Aplica em: B-01, B-02.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REF-05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Overpay – Finance Dashboard UI Kit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Barly Design Team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50+ telas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Kit completo Light/Dark. Padrões de KPI card com delta % + sparkline. Card de saldo com gradiente sutil. Aplica em: A-01, B-01.</w:t>
            </w:r>
          </w:p>
        </w:tc>
      </w:tr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REF-06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Modern Financial Dashboard (Fintech/Corp)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Jahangir Hussain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2024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Dashboard corporativo com tema dark + accents laranja e azul. Breakdown de receita em donut chart, tabela de transações recentes, histórico de saques. Aplica em: D-02, F-01.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REF-07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Components Library for Fintech Dashboard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Ajo Jose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Lending/Borrowing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Biblioteca de componentes para plataforma de empréstimo digital indiana. Input de valor com slider, status badge de contrato (Active/Overdue/Paid), tabela de parcelas. Aplica em: B-01, B-03, E-02.</w:t>
            </w:r>
          </w:p>
        </w:tc>
      </w:tr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REF-08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Crypto Trading Dashboard UI Concept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Sheik Hassain / ADBUX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17.210k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Tela de trading com order book à direita, candle chart central com indicadores, lista de pares à esquerda com delta %. Aplica em: A-02, E-01, E-02.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REF-09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Fintech Dashboard UI Kit (Envato)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Envato Elements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UI Kit completo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Template profissional com Risk Score visual, mapa geográfico de risco, tabela de NPL por categoria. Aplica em: C-02, D-03, D-04.</w:t>
            </w:r>
          </w:p>
        </w:tc>
      </w:tr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REF-10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Binance Market Trade Dashboard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Figma Community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Binance oficial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Réplica fiel do Binance. Order book com acumulação, gráfico lightweight-charts, ticker strip no topo. Base de referência para todo Design System NEXUS. Aplica em: todos os módulos.</w:t>
            </w:r>
          </w:p>
        </w:tc>
      </w:tr>
    </w:tbl>
    <w:p/>
    <w:p>
      <w:r>
        <w:br w:type="page"/>
      </w:r>
    </w:p>
    <w:p>
      <w:pPr>
        <w:shd w:val="clear" w:color="auto" w:fill="161A1E"/>
        <w:spacing w:before="360" w:after="120"/>
        <w:ind w:left="144"/>
      </w:pPr>
      <w:r>
        <w:rPr>
          <w:rFonts w:ascii="Arial" w:hAnsi="Arial"/>
          <w:b/>
          <w:color w:val="F0B90B"/>
          <w:sz w:val="32"/>
        </w:rPr>
        <w:t>4. Componentes Globais Reutilizáveis</w:t>
      </w:r>
    </w:p>
    <w:p>
      <w:pPr>
        <w:spacing w:before="200" w:after="80"/>
      </w:pPr>
      <w:r>
        <w:rPr>
          <w:rFonts w:ascii="Arial" w:hAnsi="Arial"/>
          <w:b/>
          <w:color w:val="EAECEF"/>
          <w:sz w:val="26"/>
        </w:rPr>
        <w:t>4.1 NexusTopBar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161A1E"/>
            <w:top w:val="single" w:sz="4" w:color="2B3139"/>
            <w:bottom w:val="single" w:sz="4" w:color="2B3139"/>
            <w:left w:val="single" w:sz="4" w:color="2B3139"/>
            <w:right w:val="single" w:sz="4" w:color="2B3139"/>
          </w:tcPr>
          <w:p/>
          <w:p>
            <w:pPr>
              <w:spacing w:before="80"/>
              <w:ind w:left="173"/>
            </w:pPr>
            <w:r>
              <w:rPr>
                <w:rFonts w:ascii="Arial" w:hAnsi="Arial"/>
                <w:b/>
                <w:color w:val="F0B90B"/>
                <w:sz w:val="20"/>
              </w:rPr>
              <w:t>Especificação de Componente: NexusTopBar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Altura: 56px | Background: #161A1E | Borda inferior: 1px solid #2B3139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Esquerda: Logo NEXUS (texto IBM Plex Mono, 18px, bold, #F0B90B) + separador vertical + breadcrumb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Centro: NexusTicker horizontal (scroll automático com 12 métricas rotativas)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Direita: NotificationBell (badge vermelho com contagem) + Avatar + DropdownMenu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NexusTicker item: '[LABEL] [VALOR em IBM Plex Mono] [DELTA com seta + cor green/red]'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Ticker anima com CSS marquee ou Framer Motion (loop infinito, pausa no hover)</w:t>
            </w:r>
          </w:p>
          <w:p>
            <w:pPr>
              <w:spacing w:after="80"/>
            </w:pP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EAECEF"/>
          <w:sz w:val="26"/>
        </w:rPr>
        <w:t>4.2 NexusSidebar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161A1E"/>
            <w:top w:val="single" w:sz="4" w:color="2B3139"/>
            <w:bottom w:val="single" w:sz="4" w:color="2B3139"/>
            <w:left w:val="single" w:sz="4" w:color="2B3139"/>
            <w:right w:val="single" w:sz="4" w:color="2B3139"/>
          </w:tcPr>
          <w:p/>
          <w:p>
            <w:pPr>
              <w:spacing w:before="80"/>
              <w:ind w:left="173"/>
            </w:pPr>
            <w:r>
              <w:rPr>
                <w:rFonts w:ascii="Arial" w:hAnsi="Arial"/>
                <w:b/>
                <w:color w:val="F0B90B"/>
                <w:sz w:val="20"/>
              </w:rPr>
              <w:t>Especificação de Componente: NexusSidebar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Largura expandida: 240px | Recolhida: 64px | Transição: 200ms ease-in-out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Background: #161A1E | Borda direita: 1px solid #2B3139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Topo: Avatar + Nome do usuário + Role badge (chip colorido por perfil)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Nav items: ícone 20px + label | Ativo: bg #1E2329 + borda esquerda 3px #F0B90B + texto #EAECEF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Inativo: texto #848E9C | Hover: bg #1E2329 + texto #EAECEF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Rodapé sidebar: versão da plataforma + link de suporte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Grupos de nav: Dashboard / Portfólio / Mercado / Relatórios / Configurações</w:t>
            </w:r>
          </w:p>
          <w:p>
            <w:pPr>
              <w:spacing w:after="80"/>
            </w:pP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EAECEF"/>
          <w:sz w:val="26"/>
        </w:rPr>
        <w:t>4.3 NexusKPICard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161A1E"/>
            <w:top w:val="single" w:sz="4" w:color="2B3139"/>
            <w:bottom w:val="single" w:sz="4" w:color="2B3139"/>
            <w:left w:val="single" w:sz="4" w:color="2B3139"/>
            <w:right w:val="single" w:sz="4" w:color="2B3139"/>
          </w:tcPr>
          <w:p/>
          <w:p>
            <w:pPr>
              <w:spacing w:before="80"/>
              <w:ind w:left="173"/>
            </w:pPr>
            <w:r>
              <w:rPr>
                <w:rFonts w:ascii="Arial" w:hAnsi="Arial"/>
                <w:b/>
                <w:color w:val="F0B90B"/>
                <w:sz w:val="20"/>
              </w:rPr>
              <w:t>Especificação de Componente: NexusKPICard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Dimensão: flex-1, mín 200px | Background: #161A1E | Borda: 1px solid #2B3139 | Radius: 6px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Padding interno: 16px | Layout: 2 linhas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Linha 1: Label (12px, #848E9C, uppercase, letter-spacing 0.5px) + ícone contextual (direita)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Linha 2: Valor principal (IBM Plex Mono, 28–32px, bold, #EAECEF)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Linha 3: Delta badge (chip: '+2.3% vs mês ant.' com bg verde/vermelho 15% opacity + texto full)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Linha 4: Sparkline 60px altura (Recharts ResponsiveContainer, sem eixos, cor contextual)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Hover: borda muda para #F0B90B com transition 150ms</w:t>
            </w:r>
          </w:p>
          <w:p>
            <w:pPr>
              <w:spacing w:after="80"/>
            </w:pP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EAECEF"/>
          <w:sz w:val="26"/>
        </w:rPr>
        <w:t>4.4 NexusCandleChart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161A1E"/>
            <w:top w:val="single" w:sz="4" w:color="2B3139"/>
            <w:bottom w:val="single" w:sz="4" w:color="2B3139"/>
            <w:left w:val="single" w:sz="4" w:color="2B3139"/>
            <w:right w:val="single" w:sz="4" w:color="2B3139"/>
          </w:tcPr>
          <w:p/>
          <w:p>
            <w:pPr>
              <w:spacing w:before="80"/>
              <w:ind w:left="173"/>
            </w:pPr>
            <w:r>
              <w:rPr>
                <w:rFonts w:ascii="Arial" w:hAnsi="Arial"/>
                <w:b/>
                <w:color w:val="F0B90B"/>
                <w:sz w:val="20"/>
              </w:rPr>
              <w:t>Especificação de Componente: NexusCandleChart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Biblioteca: lightweight-charts (TradingView) — npm i lightweight-charts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Background: #0B0E11 | Grid lines: #1E2329 | Crosshair: #2B3139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Candle alta: #03C076 (body) + #03C076 (wick) | Candle baixa: #F6465C + #F6465C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Volume bars: altura 20% do chart, mesma cor do candle, opacity 0.4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Toolbar: seletor de período [1H | 4H | 1D | 1S | 1M] com botões estilo Binance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Tooltip (crosshair): card flutuante #161A1E com OHLCV formatado em IBM Plex Mono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Indicadores opcionais: MA7 (#F0B90B, dashed) + MA30 (#0091FF, dashed)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Adaptar para NEXUS: eixo Y = Rentabilidade acumulada do portfólio (%), eixo X = datas de liquidação</w:t>
            </w:r>
          </w:p>
          <w:p>
            <w:pPr>
              <w:spacing w:after="80"/>
            </w:pP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EAECEF"/>
          <w:sz w:val="26"/>
        </w:rPr>
        <w:t>4.5 NexusOrderBook (adaptado para contratos)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161A1E"/>
            <w:top w:val="single" w:sz="4" w:color="2B3139"/>
            <w:bottom w:val="single" w:sz="4" w:color="2B3139"/>
            <w:left w:val="single" w:sz="4" w:color="2B3139"/>
            <w:right w:val="single" w:sz="4" w:color="2B3139"/>
          </w:tcPr>
          <w:p/>
          <w:p>
            <w:pPr>
              <w:spacing w:before="80"/>
              <w:ind w:left="173"/>
            </w:pPr>
            <w:r>
              <w:rPr>
                <w:rFonts w:ascii="Arial" w:hAnsi="Arial"/>
                <w:b/>
                <w:color w:val="F0B90B"/>
                <w:sz w:val="20"/>
              </w:rPr>
              <w:t>Especificação de Componente: NexusOrderBook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Inspiração: REF-08 (Sheik Hassain) + REF-10 (Binance Market Trade)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Adaptar ordem de compra/venda -&gt; contratos disponíveis / contratos liquidados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Coluna esquerda: 'Blocos Ativos' (verde) | Coluna direita: 'Blocos Liquidados' (vermelho)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Cada linha: Categoria (12 verticais) | Volume (R$ formatado) | Taxa (%) | Status badge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Barra de profundidade horizontal: largura proporcional ao volume, cores green/red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Atualização em tempo real via WebSocket (polling fallback a cada 5s)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Header: spread atual + timestamp última atualização</w:t>
            </w:r>
          </w:p>
          <w:p>
            <w:pPr>
              <w:spacing w:after="80"/>
            </w:pP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EAECEF"/>
          <w:sz w:val="26"/>
        </w:rPr>
        <w:t>4.6 NexusDataGrid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161A1E"/>
            <w:top w:val="single" w:sz="4" w:color="2B3139"/>
            <w:bottom w:val="single" w:sz="4" w:color="2B3139"/>
            <w:left w:val="single" w:sz="4" w:color="2B3139"/>
            <w:right w:val="single" w:sz="4" w:color="2B3139"/>
          </w:tcPr>
          <w:p/>
          <w:p>
            <w:pPr>
              <w:spacing w:before="80"/>
              <w:ind w:left="173"/>
            </w:pPr>
            <w:r>
              <w:rPr>
                <w:rFonts w:ascii="Arial" w:hAnsi="Arial"/>
                <w:b/>
                <w:color w:val="F0B90B"/>
                <w:sz w:val="20"/>
              </w:rPr>
              <w:t>Especificação de Componente: NexusDataGrid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Base: TanStack Table v8 (react-table) ou shadcn/ui DataTable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Header: sticky top | Background: #161A1E | Sort icon: seta dupla #848E9C -&gt; #F0B90B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Row height: 48px | Alternância: #0B0E11 / #161A1E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Row hover: background #1E2329 com transition 100ms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Colunas numéricas: IBM Plex Mono, alinhamento à direita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Status badges inline: chip arredondado (radius 100px) com cor semântica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Paginação: shadcn/ui Pagination, 20 itens/página padrão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Filtros inline: Input de busca + Select de status + DateRangePicker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Export: botão 'Exportar CSV' + 'Exportar XLSX' no header da grid</w:t>
            </w:r>
          </w:p>
          <w:p>
            <w:pPr>
              <w:spacing w:after="80"/>
            </w:pP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EAECEF"/>
          <w:sz w:val="26"/>
        </w:rPr>
        <w:t>4.7 NexusStatusBadge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994"/>
        <w:gridCol w:w="1994"/>
        <w:gridCol w:w="1994"/>
        <w:gridCol w:w="1994"/>
      </w:tblGrid>
      <w:tr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Status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Label PT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Background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Texto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Borda</w:t>
            </w:r>
          </w:p>
        </w:tc>
      </w:tr>
      <w:tr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3C076"/>
                <w:sz w:val="17"/>
              </w:rPr>
              <w:t>ACTIVE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Ativo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03C076/15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3C076"/>
                <w:sz w:val="17"/>
              </w:rPr>
              <w:t>03C076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3C076"/>
                <w:sz w:val="17"/>
              </w:rPr>
              <w:t>03C076</w:t>
            </w:r>
          </w:p>
        </w:tc>
      </w:tr>
      <w:tr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6465C"/>
                <w:sz w:val="17"/>
              </w:rPr>
              <w:t>OVERDUE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Inadimplente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F6465C/15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6465C"/>
                <w:sz w:val="17"/>
              </w:rPr>
              <w:t>F6465C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6465C"/>
                <w:sz w:val="17"/>
              </w:rPr>
              <w:t>F6465C</w:t>
            </w:r>
          </w:p>
        </w:tc>
      </w:tr>
      <w:tr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0B90B"/>
                <w:sz w:val="17"/>
              </w:rPr>
              <w:t>PENDING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Pendente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F0B90B/15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0B90B"/>
                <w:sz w:val="17"/>
              </w:rPr>
              <w:t>F0B90B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0B90B"/>
                <w:sz w:val="17"/>
              </w:rPr>
              <w:t>F0B90B</w:t>
            </w:r>
          </w:p>
        </w:tc>
      </w:tr>
      <w:tr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091FF"/>
                <w:sz w:val="17"/>
              </w:rPr>
              <w:t>LIQUIDATED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Liquidado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0091FF/15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091FF"/>
                <w:sz w:val="17"/>
              </w:rPr>
              <w:t>0091FF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091FF"/>
                <w:sz w:val="17"/>
              </w:rPr>
              <w:t>0091FF</w:t>
            </w:r>
          </w:p>
        </w:tc>
      </w:tr>
      <w:tr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474D57"/>
                <w:sz w:val="17"/>
              </w:rPr>
              <w:t>BLOCKED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Bloqueado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474D57/15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848E9C"/>
                <w:sz w:val="17"/>
              </w:rPr>
              <w:t>848E9C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474D57"/>
                <w:sz w:val="17"/>
              </w:rPr>
              <w:t>474D57</w:t>
            </w:r>
          </w:p>
        </w:tc>
      </w:tr>
      <w:tr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6C3ABD"/>
                <w:sz w:val="17"/>
              </w:rPr>
              <w:t>PREMIUM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Qualificado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6C3ABD/15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6C3ABD"/>
                <w:sz w:val="17"/>
              </w:rPr>
              <w:t>6C3ABD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6C3ABD"/>
                <w:sz w:val="17"/>
              </w:rPr>
              <w:t>6C3ABD</w:t>
            </w:r>
          </w:p>
        </w:tc>
      </w:tr>
    </w:tbl>
    <w:p/>
    <w:p>
      <w:r>
        <w:br w:type="page"/>
      </w:r>
    </w:p>
    <w:p>
      <w:pPr>
        <w:shd w:val="clear" w:color="auto" w:fill="161A1E"/>
        <w:spacing w:before="360" w:after="120"/>
        <w:ind w:left="144"/>
      </w:pPr>
      <w:r>
        <w:rPr>
          <w:rFonts w:ascii="Arial" w:hAnsi="Arial"/>
          <w:b/>
          <w:color w:val="03C076"/>
          <w:sz w:val="32"/>
        </w:rPr>
        <w:t>5. Módulo A — Aplicante (Investidor)</w:t>
      </w:r>
    </w:p>
    <w:p>
      <w:pPr>
        <w:spacing w:before="40" w:after="40"/>
      </w:pPr>
      <w:r>
        <w:rPr>
          <w:rFonts w:ascii="Arial" w:hAnsi="Arial"/>
          <w:b w:val="0"/>
          <w:color w:val="848E9C"/>
          <w:sz w:val="20"/>
        </w:rPr>
        <w:t>Ator: Pessoa Física ou Jurídica que aporta capital na plataforma. Recebe 3–5% de retorno/mês. Capital fracionado em até 1.800 micro-contratos por portfólio.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584"/>
            <w:shd w:val="clear" w:color="auto" w:fill="03C076"/>
          </w:tcPr>
          <w:p>
            <w:pPr>
              <w:jc w:val="center"/>
            </w:pPr>
            <w:r>
              <w:rPr>
                <w:rFonts w:ascii="Arial" w:hAnsi="Arial"/>
                <w:b/>
                <w:color w:val="0B0E11"/>
                <w:sz w:val="26"/>
              </w:rPr>
              <w:t>A-01</w:t>
            </w:r>
          </w:p>
        </w:tc>
        <w:tc>
          <w:tcPr>
            <w:tcW w:type="dxa" w:w="7776"/>
            <w:shd w:val="clear" w:color="auto" w:fill="161A1E"/>
          </w:tcPr>
          <w:p>
            <w:pPr>
              <w:ind w:left="144"/>
            </w:pPr>
            <w:r>
              <w:rPr>
                <w:rFonts w:ascii="Arial" w:hAnsi="Arial"/>
                <w:b/>
                <w:color w:val="EAECEF"/>
                <w:sz w:val="24"/>
              </w:rPr>
              <w:t xml:space="preserve">Dashboard Principal do Aplicante  </w:t>
            </w:r>
            <w:r>
              <w:rPr>
                <w:rFonts w:ascii="Arial" w:hAnsi="Arial"/>
                <w:color w:val="848E9C"/>
                <w:sz w:val="16"/>
              </w:rPr>
              <w:t>[Ref: REF-01 ChainScope + REF-05 Overpay]</w:t>
            </w:r>
          </w:p>
        </w:tc>
      </w:tr>
    </w:tbl>
    <w:p/>
    <w:p>
      <w:pPr>
        <w:spacing w:before="160" w:after="40"/>
      </w:pPr>
      <w:r>
        <w:rPr>
          <w:rFonts w:ascii="Arial" w:hAnsi="Arial"/>
          <w:b/>
          <w:color w:val="F0B90B"/>
          <w:sz w:val="22"/>
        </w:rPr>
        <w:t>Layout Grid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161A1E"/>
            <w:top w:val="single" w:sz="4" w:color="2B3139"/>
            <w:bottom w:val="single" w:sz="4" w:color="2B3139"/>
            <w:left w:val="single" w:sz="4" w:color="2B3139"/>
            <w:right w:val="single" w:sz="4" w:color="2B3139"/>
          </w:tcPr>
          <w:p/>
          <w:p>
            <w:pPr>
              <w:spacing w:before="80"/>
              <w:ind w:left="173"/>
            </w:pPr>
            <w:r>
              <w:rPr>
                <w:rFonts w:ascii="Arial" w:hAnsi="Arial"/>
                <w:b/>
                <w:color w:val="F0B90B"/>
                <w:sz w:val="20"/>
              </w:rPr>
              <w:t>Estrutura de Grid — A-01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Layout: CSS Grid 12 colunas | Topbar (56px) + Sidebar (240px) + Main content area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Row 1: 4x NexusKPICard — [Saldo Total] [Rentabilidade Mês] [Portfólios Ativos] [Contratos Ativos]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Row 2: NexusCandleChart (8 colunas) + NexusOrderBook adaptado (4 colunas)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Row 3: Tabela de Portfólios (8 colunas) + Breakdown por Categoria (4 colunas — donut chart)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Row 4: Feed de Atividade Recente (largura total) com NexusStatusBadge inline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Gaps: 12px entre todos os elementos | Padding container: 24px</w:t>
            </w:r>
          </w:p>
          <w:p>
            <w:pPr>
              <w:spacing w:after="80"/>
            </w:pPr>
          </w:p>
        </w:tc>
      </w:tr>
    </w:tbl>
    <w:p/>
    <w:p>
      <w:pPr>
        <w:spacing w:before="160" w:after="40"/>
      </w:pPr>
      <w:r>
        <w:rPr>
          <w:rFonts w:ascii="Arial" w:hAnsi="Arial"/>
          <w:b/>
          <w:color w:val="F0B90B"/>
          <w:sz w:val="22"/>
        </w:rPr>
        <w:t>KPI Cards Detalhados — A-01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994"/>
        <w:gridCol w:w="1994"/>
        <w:gridCol w:w="1994"/>
        <w:gridCol w:w="1994"/>
      </w:tblGrid>
      <w:tr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Card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Valor Principal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Delta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Sparkline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Ícone</w:t>
            </w:r>
          </w:p>
        </w:tc>
      </w:tr>
      <w:tr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Saldo Total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R$ 47.830,00 (IBM Plex Mono 32px)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+12.4% este mês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Linha verde 60px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Carteira #F0B90B</w:t>
            </w:r>
          </w:p>
        </w:tc>
      </w:tr>
      <w:tr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Rentabilidade Mês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4.2% a.m. (IBM Plex Mono 32px)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+0.3% vs anterior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Área verde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TrendingUp #03C076</w:t>
            </w:r>
          </w:p>
        </w:tc>
      </w:tr>
      <w:tr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Portfólios Ativos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3 (IBM Plex Sans 32px bold)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1 novo esta semana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Barras azuis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Briefcase #0091FF</w:t>
            </w:r>
          </w:p>
        </w:tc>
      </w:tr>
      <w:tr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Contratos Ativos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5.400 (IBM Plex Mono 28px)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98.2% adimplência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Linha verde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Link #03C076</w:t>
            </w:r>
          </w:p>
        </w:tc>
      </w:tr>
    </w:tbl>
    <w:p/>
    <w:p>
      <w:pPr>
        <w:spacing w:before="160" w:after="40"/>
      </w:pPr>
      <w:r>
        <w:rPr>
          <w:rFonts w:ascii="Arial" w:hAnsi="Arial"/>
          <w:b/>
          <w:color w:val="F0B90B"/>
          <w:sz w:val="22"/>
        </w:rPr>
        <w:t>NexusCandleChart — A-01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161A1E"/>
            <w:top w:val="single" w:sz="4" w:color="2B3139"/>
            <w:bottom w:val="single" w:sz="4" w:color="2B3139"/>
            <w:left w:val="single" w:sz="4" w:color="2B3139"/>
            <w:right w:val="single" w:sz="4" w:color="2B3139"/>
          </w:tcPr>
          <w:p/>
          <w:p>
            <w:pPr>
              <w:spacing w:before="80"/>
              <w:ind w:left="173"/>
            </w:pPr>
            <w:r>
              <w:rPr>
                <w:rFonts w:ascii="Arial" w:hAnsi="Arial"/>
                <w:b/>
                <w:color w:val="F0B90B"/>
                <w:sz w:val="20"/>
              </w:rPr>
              <w:t>Gráfico de Rentabilidade do Portfólio — Candle por Período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Ref: REF-01 ChainScope (candle semanal de reward ratio)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Eixo Y: Rentabilidade acumulada (%) | Eixo X: Ciclos de liquidação (quinzenal)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Cada candle = abertura/fechamento/max/min de rentabilidade no período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Toolbar: [1C | 3C | 6C | 1A | Tudo] onde C = ciclo de cobrança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Overlay: MA7 em #F0B90B tracejado | Volume bars = volume de liquidações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Tooltip: Ciclo / Abertura / Fechamento / Máx / Mín / Liquidações / Taxa média</w:t>
            </w:r>
          </w:p>
          <w:p>
            <w:pPr>
              <w:spacing w:after="80"/>
            </w:pPr>
          </w:p>
        </w:tc>
      </w:tr>
    </w:tbl>
    <w:p/>
    <w:p>
      <w:pPr>
        <w:spacing w:before="160" w:after="40"/>
      </w:pPr>
      <w:r>
        <w:rPr>
          <w:rFonts w:ascii="Arial" w:hAnsi="Arial"/>
          <w:b/>
          <w:color w:val="F0B90B"/>
          <w:sz w:val="22"/>
        </w:rPr>
        <w:t>Prompt Completo para Gerador de IA — A-01</w:t>
      </w:r>
    </w:p>
    <w:p>
      <w:r>
        <w:rPr>
          <w:rFonts w:ascii="Arial" w:hAnsi="Arial"/>
          <w:b/>
          <w:color w:val="0091FF"/>
          <w:sz w:val="18"/>
        </w:rPr>
        <w:t>Prompt A-01 — para v0.dev / Lovable / Bolt.new / Cursor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D1117"/>
          </w:tcPr>
          <w:p/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Crie uma tela de Dashboard Principal para investidor (Aplicante) de plataforma P2P lending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chamada NEXUS. Use EXATAMENTE o Binance Design System: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PALETA: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bg: #0B0E11 (canvas) | card: #161A1E | border: #2B3139 | hover: #1E2329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gold: #F0B90B | green: #03C076 | red: #F6465C | blue: #0091FF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text-primary: #EAECEF | text-secondary: #848E9C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TIPOGRAFIA: IBM Plex Sans (labels, body) + IBM Plex Mono (todos os números)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Valores monetários: Mono 32px bold #EAECEF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Labels de KPI: Sans 12px uppercase letter-spacing-0.5 #848E9C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Delta badges: chip radius-full, bg opacity-15, texto full color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LAYOUT: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Sidebar esquerda 240px (#161A1E, borda #2B3139)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Topbar 56px com NexusTicker animado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Grid 12 colunas, gap 12px, padding 24px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ROW 1 — 4 KPI Cards iguais: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[Saldo Total R$47.830] [Rentabilidade 4.2%a.m.] [3 Portfólios] [5.400 Contratos]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Cada card: padding 16px, borda #2B3139, hover borda #F0B90B, sparkline recharts 60px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ROW 2 — split 8/4: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Esquerda (8col): Candle chart lightweight-charts, rentabilidade por ciclo,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toolbar [1C|3C|6C|1A], MA7 #F0B90B tracejado, volume bars opacity-40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Direita (4col): Order book adaptado — 'Blocos Ativos' (verde) vs 'Liquidados' (vermelho)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por categoria de consumo, barra de profundidade horizontal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ROW 3 — split 8/4: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Esquerda (8col): Tabela de portfólios (NexusDataGrid) colunas: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[Nome] [Aporte R$] [Contratos] [Rentab.%] [Adimplência%] [Status badge] [Ações]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Direita (4col): Donut chart (Recharts PieChart) breakdown por 12 categorias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legenda lateral com cor e percentual, hover mostra valor em R$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STACK: React 18 + TypeScript + Tailwind CSS + shadcn/ui + Recharts + lightweight-charts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Framer Motion para animações de entrada (fade+slide 300ms)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Usar apenas classes Tailwind utilitárias (sem CSS customizado)</w:t>
            </w:r>
          </w:p>
        </w:tc>
      </w:tr>
    </w:tbl>
    <w:p/>
    <w:p>
      <w:pPr>
        <w:spacing w:before="120" w:after="120"/>
        <w:pBdr>
          <w:bottom w:val="single" w:sz="4" w:space="1" w:color="2B3139"/>
        </w:pBdr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584"/>
            <w:shd w:val="clear" w:color="auto" w:fill="03C076"/>
          </w:tcPr>
          <w:p>
            <w:pPr>
              <w:jc w:val="center"/>
            </w:pPr>
            <w:r>
              <w:rPr>
                <w:rFonts w:ascii="Arial" w:hAnsi="Arial"/>
                <w:b/>
                <w:color w:val="0B0E11"/>
                <w:sz w:val="26"/>
              </w:rPr>
              <w:t>A-02</w:t>
            </w:r>
          </w:p>
        </w:tc>
        <w:tc>
          <w:tcPr>
            <w:tcW w:type="dxa" w:w="7776"/>
            <w:shd w:val="clear" w:color="auto" w:fill="161A1E"/>
          </w:tcPr>
          <w:p>
            <w:pPr>
              <w:ind w:left="144"/>
            </w:pPr>
            <w:r>
              <w:rPr>
                <w:rFonts w:ascii="Arial" w:hAnsi="Arial"/>
                <w:b/>
                <w:color w:val="EAECEF"/>
                <w:sz w:val="24"/>
              </w:rPr>
              <w:t xml:space="preserve">Detalhe do Portfólio  </w:t>
            </w:r>
            <w:r>
              <w:rPr>
                <w:rFonts w:ascii="Arial" w:hAnsi="Arial"/>
                <w:color w:val="848E9C"/>
                <w:sz w:val="16"/>
              </w:rPr>
              <w:t>[Ref: REF-08 Crypto Trading + REF-10 Binance Market]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161A1E"/>
            <w:top w:val="single" w:sz="4" w:color="2B3139"/>
            <w:bottom w:val="single" w:sz="4" w:color="2B3139"/>
            <w:left w:val="single" w:sz="4" w:color="2B3139"/>
            <w:right w:val="single" w:sz="4" w:color="2B3139"/>
          </w:tcPr>
          <w:p/>
          <w:p>
            <w:pPr>
              <w:spacing w:before="80"/>
              <w:ind w:left="173"/>
            </w:pPr>
            <w:r>
              <w:rPr>
                <w:rFonts w:ascii="Arial" w:hAnsi="Arial"/>
                <w:b/>
                <w:color w:val="F0B90B"/>
                <w:sz w:val="20"/>
              </w:rPr>
              <w:t>Layout e Componentes — A-02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Header: Nome do portfólio + Categoria dominante + Status badge + Botões [Aportar] [Retirar]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Row 1: Stats bar horizontal — Aporte Total | Saldo Atual | Retorno R$ | Retorno % | Contratos | DPD bucket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Row 2 (split 7/5): Candle chart com histórico de ciclos | Painel de composição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Painel de composição: barras horizontais por categoria (12 verticais), cada barra = % do portfólio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Row 3: NexusDataGrid de micro-contratos — [ID hash curto] [Usuário] [Limite R$] [Uso%] [Status] [Próx. venc.]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Filtros: busca por hash + filtro status + filtro categoria + DateRange de emissão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Row 4: Timeline de eventos (MACRO HASH log) — cada evento com ícone, timestamp e hash parcial</w:t>
            </w:r>
          </w:p>
          <w:p>
            <w:pPr>
              <w:spacing w:after="80"/>
            </w:pPr>
          </w:p>
        </w:tc>
      </w:tr>
    </w:tbl>
    <w:p/>
    <w:p>
      <w:r>
        <w:rPr>
          <w:rFonts w:ascii="Arial" w:hAnsi="Arial"/>
          <w:b/>
          <w:color w:val="0091FF"/>
          <w:sz w:val="18"/>
        </w:rPr>
        <w:t>Prompt A-02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D1117"/>
          </w:tcPr>
          <w:p/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Tela de detalhe de portfólio P2P lending NEXUS. Binance Design System idêntico ao A-01.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HEADER (sticky):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'Portfólio Saúde &amp; Educação' + chip categoria + NexusStatusBadge 'Ativo'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Botões: [Aportar +] gold background | [Retirar] ghost border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STATS BAR (1 linha, 6 métricas):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Aporte: R$10.000 | Saldo: R$11.240 | Retorno: +R$1.240 (+12.4%) verde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Contratos: 1.800/1.800 | Adimplência: 98.2% verde | DPD30: 1.8% amarelo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SPLIT 7/5: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Candle chart de rentabilidade por ciclo quinzenal (lightweight-charts)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Painel direito: barras de composição por categoria, cada barra animada (Framer Motion)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DATAGRID de contratos (TanStack Table):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Colunas: Hash | CPF mascarado | Limite | Uso atual | Status badge | Próximo vencimento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Row expansível: ao clicar abre MACRO HASH timeline do contrato específico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TIMELINE MACRO HASH (expandível no rodapé):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Cada evento: dot colorido + timestamp + tipo_evento + hash parcial (Mono #F0B90B)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Tipos: EMISSAO | COBRANCA | PAGAMENTO | BLOQUEIO | LIQUIDACAO</w:t>
            </w:r>
          </w:p>
        </w:tc>
      </w:tr>
    </w:tbl>
    <w:p/>
    <w:p>
      <w:pPr>
        <w:spacing w:before="120" w:after="120"/>
        <w:pBdr>
          <w:bottom w:val="single" w:sz="4" w:space="1" w:color="2B3139"/>
        </w:pBdr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584"/>
            <w:shd w:val="clear" w:color="auto" w:fill="03C076"/>
          </w:tcPr>
          <w:p>
            <w:pPr>
              <w:jc w:val="center"/>
            </w:pPr>
            <w:r>
              <w:rPr>
                <w:rFonts w:ascii="Arial" w:hAnsi="Arial"/>
                <w:b/>
                <w:color w:val="0B0E11"/>
                <w:sz w:val="26"/>
              </w:rPr>
              <w:t>A-03</w:t>
            </w:r>
          </w:p>
        </w:tc>
        <w:tc>
          <w:tcPr>
            <w:tcW w:type="dxa" w:w="7776"/>
            <w:shd w:val="clear" w:color="auto" w:fill="161A1E"/>
          </w:tcPr>
          <w:p>
            <w:pPr>
              <w:ind w:left="144"/>
            </w:pPr>
            <w:r>
              <w:rPr>
                <w:rFonts w:ascii="Arial" w:hAnsi="Arial"/>
                <w:b/>
                <w:color w:val="EAECEF"/>
                <w:sz w:val="24"/>
              </w:rPr>
              <w:t xml:space="preserve">Mercado Secundário — Aplicante View  </w:t>
            </w:r>
            <w:r>
              <w:rPr>
                <w:rFonts w:ascii="Arial" w:hAnsi="Arial"/>
                <w:color w:val="848E9C"/>
                <w:sz w:val="16"/>
              </w:rPr>
              <w:t>[Ref: REF-02 Crystal Stock + REF-08 Trading]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161A1E"/>
            <w:top w:val="single" w:sz="4" w:color="2B3139"/>
            <w:bottom w:val="single" w:sz="4" w:color="2B3139"/>
            <w:left w:val="single" w:sz="4" w:color="2B3139"/>
            <w:right w:val="single" w:sz="4" w:color="2B3139"/>
          </w:tcPr>
          <w:p/>
          <w:p>
            <w:pPr>
              <w:spacing w:before="80"/>
              <w:ind w:left="173"/>
            </w:pPr>
            <w:r>
              <w:rPr>
                <w:rFonts w:ascii="Arial" w:hAnsi="Arial"/>
                <w:b/>
                <w:color w:val="F0B90B"/>
                <w:sz w:val="20"/>
              </w:rPr>
              <w:t>Layout e Componentes — A-03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Ref: REF-02 Crystal Stock App (watchlist compacta + detalhe de ativo com área chart)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Esquerda: Lista de portfólios disponíveis para aquisição (tipo order book Binance)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Cada item da lista: Nome portfólio | Categoria | Rentab. histórica | Preço de transferência | Volume 24h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Centro: Candle chart do portfólio selecionado com histórico de performance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Direita: Painel de aquisição — formulário de oferta com slider de alocação parcial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Header: Volume total negociado hoje | Número de portfólios ofertados | Spread médio</w:t>
            </w:r>
          </w:p>
          <w:p>
            <w:pPr>
              <w:spacing w:after="80"/>
            </w:pPr>
          </w:p>
        </w:tc>
      </w:tr>
    </w:tbl>
    <w:p/>
    <w:p>
      <w:r>
        <w:rPr>
          <w:rFonts w:ascii="Arial" w:hAnsi="Arial"/>
          <w:b/>
          <w:color w:val="0091FF"/>
          <w:sz w:val="18"/>
        </w:rPr>
        <w:t>Prompt A-03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D1117"/>
          </w:tcPr>
          <w:p/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Tela de mercado secundário para Aplicante NEXUS. Layout tipo Binance exchange.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TRÊS COLUNAS: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Esquerda (280px): Lista de portfólios com search e filtros de categoria/rentab.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Cada linha: nome + badge categoria + '4.2% a.m.' (verde Mono) + preço R$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Ativo selecionado: bg #1E2329 + borda esquerda 3px #F0B90B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Centro (flex-1): Candle chart lightweight-charts do portfólio selecionado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Toolbar período + indicadores MA | Abaixo: tabs [Descrição | Contratos | Histórico]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Direita (320px): Painel de compra/transferência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Preço de aquisição (Mono 24px bold gold) | Saldo disponível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Slider de alocação parcial (0-100% do portfólio) com valor em R$ ao lado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Projeção de retorno mensal baseada no histórico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Botão [Adquirir Portfólio] gold, full-width, radius-4px</w:t>
            </w:r>
          </w:p>
        </w:tc>
      </w:tr>
    </w:tbl>
    <w:p/>
    <w:p>
      <w:r>
        <w:br w:type="page"/>
      </w:r>
    </w:p>
    <w:p>
      <w:pPr>
        <w:shd w:val="clear" w:color="auto" w:fill="161A1E"/>
        <w:spacing w:before="360" w:after="120"/>
        <w:ind w:left="144"/>
      </w:pPr>
      <w:r>
        <w:rPr>
          <w:rFonts w:ascii="Arial" w:hAnsi="Arial"/>
          <w:b/>
          <w:color w:val="0091FF"/>
          <w:sz w:val="32"/>
        </w:rPr>
        <w:t>6. Módulo B — Usuário (Tomador de Crédito)</w:t>
      </w:r>
    </w:p>
    <w:p>
      <w:pPr>
        <w:spacing w:before="40" w:after="40"/>
      </w:pPr>
      <w:r>
        <w:rPr>
          <w:rFonts w:ascii="Arial" w:hAnsi="Arial"/>
          <w:b w:val="0"/>
          <w:color w:val="848E9C"/>
          <w:sz w:val="20"/>
        </w:rPr>
        <w:t>Ator: Pessoa física que recebe crédito via cartão pré-pago Visa/Mastercard. Limite R$500–R$2.500. Paga 6% de taxa sobre o uso total na data de vencimento da fatura.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584"/>
            <w:shd w:val="clear" w:color="auto" w:fill="0091FF"/>
          </w:tcPr>
          <w:p>
            <w:pPr>
              <w:jc w:val="center"/>
            </w:pPr>
            <w:r>
              <w:rPr>
                <w:rFonts w:ascii="Arial" w:hAnsi="Arial"/>
                <w:b/>
                <w:color w:val="0B0E11"/>
                <w:sz w:val="26"/>
              </w:rPr>
              <w:t>B-01</w:t>
            </w:r>
          </w:p>
        </w:tc>
        <w:tc>
          <w:tcPr>
            <w:tcW w:type="dxa" w:w="7776"/>
            <w:shd w:val="clear" w:color="auto" w:fill="161A1E"/>
          </w:tcPr>
          <w:p>
            <w:pPr>
              <w:ind w:left="144"/>
            </w:pPr>
            <w:r>
              <w:rPr>
                <w:rFonts w:ascii="Arial" w:hAnsi="Arial"/>
                <w:b/>
                <w:color w:val="EAECEF"/>
                <w:sz w:val="24"/>
              </w:rPr>
              <w:t xml:space="preserve">Dashboard do Usuário — App Mobile (PWA)  </w:t>
            </w:r>
            <w:r>
              <w:rPr>
                <w:rFonts w:ascii="Arial" w:hAnsi="Arial"/>
                <w:color w:val="848E9C"/>
                <w:sz w:val="16"/>
              </w:rPr>
              <w:t>[Ref: REF-04 Fintech Dashboard Olga + REF-07 Components Lending]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161A1E"/>
            <w:top w:val="single" w:sz="4" w:color="2B3139"/>
            <w:bottom w:val="single" w:sz="4" w:color="2B3139"/>
            <w:left w:val="single" w:sz="4" w:color="2B3139"/>
            <w:right w:val="single" w:sz="4" w:color="2B3139"/>
          </w:tcPr>
          <w:p/>
          <w:p>
            <w:pPr>
              <w:spacing w:before="80"/>
              <w:ind w:left="173"/>
            </w:pPr>
            <w:r>
              <w:rPr>
                <w:rFonts w:ascii="Arial" w:hAnsi="Arial"/>
                <w:b/>
                <w:color w:val="F0B90B"/>
                <w:sz w:val="20"/>
              </w:rPr>
              <w:t>Layout e Componentes — B-01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Dispositivo alvo: Mobile first (375px) + Desktop (1440px) responsive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Ref: REF-04 (sidebar colapsável, tabela de transações) + REF-07 (status de contrato, parcelas)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Hero card: Representação visual do cartão pré-pago NEXUS (Visa/MC branding)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Saldo disponível (grande, IBM Plex Mono) + Limite total + % usado como barra de progresso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CTA primário: [Ver Fatura] gold | CTA secundário: [Bloquear Cartão] ghost red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Seção: Últimas Transações (lista compacta com ícone de categoria, valor, data)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Seção: Fatura do Ciclo Atual — breakdown por categoria de consumo (barras horizontais)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Seção: Score de Adimplência (gauge circular com valor e classificação)</w:t>
            </w:r>
          </w:p>
          <w:p>
            <w:pPr>
              <w:spacing w:after="80"/>
            </w:pPr>
          </w:p>
        </w:tc>
      </w:tr>
    </w:tbl>
    <w:p/>
    <w:p>
      <w:r>
        <w:rPr>
          <w:rFonts w:ascii="Arial" w:hAnsi="Arial"/>
          <w:b/>
          <w:color w:val="0091FF"/>
          <w:sz w:val="18"/>
        </w:rPr>
        <w:t>Prompt B-01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D1117"/>
          </w:tcPr>
          <w:p/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Dashboard mobile/PWA para tomador de crédito NEXUS. Design mobile-first.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Mesma paleta Binance. Componentes adaptados para toque.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HERO SECTION: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Cartão virtual com gradiente sutil (#161A1E -&gt; #1E2329)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Logo NEXUS + bandeira Visa/MC | Número mascarado •••• •••• •••• 4242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Nome do usuário | Validade | 'CRÉDITO PRÉ-PAGO'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Abaixo do cartão: 'Disponível: R$ 1.840,00' (Mono 32px bold gold)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Barra de uso: 'R$ 660 usados de R$ 2.500' — barra #F0B90B, fundo #2B3139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BOTÕES RÁPIDOS (grid 2x2 com ícones):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[Ver Fatura] [Histórico] [Bloquear] [Suporte]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ÚLTIMAS TRANSAÇÕES (lista):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Ícone categoria (12 opções com cores distintas) + Nome estabelecimento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Data + valor (vermelho para débito) | Status badge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'Ver todas' link em #F0B90B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FATURA CICLO: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Total: R$ 660,00 | Taxa 6%: R$ 39,60 | Total a pagar: R$ 699,60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Vencimento: countdown em chips [DD HH MM SS]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Breakdown: barras horizontais por categoria, animadas (Framer Motion)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SCORE ADIMPLÊNCIA: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Gauge semicircular (Recharts RadialBarChart) 0-1000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Classificação: Excelente/Bom/Regular/Ruim com cor semântica</w:t>
            </w:r>
          </w:p>
        </w:tc>
      </w:tr>
    </w:tbl>
    <w:p/>
    <w:p>
      <w:pPr>
        <w:spacing w:before="120" w:after="120"/>
        <w:pBdr>
          <w:bottom w:val="single" w:sz="4" w:space="1" w:color="2B3139"/>
        </w:pBdr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584"/>
            <w:shd w:val="clear" w:color="auto" w:fill="0091FF"/>
          </w:tcPr>
          <w:p>
            <w:pPr>
              <w:jc w:val="center"/>
            </w:pPr>
            <w:r>
              <w:rPr>
                <w:rFonts w:ascii="Arial" w:hAnsi="Arial"/>
                <w:b/>
                <w:color w:val="0B0E11"/>
                <w:sz w:val="26"/>
              </w:rPr>
              <w:t>B-02</w:t>
            </w:r>
          </w:p>
        </w:tc>
        <w:tc>
          <w:tcPr>
            <w:tcW w:type="dxa" w:w="7776"/>
            <w:shd w:val="clear" w:color="auto" w:fill="161A1E"/>
          </w:tcPr>
          <w:p>
            <w:pPr>
              <w:ind w:left="144"/>
            </w:pPr>
            <w:r>
              <w:rPr>
                <w:rFonts w:ascii="Arial" w:hAnsi="Arial"/>
                <w:b/>
                <w:color w:val="EAECEF"/>
                <w:sz w:val="24"/>
              </w:rPr>
              <w:t xml:space="preserve">Detalhamento de Fatura  </w:t>
            </w:r>
            <w:r>
              <w:rPr>
                <w:rFonts w:ascii="Arial" w:hAnsi="Arial"/>
                <w:color w:val="848E9C"/>
                <w:sz w:val="16"/>
              </w:rPr>
              <w:t>[Ref: REF-04 Fintech Olga + REF-07 Components Lending]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161A1E"/>
            <w:top w:val="single" w:sz="4" w:color="2B3139"/>
            <w:bottom w:val="single" w:sz="4" w:color="2B3139"/>
            <w:left w:val="single" w:sz="4" w:color="2B3139"/>
            <w:right w:val="single" w:sz="4" w:color="2B3139"/>
          </w:tcPr>
          <w:p/>
          <w:p>
            <w:pPr>
              <w:spacing w:before="80"/>
              <w:ind w:left="173"/>
            </w:pPr>
            <w:r>
              <w:rPr>
                <w:rFonts w:ascii="Arial" w:hAnsi="Arial"/>
                <w:b/>
                <w:color w:val="F0B90B"/>
                <w:sz w:val="20"/>
              </w:rPr>
              <w:t>Componentes — B-02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Header: Mês/Ano da fatura + Status badge (Aberta/Fechada/Paga/Vencida) + botão [Pagar Agora]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Resumo financeiro: Principal | Taxa 6% | Multa (se houver) | Total em destaque (gold)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Tabela de transações do ciclo: Data | Estabelecimento | Categoria chip | Valor | Comprovante icon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Gráfico de pizza por categoria (Recharts PieChart) com legenda lateral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Seção FAQ inline: accordion com dúvidas frequentes sobre fatura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Histórico de faturas: lista de ciclos anteriores com status e valor (últimos 12)</w:t>
            </w:r>
          </w:p>
          <w:p>
            <w:pPr>
              <w:spacing w:after="80"/>
            </w:pPr>
          </w:p>
        </w:tc>
      </w:tr>
    </w:tbl>
    <w:p/>
    <w:p>
      <w:pPr>
        <w:spacing w:before="120" w:after="120"/>
        <w:pBdr>
          <w:bottom w:val="single" w:sz="4" w:space="1" w:color="2B3139"/>
        </w:pBdr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584"/>
            <w:shd w:val="clear" w:color="auto" w:fill="0091FF"/>
          </w:tcPr>
          <w:p>
            <w:pPr>
              <w:jc w:val="center"/>
            </w:pPr>
            <w:r>
              <w:rPr>
                <w:rFonts w:ascii="Arial" w:hAnsi="Arial"/>
                <w:b/>
                <w:color w:val="0B0E11"/>
                <w:sz w:val="26"/>
              </w:rPr>
              <w:t>B-03</w:t>
            </w:r>
          </w:p>
        </w:tc>
        <w:tc>
          <w:tcPr>
            <w:tcW w:type="dxa" w:w="7776"/>
            <w:shd w:val="clear" w:color="auto" w:fill="161A1E"/>
          </w:tcPr>
          <w:p>
            <w:pPr>
              <w:ind w:left="144"/>
            </w:pPr>
            <w:r>
              <w:rPr>
                <w:rFonts w:ascii="Arial" w:hAnsi="Arial"/>
                <w:b/>
                <w:color w:val="EAECEF"/>
                <w:sz w:val="24"/>
              </w:rPr>
              <w:t xml:space="preserve">Onboarding e Solicitação de Crédito  </w:t>
            </w:r>
            <w:r>
              <w:rPr>
                <w:rFonts w:ascii="Arial" w:hAnsi="Arial"/>
                <w:color w:val="848E9C"/>
                <w:sz w:val="16"/>
              </w:rPr>
              <w:t>[Ref: REF-07 Components Lending (input slider)]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161A1E"/>
            <w:top w:val="single" w:sz="4" w:color="2B3139"/>
            <w:bottom w:val="single" w:sz="4" w:color="2B3139"/>
            <w:left w:val="single" w:sz="4" w:color="2B3139"/>
            <w:right w:val="single" w:sz="4" w:color="2B3139"/>
          </w:tcPr>
          <w:p/>
          <w:p>
            <w:pPr>
              <w:spacing w:before="80"/>
              <w:ind w:left="173"/>
            </w:pPr>
            <w:r>
              <w:rPr>
                <w:rFonts w:ascii="Arial" w:hAnsi="Arial"/>
                <w:b/>
                <w:color w:val="F0B90B"/>
                <w:sz w:val="20"/>
              </w:rPr>
              <w:t>Componentes — B-03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Step-by-step wizard (4 etapas): [Dados Pessoais] [Endereço] [Documentos] [Análise]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Progress bar horizontal com etapas numeradas e labels, cor #F0B90B no ativo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Etapa 1: Formulário dados pessoais com validação em tempo real (ícone check verde)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Etapa 2: CEP auto-complete via ViaCEP API, mapa embed opcional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Etapa 3: Upload de documentos com drag &amp; drop, preview de imagem, status de análise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Etapa 4: Tela de análise com loader animado -&gt; resultado: Aprovado/Análise/Reprovado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Resultado aprovado: mostra limite concedido (grande, gold) + CTA [Ativar Cartão]</w:t>
            </w:r>
          </w:p>
          <w:p>
            <w:pPr>
              <w:spacing w:after="80"/>
            </w:pPr>
          </w:p>
        </w:tc>
      </w:tr>
    </w:tbl>
    <w:p/>
    <w:p>
      <w:r>
        <w:br w:type="page"/>
      </w:r>
    </w:p>
    <w:p>
      <w:pPr>
        <w:shd w:val="clear" w:color="auto" w:fill="161A1E"/>
        <w:spacing w:before="360" w:after="120"/>
        <w:ind w:left="144"/>
      </w:pPr>
      <w:r>
        <w:rPr>
          <w:rFonts w:ascii="Arial" w:hAnsi="Arial"/>
          <w:b/>
          <w:color w:val="F0B90B"/>
          <w:sz w:val="32"/>
        </w:rPr>
        <w:t>7. Módulo C — Account Executive (Campo)</w:t>
      </w:r>
    </w:p>
    <w:p>
      <w:pPr>
        <w:spacing w:before="40" w:after="40"/>
      </w:pPr>
      <w:r>
        <w:rPr>
          <w:rFonts w:ascii="Arial" w:hAnsi="Arial"/>
          <w:b w:val="0"/>
          <w:color w:val="848E9C"/>
          <w:sz w:val="20"/>
        </w:rPr>
        <w:t>Hierarquia: Junior AE &gt; Senior AE &gt; Manager &gt; Area Director. Cada nível tem acesso progressivo a métricas de território, comissão e pipeline de captação.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584"/>
            <w:shd w:val="clear" w:color="auto" w:fill="F0B90B"/>
          </w:tcPr>
          <w:p>
            <w:pPr>
              <w:jc w:val="center"/>
            </w:pPr>
            <w:r>
              <w:rPr>
                <w:rFonts w:ascii="Arial" w:hAnsi="Arial"/>
                <w:b/>
                <w:color w:val="0B0E11"/>
                <w:sz w:val="26"/>
              </w:rPr>
              <w:t>C-01</w:t>
            </w:r>
          </w:p>
        </w:tc>
        <w:tc>
          <w:tcPr>
            <w:tcW w:type="dxa" w:w="7776"/>
            <w:shd w:val="clear" w:color="auto" w:fill="161A1E"/>
          </w:tcPr>
          <w:p>
            <w:pPr>
              <w:ind w:left="144"/>
            </w:pPr>
            <w:r>
              <w:rPr>
                <w:rFonts w:ascii="Arial" w:hAnsi="Arial"/>
                <w:b/>
                <w:color w:val="EAECEF"/>
                <w:sz w:val="24"/>
              </w:rPr>
              <w:t xml:space="preserve">Dashboard do Account Executive  </w:t>
            </w:r>
            <w:r>
              <w:rPr>
                <w:rFonts w:ascii="Arial" w:hAnsi="Arial"/>
                <w:color w:val="848E9C"/>
                <w:sz w:val="16"/>
              </w:rPr>
              <w:t>[Ref: REF-03 FinVerse + REF-06 Modern Financial Dashboard]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161A1E"/>
            <w:top w:val="single" w:sz="4" w:color="2B3139"/>
            <w:bottom w:val="single" w:sz="4" w:color="2B3139"/>
            <w:left w:val="single" w:sz="4" w:color="2B3139"/>
            <w:right w:val="single" w:sz="4" w:color="2B3139"/>
          </w:tcPr>
          <w:p/>
          <w:p>
            <w:pPr>
              <w:spacing w:before="80"/>
              <w:ind w:left="173"/>
            </w:pPr>
            <w:r>
              <w:rPr>
                <w:rFonts w:ascii="Arial" w:hAnsi="Arial"/>
                <w:b/>
                <w:color w:val="F0B90B"/>
                <w:sz w:val="20"/>
              </w:rPr>
              <w:t>Layout e Componentes — C-01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Ref: REF-03 (KPI grid 4-colunas, barras empilhadas por categoria) + REF-06 (breakdown receita, tabela recentes)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KPI Row: [Meta Mês] [Captado até agora] [% Atingido] [Comissão Projetada]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Barra de progresso de meta: visual type Binance (tracker horizontal com milestone markers)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Mapa de território: React Simple Maps com calor por densidade de Usuários ativos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Tabela de pipeline: prospects por estágio (Contato &gt; Cadastro &gt; Análise &gt; Ativo)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Ranking da equipe (se Manager+): podium top 3 + tabela completa com pontuação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Feed de alertas: Usuários próximos do vencimento | Novas aprovações | Metas de equipe</w:t>
            </w:r>
          </w:p>
          <w:p>
            <w:pPr>
              <w:spacing w:after="80"/>
            </w:pPr>
          </w:p>
        </w:tc>
      </w:tr>
    </w:tbl>
    <w:p/>
    <w:p>
      <w:r>
        <w:rPr>
          <w:rFonts w:ascii="Arial" w:hAnsi="Arial"/>
          <w:b/>
          <w:color w:val="0091FF"/>
          <w:sz w:val="18"/>
        </w:rPr>
        <w:t>Prompt C-01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D1117"/>
          </w:tcPr>
          <w:p/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Dashboard Account Executive NEXUS. Mesmo Design System Binance.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KPI ROW (4 cards):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[Meta: R$ 500k] [Captado: R$ 347k] [69.4% atingido] [Comissão: R$ 8.680]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Card 'Captado' tem progress bar interna, fill #F0B90B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MAPA DE TERRITÓRIO (React Simple Maps):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Choropleth por município, escala de cor #0B0E11 -&gt; #F0B90B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Tooltip: município + qtd usuários + volume R$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PIPELINE KANBAN (4 colunas):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Contato (azul) | Cadastro (amarelo) | Análise (roxo) | Ativo (verde)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Cards de prospect com nome mascarado, valor estimado, próxima ação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RANKING EQUIPE (se role Manager ou acima):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Podium top 3 com avatar + nome + valor captado + badge de posição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Tabela abaixo: ranking completo com delta vs período anterior</w:t>
            </w:r>
          </w:p>
        </w:tc>
      </w:tr>
    </w:tbl>
    <w:p/>
    <w:p>
      <w:pPr>
        <w:spacing w:before="120" w:after="120"/>
        <w:pBdr>
          <w:bottom w:val="single" w:sz="4" w:space="1" w:color="2B3139"/>
        </w:pBdr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584"/>
            <w:shd w:val="clear" w:color="auto" w:fill="F0B90B"/>
          </w:tcPr>
          <w:p>
            <w:pPr>
              <w:jc w:val="center"/>
            </w:pPr>
            <w:r>
              <w:rPr>
                <w:rFonts w:ascii="Arial" w:hAnsi="Arial"/>
                <w:b/>
                <w:color w:val="0B0E11"/>
                <w:sz w:val="26"/>
              </w:rPr>
              <w:t>C-02</w:t>
            </w:r>
          </w:p>
        </w:tc>
        <w:tc>
          <w:tcPr>
            <w:tcW w:type="dxa" w:w="7776"/>
            <w:shd w:val="clear" w:color="auto" w:fill="161A1E"/>
          </w:tcPr>
          <w:p>
            <w:pPr>
              <w:ind w:left="144"/>
            </w:pPr>
            <w:r>
              <w:rPr>
                <w:rFonts w:ascii="Arial" w:hAnsi="Arial"/>
                <w:b/>
                <w:color w:val="EAECEF"/>
                <w:sz w:val="24"/>
              </w:rPr>
              <w:t xml:space="preserve">Relatório de Território e Risco  </w:t>
            </w:r>
            <w:r>
              <w:rPr>
                <w:rFonts w:ascii="Arial" w:hAnsi="Arial"/>
                <w:color w:val="848E9C"/>
                <w:sz w:val="16"/>
              </w:rPr>
              <w:t>[Ref: REF-09 Fintech Dashboard UI Kit (NPL/risco)]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161A1E"/>
            <w:top w:val="single" w:sz="4" w:color="2B3139"/>
            <w:bottom w:val="single" w:sz="4" w:color="2B3139"/>
            <w:left w:val="single" w:sz="4" w:color="2B3139"/>
            <w:right w:val="single" w:sz="4" w:color="2B3139"/>
          </w:tcPr>
          <w:p/>
          <w:p>
            <w:pPr>
              <w:spacing w:before="80"/>
              <w:ind w:left="173"/>
            </w:pPr>
            <w:r>
              <w:rPr>
                <w:rFonts w:ascii="Arial" w:hAnsi="Arial"/>
                <w:b/>
                <w:color w:val="F0B90B"/>
                <w:sz w:val="20"/>
              </w:rPr>
              <w:t>Componentes — C-02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Ref: REF-09 (Risk Score visual, mapa de risco geográfico, tabela NPL por categoria)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Header: seletor de período + seletor de território + botão [Exportar PDF]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Risk Score por categoria: grid 12 chips com cor semântica (verde/amarelo/vermelho por DPD)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Gráfico NPL trending: área chart com linha de threshold (linha tracejada vermelha em 5%)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Tabela detalhada: Categoria | Volume R$ | Contratos | Adimplência% | DPD30 | DPD60 | DPD90+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Heatmap temporal: matrix mes x categoria com intensidade de cor por inadimplência</w:t>
            </w:r>
          </w:p>
          <w:p>
            <w:pPr>
              <w:spacing w:after="80"/>
            </w:pPr>
          </w:p>
        </w:tc>
      </w:tr>
    </w:tbl>
    <w:p/>
    <w:p>
      <w:r>
        <w:br w:type="page"/>
      </w:r>
    </w:p>
    <w:p>
      <w:pPr>
        <w:shd w:val="clear" w:color="auto" w:fill="161A1E"/>
        <w:spacing w:before="360" w:after="120"/>
        <w:ind w:left="144"/>
      </w:pPr>
      <w:r>
        <w:rPr>
          <w:rFonts w:ascii="Arial" w:hAnsi="Arial"/>
          <w:b/>
          <w:color w:val="6C3ABD"/>
          <w:sz w:val="32"/>
        </w:rPr>
        <w:t>8. Módulo D — Board 360° / Administração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584"/>
            <w:shd w:val="clear" w:color="auto" w:fill="6C3ABD"/>
          </w:tcPr>
          <w:p>
            <w:pPr>
              <w:jc w:val="center"/>
            </w:pPr>
            <w:r>
              <w:rPr>
                <w:rFonts w:ascii="Arial" w:hAnsi="Arial"/>
                <w:b/>
                <w:color w:val="0B0E11"/>
                <w:sz w:val="26"/>
              </w:rPr>
              <w:t>D-01</w:t>
            </w:r>
          </w:p>
        </w:tc>
        <w:tc>
          <w:tcPr>
            <w:tcW w:type="dxa" w:w="7776"/>
            <w:shd w:val="clear" w:color="auto" w:fill="161A1E"/>
          </w:tcPr>
          <w:p>
            <w:pPr>
              <w:ind w:left="144"/>
            </w:pPr>
            <w:r>
              <w:rPr>
                <w:rFonts w:ascii="Arial" w:hAnsi="Arial"/>
                <w:b/>
                <w:color w:val="EAECEF"/>
                <w:sz w:val="24"/>
              </w:rPr>
              <w:t xml:space="preserve">Board Dashboard — Visão Macro NEXUS  </w:t>
            </w:r>
            <w:r>
              <w:rPr>
                <w:rFonts w:ascii="Arial" w:hAnsi="Arial"/>
                <w:color w:val="848E9C"/>
                <w:sz w:val="16"/>
              </w:rPr>
              <w:t>[Ref: REF-01 ChainScope + REF-03 FinVerse]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161A1E"/>
            <w:top w:val="single" w:sz="4" w:color="2B3139"/>
            <w:bottom w:val="single" w:sz="4" w:color="2B3139"/>
            <w:left w:val="single" w:sz="4" w:color="2B3139"/>
            <w:right w:val="single" w:sz="4" w:color="2B3139"/>
          </w:tcPr>
          <w:p/>
          <w:p>
            <w:pPr>
              <w:spacing w:before="80"/>
              <w:ind w:left="173"/>
            </w:pPr>
            <w:r>
              <w:rPr>
                <w:rFonts w:ascii="Arial" w:hAnsi="Arial"/>
                <w:b/>
                <w:color w:val="F0B90B"/>
                <w:sz w:val="20"/>
              </w:rPr>
              <w:t>Layout — D-01 (densidade máxima estilo Binance Pro)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KPI Row (6 cards menores): AUM Total | Aplicantes Ativos | Usuários Ativos | Contratos | NPL Global | Receita Mês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Row 2: Candle chart de AUM ao longo do tempo (8col) + Composição por trilha GREY/SCD/SEP (4col)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Row 3: Mapa geográfico Brasil — densidade de operações por estado (heat map)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Row 4: Tabela de maiores portfólios com sorting + Alertas de compliance (lista lateral)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Row 5: MACRO HASH ledger — últimos 50 eventos com tipo, valor, hash e timestamp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Permissão: apenas roles Board, CFO, CTO, Compliance Officer</w:t>
            </w:r>
          </w:p>
          <w:p>
            <w:pPr>
              <w:spacing w:after="80"/>
            </w:pP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584"/>
            <w:shd w:val="clear" w:color="auto" w:fill="6C3ABD"/>
          </w:tcPr>
          <w:p>
            <w:pPr>
              <w:jc w:val="center"/>
            </w:pPr>
            <w:r>
              <w:rPr>
                <w:rFonts w:ascii="Arial" w:hAnsi="Arial"/>
                <w:b/>
                <w:color w:val="0B0E11"/>
                <w:sz w:val="26"/>
              </w:rPr>
              <w:t>D-02</w:t>
            </w:r>
          </w:p>
        </w:tc>
        <w:tc>
          <w:tcPr>
            <w:tcW w:type="dxa" w:w="7776"/>
            <w:shd w:val="clear" w:color="auto" w:fill="161A1E"/>
          </w:tcPr>
          <w:p>
            <w:pPr>
              <w:ind w:left="144"/>
            </w:pPr>
            <w:r>
              <w:rPr>
                <w:rFonts w:ascii="Arial" w:hAnsi="Arial"/>
                <w:b/>
                <w:color w:val="EAECEF"/>
                <w:sz w:val="24"/>
              </w:rPr>
              <w:t xml:space="preserve">Gestão Financeira e P&amp;L  </w:t>
            </w:r>
            <w:r>
              <w:rPr>
                <w:rFonts w:ascii="Arial" w:hAnsi="Arial"/>
                <w:color w:val="848E9C"/>
                <w:sz w:val="16"/>
              </w:rPr>
              <w:t>[Ref: REF-06 Modern Financial Dashboard]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161A1E"/>
            <w:top w:val="single" w:sz="4" w:color="2B3139"/>
            <w:bottom w:val="single" w:sz="4" w:color="2B3139"/>
            <w:left w:val="single" w:sz="4" w:color="2B3139"/>
            <w:right w:val="single" w:sz="4" w:color="2B3139"/>
          </w:tcPr>
          <w:p/>
          <w:p>
            <w:pPr>
              <w:spacing w:before="80"/>
              <w:ind w:left="173"/>
            </w:pPr>
            <w:r>
              <w:rPr>
                <w:rFonts w:ascii="Arial" w:hAnsi="Arial"/>
                <w:b/>
                <w:color w:val="F0B90B"/>
                <w:sz w:val="20"/>
              </w:rPr>
              <w:t>Componentes — D-02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Ref: REF-06 (breakdown receita donut, tabela transações, histórico saques)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P&amp;L summary: Receita Bruta | Custos Operacionais | Provisão PDD | Lucro Líquido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Waterfall chart: de receita bruta até lucro líquido (barras verdes/vermelhas empilhadas)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Timeline de fluxo de caixa: linha chart com projeção (linha tracejada gold)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Tabela de contas a receber vs pagar por vencimento (aging report)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Simulador de cenários: sliders para taxa média, inadimplência%, aporte médio -&gt; P&amp;L projetado</w:t>
            </w:r>
          </w:p>
          <w:p>
            <w:pPr>
              <w:spacing w:after="80"/>
            </w:pP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584"/>
            <w:shd w:val="clear" w:color="auto" w:fill="6C3ABD"/>
          </w:tcPr>
          <w:p>
            <w:pPr>
              <w:jc w:val="center"/>
            </w:pPr>
            <w:r>
              <w:rPr>
                <w:rFonts w:ascii="Arial" w:hAnsi="Arial"/>
                <w:b/>
                <w:color w:val="0B0E11"/>
                <w:sz w:val="26"/>
              </w:rPr>
              <w:t>D-03</w:t>
            </w:r>
          </w:p>
        </w:tc>
        <w:tc>
          <w:tcPr>
            <w:tcW w:type="dxa" w:w="7776"/>
            <w:shd w:val="clear" w:color="auto" w:fill="161A1E"/>
          </w:tcPr>
          <w:p>
            <w:pPr>
              <w:ind w:left="144"/>
            </w:pPr>
            <w:r>
              <w:rPr>
                <w:rFonts w:ascii="Arial" w:hAnsi="Arial"/>
                <w:b/>
                <w:color w:val="EAECEF"/>
                <w:sz w:val="24"/>
              </w:rPr>
              <w:t xml:space="preserve">MACRO HASH Ledger Explorer  </w:t>
            </w:r>
            <w:r>
              <w:rPr>
                <w:rFonts w:ascii="Arial" w:hAnsi="Arial"/>
                <w:color w:val="848E9C"/>
                <w:sz w:val="16"/>
              </w:rPr>
              <w:t>[Ref: REF-10 Binance (blockchain explorer style)]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161A1E"/>
            <w:top w:val="single" w:sz="4" w:color="2B3139"/>
            <w:bottom w:val="single" w:sz="4" w:color="2B3139"/>
            <w:left w:val="single" w:sz="4" w:color="2B3139"/>
            <w:right w:val="single" w:sz="4" w:color="2B3139"/>
          </w:tcPr>
          <w:p/>
          <w:p>
            <w:pPr>
              <w:spacing w:before="80"/>
              <w:ind w:left="173"/>
            </w:pPr>
            <w:r>
              <w:rPr>
                <w:rFonts w:ascii="Arial" w:hAnsi="Arial"/>
                <w:b/>
                <w:color w:val="F0B90B"/>
                <w:sz w:val="20"/>
              </w:rPr>
              <w:t>Componentes — D-03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Inspiração: Etherscan / Binance Chain Explorer adaptado para NEXUS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Search bar no topo: busca por hash de plataforma, portfólio, contrato ou bloco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Estrutura hierárquica: Platform Hash -&gt; Investor Hash -&gt; Portfolio Hash -&gt; Contract Hash -&gt; Block State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Tree view expansível com ícones de nível e cor por status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Detalhe de bloco: JSON viewer formatado com syntax highlight (IBM Plex Mono)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Timeline de estados: fluxo visual EMISSAO &gt; USO &gt; COBRANCA &gt; PAGAMENTO &gt; LIQUIDACAO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Exportar trilha de auditoria: botão [Baixar CSV] + [Baixar PDF assinado]</w:t>
            </w:r>
          </w:p>
          <w:p>
            <w:pPr>
              <w:spacing w:after="80"/>
            </w:pP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584"/>
            <w:shd w:val="clear" w:color="auto" w:fill="6C3ABD"/>
          </w:tcPr>
          <w:p>
            <w:pPr>
              <w:jc w:val="center"/>
            </w:pPr>
            <w:r>
              <w:rPr>
                <w:rFonts w:ascii="Arial" w:hAnsi="Arial"/>
                <w:b/>
                <w:color w:val="0B0E11"/>
                <w:sz w:val="26"/>
              </w:rPr>
              <w:t>D-04</w:t>
            </w:r>
          </w:p>
        </w:tc>
        <w:tc>
          <w:tcPr>
            <w:tcW w:type="dxa" w:w="7776"/>
            <w:shd w:val="clear" w:color="auto" w:fill="161A1E"/>
          </w:tcPr>
          <w:p>
            <w:pPr>
              <w:ind w:left="144"/>
            </w:pPr>
            <w:r>
              <w:rPr>
                <w:rFonts w:ascii="Arial" w:hAnsi="Arial"/>
                <w:b/>
                <w:color w:val="EAECEF"/>
                <w:sz w:val="24"/>
              </w:rPr>
              <w:t xml:space="preserve">Compliance e Monitoramento AML/KYC  </w:t>
            </w:r>
            <w:r>
              <w:rPr>
                <w:rFonts w:ascii="Arial" w:hAnsi="Arial"/>
                <w:color w:val="848E9C"/>
                <w:sz w:val="16"/>
              </w:rPr>
              <w:t>[Ref: REF-09 Fintech Risk Dashboard]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161A1E"/>
            <w:top w:val="single" w:sz="4" w:color="2B3139"/>
            <w:bottom w:val="single" w:sz="4" w:color="2B3139"/>
            <w:left w:val="single" w:sz="4" w:color="2B3139"/>
            <w:right w:val="single" w:sz="4" w:color="2B3139"/>
          </w:tcPr>
          <w:p/>
          <w:p>
            <w:pPr>
              <w:spacing w:before="80"/>
              <w:ind w:left="173"/>
            </w:pPr>
            <w:r>
              <w:rPr>
                <w:rFonts w:ascii="Arial" w:hAnsi="Arial"/>
                <w:b/>
                <w:color w:val="F0B90B"/>
                <w:sz w:val="20"/>
              </w:rPr>
              <w:t>Componentes — D-04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Score AML por usuário: tabela com indicadores de risco FATF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Alertas de KYC pendente: fila de aprovação com prazo e prioridade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Relatório BACEN: status de envio das declarações regulatórias (CMN 5050/2022)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Mapa de calor de transações suspeitas: volume x horário x categoria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Integração Open Finance: status das conexões por banco parceiro + latência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Log de auditoria de acesso: quem acessou o quê, quando, de qual IP</w:t>
            </w:r>
          </w:p>
          <w:p>
            <w:pPr>
              <w:spacing w:after="80"/>
            </w:pPr>
          </w:p>
        </w:tc>
      </w:tr>
    </w:tbl>
    <w:p/>
    <w:p>
      <w:r>
        <w:br w:type="page"/>
      </w:r>
    </w:p>
    <w:p>
      <w:pPr>
        <w:shd w:val="clear" w:color="auto" w:fill="161A1E"/>
        <w:spacing w:before="360" w:after="120"/>
        <w:ind w:left="144"/>
      </w:pPr>
      <w:r>
        <w:rPr>
          <w:rFonts w:ascii="Arial" w:hAnsi="Arial"/>
          <w:b/>
          <w:color w:val="0091FF"/>
          <w:sz w:val="32"/>
        </w:rPr>
        <w:t>9. Módulo E — Mercado Secundário de Contratos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584"/>
            <w:shd w:val="clear" w:color="auto" w:fill="0091FF"/>
          </w:tcPr>
          <w:p>
            <w:pPr>
              <w:jc w:val="center"/>
            </w:pPr>
            <w:r>
              <w:rPr>
                <w:rFonts w:ascii="Arial" w:hAnsi="Arial"/>
                <w:b/>
                <w:color w:val="0B0E11"/>
                <w:sz w:val="26"/>
              </w:rPr>
              <w:t>E-01</w:t>
            </w:r>
          </w:p>
        </w:tc>
        <w:tc>
          <w:tcPr>
            <w:tcW w:type="dxa" w:w="7776"/>
            <w:shd w:val="clear" w:color="auto" w:fill="161A1E"/>
          </w:tcPr>
          <w:p>
            <w:pPr>
              <w:ind w:left="144"/>
            </w:pPr>
            <w:r>
              <w:rPr>
                <w:rFonts w:ascii="Arial" w:hAnsi="Arial"/>
                <w:b/>
                <w:color w:val="EAECEF"/>
                <w:sz w:val="24"/>
              </w:rPr>
              <w:t xml:space="preserve">Order Book de Portfólios  </w:t>
            </w:r>
            <w:r>
              <w:rPr>
                <w:rFonts w:ascii="Arial" w:hAnsi="Arial"/>
                <w:color w:val="848E9C"/>
                <w:sz w:val="16"/>
              </w:rPr>
              <w:t>[Ref: REF-08 Crypto Trading + REF-02 Crystal Stock]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161A1E"/>
            <w:top w:val="single" w:sz="4" w:color="2B3139"/>
            <w:bottom w:val="single" w:sz="4" w:color="2B3139"/>
            <w:left w:val="single" w:sz="4" w:color="2B3139"/>
            <w:right w:val="single" w:sz="4" w:color="2B3139"/>
          </w:tcPr>
          <w:p/>
          <w:p>
            <w:pPr>
              <w:spacing w:before="80"/>
              <w:ind w:left="173"/>
            </w:pPr>
            <w:r>
              <w:rPr>
                <w:rFonts w:ascii="Arial" w:hAnsi="Arial"/>
                <w:b/>
                <w:color w:val="F0B90B"/>
                <w:sz w:val="20"/>
              </w:rPr>
              <w:t>Layout — E-01 (3 colunas tipo Binance Exchange)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Ref: REF-08 exato (order book direita, chart centro, lista esquerda)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Esquerda: Lista de portfólios ofertados com ticker, rentabilidade, preço, delta 24h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Centro: Candle chart do portfólio selecionado + volume bars + indicadores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Direita cima: Order book (ofertas de compra verde / ofertas de venda vermelho)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Direita baixo: Formulário de oferta (Comprar / Vender tabs) com campo de valor e quantidade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Rodapé: Histórico de negociações recentes (tabela compacta: preço | qtd | horário | lado)</w:t>
            </w:r>
          </w:p>
          <w:p>
            <w:pPr>
              <w:spacing w:after="80"/>
            </w:pP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584"/>
            <w:shd w:val="clear" w:color="auto" w:fill="0091FF"/>
          </w:tcPr>
          <w:p>
            <w:pPr>
              <w:jc w:val="center"/>
            </w:pPr>
            <w:r>
              <w:rPr>
                <w:rFonts w:ascii="Arial" w:hAnsi="Arial"/>
                <w:b/>
                <w:color w:val="0B0E11"/>
                <w:sz w:val="26"/>
              </w:rPr>
              <w:t>E-02</w:t>
            </w:r>
          </w:p>
        </w:tc>
        <w:tc>
          <w:tcPr>
            <w:tcW w:type="dxa" w:w="7776"/>
            <w:shd w:val="clear" w:color="auto" w:fill="161A1E"/>
          </w:tcPr>
          <w:p>
            <w:pPr>
              <w:ind w:left="144"/>
            </w:pPr>
            <w:r>
              <w:rPr>
                <w:rFonts w:ascii="Arial" w:hAnsi="Arial"/>
                <w:b/>
                <w:color w:val="EAECEF"/>
                <w:sz w:val="24"/>
              </w:rPr>
              <w:t xml:space="preserve">Detalhe de Contrato Individual  </w:t>
            </w:r>
            <w:r>
              <w:rPr>
                <w:rFonts w:ascii="Arial" w:hAnsi="Arial"/>
                <w:color w:val="848E9C"/>
                <w:sz w:val="16"/>
              </w:rPr>
              <w:t>[Ref: REF-07 Components Lending + REF-08 Trading]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161A1E"/>
            <w:top w:val="single" w:sz="4" w:color="2B3139"/>
            <w:bottom w:val="single" w:sz="4" w:color="2B3139"/>
            <w:left w:val="single" w:sz="4" w:color="2B3139"/>
            <w:right w:val="single" w:sz="4" w:color="2B3139"/>
          </w:tcPr>
          <w:p/>
          <w:p>
            <w:pPr>
              <w:spacing w:before="80"/>
              <w:ind w:left="173"/>
            </w:pPr>
            <w:r>
              <w:rPr>
                <w:rFonts w:ascii="Arial" w:hAnsi="Arial"/>
                <w:b/>
                <w:color w:val="F0B90B"/>
                <w:sz w:val="20"/>
              </w:rPr>
              <w:t>Componentes — E-02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Ref: REF-07 (status badge de contrato, tabela de parcelas) + REF-08 (painel de detalhes lateral)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Header: Hash do contrato (IBM Plex Mono gold) + Status badge + Data emissão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Dados do contrato: Categoria | Limite | Uso atual | Taxa | Próx. vencimento | Score do Usuário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MACRO HASH timeline vertical do contrato (todos os eventos desde emissão)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Histórico de pagamentos: tabela com valor pago, data, atraso (dias), multa aplicada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Painel de risco: probability of default, LGD estimado, score comportamental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848E9C"/>
                <w:sz w:val="18"/>
              </w:rPr>
              <w:t>Botão [Fazer Oferta] para colocar contrato no mercado secundário</w:t>
            </w:r>
          </w:p>
          <w:p>
            <w:pPr>
              <w:spacing w:after="80"/>
            </w:pPr>
          </w:p>
        </w:tc>
      </w:tr>
    </w:tbl>
    <w:p/>
    <w:p>
      <w:r>
        <w:br w:type="page"/>
      </w:r>
    </w:p>
    <w:p>
      <w:pPr>
        <w:shd w:val="clear" w:color="auto" w:fill="161A1E"/>
        <w:spacing w:before="360" w:after="120"/>
        <w:ind w:left="144"/>
      </w:pPr>
      <w:r>
        <w:rPr>
          <w:rFonts w:ascii="Arial" w:hAnsi="Arial"/>
          <w:b/>
          <w:color w:val="F0B90B"/>
          <w:sz w:val="32"/>
        </w:rPr>
        <w:t>10. Módulo F — Integração BI (Apache Superset + Metabase + Grafana + Power BI)</w:t>
      </w:r>
    </w:p>
    <w:p>
      <w:pPr>
        <w:spacing w:before="200" w:after="80"/>
      </w:pPr>
      <w:r>
        <w:rPr>
          <w:rFonts w:ascii="Arial" w:hAnsi="Arial"/>
          <w:b/>
          <w:color w:val="EAECEF"/>
          <w:sz w:val="26"/>
        </w:rPr>
        <w:t>10.1 Estratégia de BI por Perfil de Usuário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2493"/>
        <w:gridCol w:w="2493"/>
        <w:gridCol w:w="2493"/>
      </w:tblGrid>
      <w:tr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Ferramenta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Perfil Alvo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Caso de Uso Principal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Tipo de Deploy</w:t>
            </w:r>
          </w:p>
        </w:tc>
      </w:tr>
      <w:tr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Apache Superset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Analistas de Dados / CTO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SQL exploratório, dashboards técnicos ad-hoc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Self-hosted Docker</w:t>
            </w:r>
          </w:p>
        </w:tc>
      </w:tr>
      <w:tr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Metabase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Account Executives / Field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Relatórios pré-construídos, embed no app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Self-hosted ou Cloud</w:t>
            </w:r>
          </w:p>
        </w:tc>
      </w:tr>
      <w:tr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Grafana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SRE / Operações em tempo real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Latência, erros, saúde da plataforma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Self-hosted + Prometheus</w:t>
            </w:r>
          </w:p>
        </w:tc>
      </w:tr>
      <w:tr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Power BI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Board / Investidores Externos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Apresentações institucionais, .pbix templates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Power BI Service (cloud)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EAECEF"/>
          <w:sz w:val="26"/>
        </w:rPr>
        <w:t>10.2 Apache Superset — SQL Views e REST API</w:t>
      </w:r>
    </w:p>
    <w:p>
      <w:pPr>
        <w:spacing w:before="160" w:after="40"/>
      </w:pPr>
      <w:r>
        <w:rPr>
          <w:rFonts w:ascii="Arial" w:hAnsi="Arial"/>
          <w:b/>
          <w:color w:val="F0B90B"/>
          <w:sz w:val="22"/>
        </w:rPr>
        <w:t>Views SQL para NEXUS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3324"/>
        <w:gridCol w:w="3324"/>
      </w:tblGrid>
      <w:tr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View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Descrição</w:t>
            </w:r>
          </w:p>
        </w:tc>
        <w:tc>
          <w:tcPr>
            <w:tcW w:type="dxa" w:w="5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Campos Principais</w:t>
            </w:r>
          </w:p>
        </w:tc>
      </w:tr>
      <w:tr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nexus_portfolio_overview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Resumo de todos portfólios ativos</w:t>
            </w:r>
          </w:p>
        </w:tc>
        <w:tc>
          <w:tcPr>
            <w:tcW w:type="dxa" w:w="5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investor_id, portfolio_hash, aum, return_pct, contract_count, npl_rate, created_at</w:t>
            </w:r>
          </w:p>
        </w:tc>
      </w:tr>
      <w:tr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nexus_executive_kpis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KPIs por Account Executive e território</w:t>
            </w:r>
          </w:p>
        </w:tc>
        <w:tc>
          <w:tcPr>
            <w:tcW w:type="dxa" w:w="5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ae_id, territory, target, achieved, commission, pipeline_count, conversion_rate</w:t>
            </w:r>
          </w:p>
        </w:tc>
      </w:tr>
      <w:tr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nexus_financial_summary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P&amp;L consolidado por período</w:t>
            </w:r>
          </w:p>
        </w:tc>
        <w:tc>
          <w:tcPr>
            <w:tcW w:type="dxa" w:w="5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period, gross_revenue, provisions, opex, net_income, aum_eod, active_users</w:t>
            </w:r>
          </w:p>
        </w:tc>
      </w:tr>
      <w:tr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nexus_delinquency_map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Mapa de inadimplência por categoria</w:t>
            </w:r>
          </w:p>
        </w:tc>
        <w:tc>
          <w:tcPr>
            <w:tcW w:type="dxa" w:w="5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category_id, category_name, total_contracts, dpd30, dpd60, dpd90_plus, npl_pct</w:t>
            </w:r>
          </w:p>
        </w:tc>
      </w:tr>
      <w:tr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nexus_macro_hash_events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Log do ledger MACRO HASH</w:t>
            </w:r>
          </w:p>
        </w:tc>
        <w:tc>
          <w:tcPr>
            <w:tcW w:type="dxa" w:w="5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event_type, platform_hash, investor_hash, portfolio_hash, contract_hash, amount, ts</w:t>
            </w:r>
          </w:p>
        </w:tc>
      </w:tr>
      <w:tr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nexus_user_score_distribution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Distribuição de score de usuários</w:t>
            </w:r>
          </w:p>
        </w:tc>
        <w:tc>
          <w:tcPr>
            <w:tcW w:type="dxa" w:w="5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score_bucket, count, avg_limit, avg_usage_pct, default_rate</w:t>
            </w:r>
          </w:p>
        </w:tc>
      </w:tr>
    </w:tbl>
    <w:p/>
    <w:p>
      <w:pPr>
        <w:spacing w:before="160" w:after="40"/>
      </w:pPr>
      <w:r>
        <w:rPr>
          <w:rFonts w:ascii="Arial" w:hAnsi="Arial"/>
          <w:b/>
          <w:color w:val="F0B90B"/>
          <w:sz w:val="22"/>
        </w:rPr>
        <w:t>Endpoints REST — Apache Superset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3324"/>
        <w:gridCol w:w="3324"/>
      </w:tblGrid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Método</w:t>
            </w:r>
          </w:p>
        </w:tc>
        <w:tc>
          <w:tcPr>
            <w:tcW w:type="dxa" w:w="5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Endpoint</w:t>
            </w:r>
          </w:p>
        </w:tc>
        <w:tc>
          <w:tcPr>
            <w:tcW w:type="dxa" w:w="6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Descrição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POST</w:t>
            </w:r>
          </w:p>
        </w:tc>
        <w:tc>
          <w:tcPr>
            <w:tcW w:type="dxa" w:w="5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/api/v1/security/login</w:t>
            </w:r>
          </w:p>
        </w:tc>
        <w:tc>
          <w:tcPr>
            <w:tcW w:type="dxa" w:w="6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Autenticação — retorna access_token JWT</w:t>
            </w:r>
          </w:p>
        </w:tc>
      </w:tr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GET</w:t>
            </w:r>
          </w:p>
        </w:tc>
        <w:tc>
          <w:tcPr>
            <w:tcW w:type="dxa" w:w="5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/api/v1/dashboard/</w:t>
            </w:r>
          </w:p>
        </w:tc>
        <w:tc>
          <w:tcPr>
            <w:tcW w:type="dxa" w:w="6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Lista todos os dashboards disponíveis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GET</w:t>
            </w:r>
          </w:p>
        </w:tc>
        <w:tc>
          <w:tcPr>
            <w:tcW w:type="dxa" w:w="5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/api/v1/dashboard/{id}/embedded</w:t>
            </w:r>
          </w:p>
        </w:tc>
        <w:tc>
          <w:tcPr>
            <w:tcW w:type="dxa" w:w="6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Configuração de embed (token de guest)</w:t>
            </w:r>
          </w:p>
        </w:tc>
      </w:tr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POST</w:t>
            </w:r>
          </w:p>
        </w:tc>
        <w:tc>
          <w:tcPr>
            <w:tcW w:type="dxa" w:w="5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/api/v1/security/guest_token/</w:t>
            </w:r>
          </w:p>
        </w:tc>
        <w:tc>
          <w:tcPr>
            <w:tcW w:type="dxa" w:w="6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Gera guest token para embed seguro no NEXUS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GET</w:t>
            </w:r>
          </w:p>
        </w:tc>
        <w:tc>
          <w:tcPr>
            <w:tcW w:type="dxa" w:w="5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/api/v1/chart/{id}/data/</w:t>
            </w:r>
          </w:p>
        </w:tc>
        <w:tc>
          <w:tcPr>
            <w:tcW w:type="dxa" w:w="6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Dados de um gráfico específico</w:t>
            </w:r>
          </w:p>
        </w:tc>
      </w:tr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POST</w:t>
            </w:r>
          </w:p>
        </w:tc>
        <w:tc>
          <w:tcPr>
            <w:tcW w:type="dxa" w:w="5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/api/v1/sqllab/execute/</w:t>
            </w:r>
          </w:p>
        </w:tc>
        <w:tc>
          <w:tcPr>
            <w:tcW w:type="dxa" w:w="6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Executa query SQL ad-hoc na view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GET</w:t>
            </w:r>
          </w:p>
        </w:tc>
        <w:tc>
          <w:tcPr>
            <w:tcW w:type="dxa" w:w="5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/api/v1/dataset/</w:t>
            </w:r>
          </w:p>
        </w:tc>
        <w:tc>
          <w:tcPr>
            <w:tcW w:type="dxa" w:w="6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Lista datasets disponíveis</w:t>
            </w:r>
          </w:p>
        </w:tc>
      </w:tr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POST</w:t>
            </w:r>
          </w:p>
        </w:tc>
        <w:tc>
          <w:tcPr>
            <w:tcW w:type="dxa" w:w="5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/api/v1/chart/</w:t>
            </w:r>
          </w:p>
        </w:tc>
        <w:tc>
          <w:tcPr>
            <w:tcW w:type="dxa" w:w="6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Cria novo gráfico programaticamente</w:t>
            </w:r>
          </w:p>
        </w:tc>
      </w:tr>
    </w:tbl>
    <w:p/>
    <w:p>
      <w:r>
        <w:rPr>
          <w:rFonts w:ascii="Arial" w:hAnsi="Arial"/>
          <w:b/>
          <w:color w:val="0091FF"/>
          <w:sz w:val="18"/>
        </w:rPr>
        <w:t>Superset Embed — React Integration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D1117"/>
          </w:tcPr>
          <w:p/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// Embed Superset dashboard no NEXUS (React)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const embedSuperset = async (dashboardId: string) =&gt; {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const { token } = await fetch('/api/superset/guest-token', {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method: 'POST',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body: JSON.stringify({ dashboardId, user: currentUser.id })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}).then(r =&gt; r.json());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return (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&lt;iframe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  src={`${SUPERSET_URL}/superset/dashboard/${dashboardId}/?standalone=3&amp;uiConfig=...`}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  style={{ background: '#0B0E11', border: 'none', width: '100%', height: '600px' }}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/&gt;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);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};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EAECEF"/>
          <w:sz w:val="26"/>
        </w:rPr>
        <w:t>10.3 Metabase — Embed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3324"/>
        <w:gridCol w:w="3324"/>
      </w:tblGrid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Método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Endpoint</w:t>
            </w:r>
          </w:p>
        </w:tc>
        <w:tc>
          <w:tcPr>
            <w:tcW w:type="dxa" w:w="6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Descrição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POST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/api/session</w:t>
            </w:r>
          </w:p>
        </w:tc>
        <w:tc>
          <w:tcPr>
            <w:tcW w:type="dxa" w:w="6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Login — retorna session token</w:t>
            </w:r>
          </w:p>
        </w:tc>
      </w:tr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GET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/api/dashboard/{id}</w:t>
            </w:r>
          </w:p>
        </w:tc>
        <w:tc>
          <w:tcPr>
            <w:tcW w:type="dxa" w:w="6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Detalhes de um dashboard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POST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/api/embed/dashboard/{token}</w:t>
            </w:r>
          </w:p>
        </w:tc>
        <w:tc>
          <w:tcPr>
            <w:tcW w:type="dxa" w:w="6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URL de embed com JWT assinado</w:t>
            </w:r>
          </w:p>
        </w:tc>
      </w:tr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GET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/api/card/{id}/query</w:t>
            </w:r>
          </w:p>
        </w:tc>
        <w:tc>
          <w:tcPr>
            <w:tcW w:type="dxa" w:w="6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Executa uma question salva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POST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/api/dataset</w:t>
            </w:r>
          </w:p>
        </w:tc>
        <w:tc>
          <w:tcPr>
            <w:tcW w:type="dxa" w:w="6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Query ad-hoc com filtros</w:t>
            </w:r>
          </w:p>
        </w:tc>
      </w:tr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GET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/api/collection/</w:t>
            </w:r>
          </w:p>
        </w:tc>
        <w:tc>
          <w:tcPr>
            <w:tcW w:type="dxa" w:w="6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Lista coleções (pastas)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POST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/api/card/</w:t>
            </w:r>
          </w:p>
        </w:tc>
        <w:tc>
          <w:tcPr>
            <w:tcW w:type="dxa" w:w="6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Cria nova question</w:t>
            </w:r>
          </w:p>
        </w:tc>
      </w:tr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GET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/api/user/current</w:t>
            </w:r>
          </w:p>
        </w:tc>
        <w:tc>
          <w:tcPr>
            <w:tcW w:type="dxa" w:w="6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Perfil do usuário autenticado</w:t>
            </w:r>
          </w:p>
        </w:tc>
      </w:tr>
    </w:tbl>
    <w:p/>
    <w:p>
      <w:r>
        <w:rPr>
          <w:rFonts w:ascii="Arial" w:hAnsi="Arial"/>
          <w:b/>
          <w:color w:val="0091FF"/>
          <w:sz w:val="18"/>
        </w:rPr>
        <w:t>Metabase Signed Embed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D1117"/>
          </w:tcPr>
          <w:p/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// Metabase Signed Embed (Node.js / Next.js API route)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import jwt from 'jsonwebtoken';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export async function getMetabaseEmbedUrl(dashboardId: number, params: object) {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const token = jwt.sign(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{ resource: { dashboard: dashboardId }, params, exp: Math.round(Date.now()/1000) + 600 },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process.env.METABASE_SECRET_KEY!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);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return `${process.env.METABASE_URL}/embed/dashboard/${token}#bordered=false&amp;titled=false&amp;theme=night`;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}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// No componente React: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// &lt;iframe src={await getMetabaseEmbedUrl(3, { territory_id: ae.territory })} /&gt;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EAECEF"/>
          <w:sz w:val="26"/>
        </w:rPr>
        <w:t>10.4 Grafana — Infinity Datasource + Painéis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2493"/>
        <w:gridCol w:w="2493"/>
        <w:gridCol w:w="2493"/>
      </w:tblGrid>
      <w:tr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Painel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Tipo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Fonte de Dados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Thresholds</w:t>
            </w:r>
          </w:p>
        </w:tc>
      </w:tr>
      <w:tr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Latência API NEXUS (P95)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Time series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Prometheus metrics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verde &lt;200ms / amarelo &lt;500ms / vermelho &gt;500ms</w:t>
            </w:r>
          </w:p>
        </w:tc>
      </w:tr>
      <w:tr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Taxa de erro por endpoint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Bar gauge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Prometheus rate(errors[5m])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verde &lt;0.1% / vermelho &gt;1%</w:t>
            </w:r>
          </w:p>
        </w:tc>
      </w:tr>
      <w:tr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Contratos processados/min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Stat panel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Prometheus counter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baseline + alertas de anomalia</w:t>
            </w:r>
          </w:p>
        </w:tc>
      </w:tr>
      <w:tr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Aporte em tempo real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Time series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Infinity → NEXUS REST API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linha de meta diária (#F0B90B)</w:t>
            </w:r>
          </w:p>
        </w:tc>
      </w:tr>
      <w:tr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Usuários online agora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Stat panel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WebSocket metrics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pico histórico como referência</w:t>
            </w:r>
          </w:p>
        </w:tc>
      </w:tr>
      <w:tr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Queue depth (Agentic AI jobs)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Gauge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RabbitMQ / Redis exporter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verde &lt;100 / vermelho &gt;500</w:t>
            </w:r>
          </w:p>
        </w:tc>
      </w:tr>
    </w:tbl>
    <w:p/>
    <w:p>
      <w:r>
        <w:rPr>
          <w:rFonts w:ascii="Arial" w:hAnsi="Arial"/>
          <w:b/>
          <w:color w:val="0091FF"/>
          <w:sz w:val="18"/>
        </w:rPr>
        <w:t>Grafana Infinity Datasource Config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D1117"/>
          </w:tcPr>
          <w:p/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# Grafana Infinity datasource — query para AUM em tempo real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# datasource: Infinity (plugin grafana-infinity-datasource)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url: https://api.nexus.com.br/v1/metrics/aum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method: GET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headers: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Authorization: Bearer ${NEXUS_API_KEY}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X-Grafana-Datasource: true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parser: json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root_selector: data.aum_timeseries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columns: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- selector: timestamp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type: timestamp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- selector: value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type: number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alias: AUM (R$)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EAECEF"/>
          <w:sz w:val="26"/>
        </w:rPr>
        <w:t>10.5 Power BI REST API — Endpoints Completos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3324"/>
        <w:gridCol w:w="3324"/>
      </w:tblGrid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Método</w:t>
            </w:r>
          </w:p>
        </w:tc>
        <w:tc>
          <w:tcPr>
            <w:tcW w:type="dxa" w:w="7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Endpoint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Descrição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POST</w:t>
            </w:r>
          </w:p>
        </w:tc>
        <w:tc>
          <w:tcPr>
            <w:tcW w:type="dxa" w:w="7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https://login.microsoftonline.com/{tenant}/oauth2/v2.0/token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OAuth2 token (service principal)</w:t>
            </w:r>
          </w:p>
        </w:tc>
      </w:tr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GET</w:t>
            </w:r>
          </w:p>
        </w:tc>
        <w:tc>
          <w:tcPr>
            <w:tcW w:type="dxa" w:w="7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https://api.powerbi.com/v1.0/myorg/groups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Lista workspaces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GET</w:t>
            </w:r>
          </w:p>
        </w:tc>
        <w:tc>
          <w:tcPr>
            <w:tcW w:type="dxa" w:w="7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https://api.powerbi.com/v1.0/myorg/groups/{groupId}/reports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Lista relatórios do workspace</w:t>
            </w:r>
          </w:p>
        </w:tc>
      </w:tr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POST</w:t>
            </w:r>
          </w:p>
        </w:tc>
        <w:tc>
          <w:tcPr>
            <w:tcW w:type="dxa" w:w="7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https://api.powerbi.com/v1.0/myorg/groups/{groupId}/reports/{reportId}/GenerateToken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Gera embed token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GET</w:t>
            </w:r>
          </w:p>
        </w:tc>
        <w:tc>
          <w:tcPr>
            <w:tcW w:type="dxa" w:w="7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https://api.powerbi.com/v1.0/myorg/groups/{groupId}/datasets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Lista datasets</w:t>
            </w:r>
          </w:p>
        </w:tc>
      </w:tr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POST</w:t>
            </w:r>
          </w:p>
        </w:tc>
        <w:tc>
          <w:tcPr>
            <w:tcW w:type="dxa" w:w="7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https://api.powerbi.com/v1.0/myorg/groups/{groupId}/datasets/{id}/refreshes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Trigger refresh de dataset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POST</w:t>
            </w:r>
          </w:p>
        </w:tc>
        <w:tc>
          <w:tcPr>
            <w:tcW w:type="dxa" w:w="7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https://api.powerbi.com/v1.0/myorg/groups/{groupId}/imports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Import de arquivo .pbix</w:t>
            </w:r>
          </w:p>
        </w:tc>
      </w:tr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GET</w:t>
            </w:r>
          </w:p>
        </w:tc>
        <w:tc>
          <w:tcPr>
            <w:tcW w:type="dxa" w:w="7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https://api.powerbi.com/v1.0/myorg/groups/{groupId}/imports/{importId}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Status do import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GET</w:t>
            </w:r>
          </w:p>
        </w:tc>
        <w:tc>
          <w:tcPr>
            <w:tcW w:type="dxa" w:w="7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https://api.powerbi.com/v1.0/myorg/capacities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Lista capacidades Premium</w:t>
            </w:r>
          </w:p>
        </w:tc>
      </w:tr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PATCH</w:t>
            </w:r>
          </w:p>
        </w:tc>
        <w:tc>
          <w:tcPr>
            <w:tcW w:type="dxa" w:w="7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https://api.powerbi.com/v1.0/myorg/groups/{groupId}/datasets/{id}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Atualiza parâmetros do dataset</w:t>
            </w:r>
          </w:p>
        </w:tc>
      </w:tr>
    </w:tbl>
    <w:p/>
    <w:p>
      <w:r>
        <w:rPr>
          <w:rFonts w:ascii="Arial" w:hAnsi="Arial"/>
          <w:b/>
          <w:color w:val="0091FF"/>
          <w:sz w:val="18"/>
        </w:rPr>
        <w:t>Power BI Embed React Component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D1117"/>
          </w:tcPr>
          <w:p/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// Power BI Embed — React Component NEXUS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import { models } from 'powerbi-client';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import { PowerBIEmbed } from 'powerbi-client-react';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const NexusPowerBIReport = ({ embedToken, embedUrl, reportId }) =&gt; (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&lt;PowerBIEmbed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embedConfig={{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  type: 'report',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  id: reportId,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  embedUrl,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  accessToken: embedToken,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  tokenType: models.TokenType.Embed,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  settings: {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    background: models.BackgroundType.Transparent,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    panes: { filters: { visible: false }, pageNavigation: { visible: true } }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  }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}}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cssClassName='nexus-pbi-frame'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/&gt;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);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// CSS: .nexus-pbi-frame { background: #0B0E11; height: 600px; border: none; }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EAECEF"/>
          <w:sz w:val="26"/>
        </w:rPr>
        <w:t>10.6 Templates .pbix — Especificações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994"/>
        <w:gridCol w:w="1994"/>
        <w:gridCol w:w="1994"/>
        <w:gridCol w:w="1994"/>
      </w:tblGrid>
      <w:tr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Template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Arquivo</w:t>
            </w:r>
          </w:p>
        </w:tc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Tipo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Conexão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Atualização</w:t>
            </w:r>
          </w:p>
        </w:tc>
      </w:tr>
      <w:tr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Board Executivo — AUM &amp; P&amp;L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nexus_board_executive.pbix</w:t>
            </w:r>
          </w:p>
        </w:tc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Report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DirectQuery → PostgreSQL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Tempo real</w:t>
            </w:r>
          </w:p>
        </w:tc>
      </w:tr>
      <w:tr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Portfólio Aplicante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nexus_portfolio_investor.pbix</w:t>
            </w:r>
          </w:p>
        </w:tc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Report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Import → REST API NEXUS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 cada 15min</w:t>
            </w:r>
          </w:p>
        </w:tc>
      </w:tr>
      <w:tr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KPIs Account Executive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nexus_ae_kpis.pbix</w:t>
            </w:r>
          </w:p>
        </w:tc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Report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Import → PostgreSQL views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Diário 06h</w:t>
            </w:r>
          </w:p>
        </w:tc>
      </w:tr>
      <w:tr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Risco e Inadimplência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nexus_risk_delinquency.pbix</w:t>
            </w:r>
          </w:p>
        </w:tc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Report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DirectQuery → PostgreSQL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 cada 1h</w:t>
            </w:r>
          </w:p>
        </w:tc>
      </w:tr>
      <w:tr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MACRO HASH Audit Trail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nexus_macro_hash.pbix</w:t>
            </w:r>
          </w:p>
        </w:tc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Report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Import → ledger DB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Diário 00h</w:t>
            </w:r>
          </w:p>
        </w:tc>
      </w:tr>
      <w:tr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Compliance BACEN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nexus_compliance_bacen.pbix</w:t>
            </w:r>
          </w:p>
        </w:tc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Report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Import → compliance schema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Mensal</w:t>
            </w:r>
          </w:p>
        </w:tc>
      </w:tr>
      <w:tr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Mapa Geográfico de Operações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nexus_geo_operations.pbix</w:t>
            </w:r>
          </w:p>
        </w:tc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Report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Import → geo views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Diário 06h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EAECEF"/>
          <w:sz w:val="26"/>
        </w:rPr>
        <w:t>10.7 Tema Binance-Dark para Power BI (.json)</w:t>
      </w:r>
    </w:p>
    <w:p>
      <w:r>
        <w:rPr>
          <w:rFonts w:ascii="Arial" w:hAnsi="Arial"/>
          <w:b/>
          <w:color w:val="0091FF"/>
          <w:sz w:val="18"/>
        </w:rPr>
        <w:t>nexus_binance_dark_theme.json — importar em Power BI Desktop via View &gt; Themes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D1117"/>
          </w:tcPr>
          <w:p/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{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"name": "NEXUS Binance Dark",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"dataColors": ["#F0B90B","#03C076","#0091FF","#6C3ABD","#F6465C","#848E9C"],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"background": "#0B0E11",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"foreground": "#EAECEF",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"tableAccent": "#F0B90B",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"visualStyles": {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"*": {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  "*": {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    "background": [{ "color": { "solid": { "color": "#161A1E" } } }],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    "border": [{ "show": true, "color": { "solid": { "color": "#2B3139" } } }],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    "fontFamily": ["IBM Plex Sans"],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    "fontSize": [11]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  }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},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"title": {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  "*": {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    "fontColor": [{ "solid": { "color": "#EAECEF" } }],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    "background": [{ "color": { "solid": { "color": "#161A1E" } } }],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    "fontSize": [14],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    "fontFamily": ["IBM Plex Sans"]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  }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},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"page": {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  "*": {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    "background": [{ "color": { "solid": { "color": "#0B0E11" } } }],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    "outspace": [{ "color": { "solid": { "color": "#0B0E11" } } }]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  }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  }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}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}</w:t>
            </w:r>
          </w:p>
        </w:tc>
      </w:tr>
    </w:tbl>
    <w:p/>
    <w:p>
      <w:r>
        <w:br w:type="page"/>
      </w:r>
    </w:p>
    <w:p>
      <w:pPr>
        <w:shd w:val="clear" w:color="auto" w:fill="161A1E"/>
        <w:spacing w:before="360" w:after="120"/>
        <w:ind w:left="144"/>
      </w:pPr>
      <w:r>
        <w:rPr>
          <w:rFonts w:ascii="Arial" w:hAnsi="Arial"/>
          <w:b/>
          <w:color w:val="F0B90B"/>
          <w:sz w:val="32"/>
        </w:rPr>
        <w:t>11. Master Prompt Block — Copiar para v0.dev / Lovable / Bolt.new / Cursor</w:t>
      </w:r>
    </w:p>
    <w:p>
      <w:pPr>
        <w:spacing w:before="40" w:after="40"/>
      </w:pPr>
      <w:r>
        <w:rPr>
          <w:rFonts w:ascii="Arial" w:hAnsi="Arial"/>
          <w:b w:val="0"/>
          <w:color w:val="848E9C"/>
          <w:sz w:val="20"/>
        </w:rPr>
        <w:t>Cole este bloco INTEIRO no início de qualquer sessão de geração de telas NEXUS. Ele define o contexto completo de Design System, stack técnico e restrições visuais.</w:t>
      </w:r>
    </w:p>
    <w:p>
      <w:r>
        <w:rPr>
          <w:rFonts w:ascii="Arial" w:hAnsi="Arial"/>
          <w:b/>
          <w:color w:val="0091FF"/>
          <w:sz w:val="18"/>
        </w:rPr>
        <w:t>Master Prompt Block — v3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D1117"/>
          </w:tcPr>
          <w:p/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=== NEXUS DESIGN SYSTEM — MASTER CONTEXT v3 ===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Você está criando telas para o NEXUS, plataforma P2P lending brasileira.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USE OBRIGATORIAMENTE o Binance Design System conforme abaixo.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── PALETA DE CORES ──────────────────────────────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bg-deep:    #0B0E11  // canvas principal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bg-card:    #161A1E  // cards e painéis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bg-hover:   #1E2329  // hover state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border:     #2B3139  // todas as bordas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gold:       #F0B90B  // CTA primário, destaques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green:      #03C076  // positivo, sucesso, alta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red:        #F6465C  // negativo, erro, baixa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blue:       #0091FF  // info, links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purple:     #6C3ABD  // premium, qualificado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text-pri:   #EAECEF  // texto principal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text-sec:   #848E9C  // labels secundários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text-dis:   #474D57  // disabled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── TIPOGRAFIA ───────────────────────────────────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Números/valores: IBM Plex Mono (todos sem exceção)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Labels/body:     IBM Plex Sans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Tamanhos: hero 32-48px | H1 24px | H2 18px | label 12px | body 14px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── COMPONENTES OBRIGATÓRIOS ─────────────────────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Cards: padding 16px | border 1px #2B3139 | radius 6px | hover: border #F0B90B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Buttons primários: bg #F0B90B | text #0B0E11 | radius 4px | padding 8px 16px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Buttons secundários: ghost border #2B3139 | text #EAECEF | hover bg #1E2329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Badges: radius 100px | bg cor/15 opacity | text cor full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Tabelas: header bg #161A1E | row alt #0B0E11/#161A1E | hover #1E2329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 xml:space="preserve">  colunas numéricas: IBM Plex Mono alinhado à direita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── STACK TÉCNICA ────────────────────────────────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React 18 + TypeScript + Tailwind CSS (somente classes utilitárias)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shadcn/ui para componentes base (Button, Card, Table, Dialog, etc.)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Recharts para: PieChart, BarChart, AreaChart, RadialBarChart, Sparklines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lightweight-charts (TradingView) para: CandlestickChart, LineChart trading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Framer Motion para: fade+slide entrada 300ms, hover transitions 150ms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React Simple Maps para: choropleth geográfico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TanStack Table v8 para: DataGrid com sorting/filtering/pagination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── PROIBIDO ─────────────────────────────────────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NÃO use: fundos brancos ou cinzas claros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NÃO use: border-radius &gt; 8px em cards (exceto chips: 100px)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NÃO use: drop-shadow (use apenas borda)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NÃO use: Inter ou outras fontes (apenas IBM Plex Sans/Mono)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NÃO use: gradientes (exceto hero card do usuário: sutil #161A1E -&gt; #1E2329)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NÃO coloque números em fontes não-Mono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── REFERÊNCIAS VISUAIS ──────────────────────────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Binance.com (exchange interface) — densidade e organização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ChainScope (Fikri Ruslandi / Dribbble) — portfolio dark dashboard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FinVerse (Mike Taylor / Dribbble) — KPI grid e sidebar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Crystal Stock App (Milkinside / Dribbble) — cards de ativo com sparkline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=== FIM DO MASTER CONTEXT ===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C9D1D9"/>
                <w:sz w:val="17"/>
              </w:rPr>
              <w:t>Agora crie a tela: [INSERIR TELA AQUI]</w:t>
            </w:r>
          </w:p>
        </w:tc>
      </w:tr>
    </w:tbl>
    <w:p/>
    <w:p>
      <w:r>
        <w:br w:type="page"/>
      </w:r>
    </w:p>
    <w:p>
      <w:pPr>
        <w:shd w:val="clear" w:color="auto" w:fill="161A1E"/>
        <w:spacing w:before="360" w:after="120"/>
        <w:ind w:left="144"/>
      </w:pPr>
      <w:r>
        <w:rPr>
          <w:rFonts w:ascii="Arial" w:hAnsi="Arial"/>
          <w:b/>
          <w:color w:val="F0B90B"/>
          <w:sz w:val="32"/>
        </w:rPr>
        <w:t>12. Checklist de Validação Visual</w:t>
      </w:r>
    </w:p>
    <w:p>
      <w:pPr>
        <w:spacing w:before="40" w:after="40"/>
      </w:pPr>
      <w:r>
        <w:rPr>
          <w:rFonts w:ascii="Arial" w:hAnsi="Arial"/>
          <w:b w:val="0"/>
          <w:color w:val="848E9C"/>
          <w:sz w:val="20"/>
        </w:rPr>
        <w:t>Antes de entregar qualquer tela gerada por IA ao time de desenvolvimento, valide cada item: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2493"/>
        <w:gridCol w:w="2493"/>
        <w:gridCol w:w="2493"/>
      </w:tblGrid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#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Item de Validação</w:t>
            </w:r>
          </w:p>
        </w:tc>
        <w:tc>
          <w:tcPr>
            <w:tcW w:type="dxa" w:w="5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Critério de Aprovação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Ferramenta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1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Fundo principal</w:t>
            </w:r>
          </w:p>
        </w:tc>
        <w:tc>
          <w:tcPr>
            <w:tcW w:type="dxa" w:w="5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#0B0E11 (nenhum branco ou cinza claro)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DevTools / Color Picker</w:t>
            </w:r>
          </w:p>
        </w:tc>
      </w:tr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2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Cards e painéis</w:t>
            </w:r>
          </w:p>
        </w:tc>
        <w:tc>
          <w:tcPr>
            <w:tcW w:type="dxa" w:w="5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#161A1E com borda #2B3139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Inspeção CSS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3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Tipografia numérica</w:t>
            </w:r>
          </w:p>
        </w:tc>
        <w:tc>
          <w:tcPr>
            <w:tcW w:type="dxa" w:w="5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IBM Plex Mono em 100% dos valores numéricos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Font inspector</w:t>
            </w:r>
          </w:p>
        </w:tc>
      </w:tr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4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CTA primário</w:t>
            </w:r>
          </w:p>
        </w:tc>
        <w:tc>
          <w:tcPr>
            <w:tcW w:type="dxa" w:w="5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Fundo #F0B90B, texto #0B0E11, radius 4px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Visual + CSS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5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Valores positivos</w:t>
            </w:r>
          </w:p>
        </w:tc>
        <w:tc>
          <w:tcPr>
            <w:tcW w:type="dxa" w:w="5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Cor #03C076 sem exceção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Visual review</w:t>
            </w:r>
          </w:p>
        </w:tc>
      </w:tr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6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Valores negativos</w:t>
            </w:r>
          </w:p>
        </w:tc>
        <w:tc>
          <w:tcPr>
            <w:tcW w:type="dxa" w:w="5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Cor #F6465C sem exceção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Visual review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7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Border-radius cards</w:t>
            </w:r>
          </w:p>
        </w:tc>
        <w:tc>
          <w:tcPr>
            <w:tcW w:type="dxa" w:w="5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4–8px (não 16px+)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CSS inspect</w:t>
            </w:r>
          </w:p>
        </w:tc>
      </w:tr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8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Sem drop-shadow</w:t>
            </w:r>
          </w:p>
        </w:tc>
        <w:tc>
          <w:tcPr>
            <w:tcW w:type="dxa" w:w="5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box-shadow: none em cards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CSS inspect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9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Gráficos de candle</w:t>
            </w:r>
          </w:p>
        </w:tc>
        <w:tc>
          <w:tcPr>
            <w:tcW w:type="dxa" w:w="5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lightweight-charts (não Chart.js candlestick)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Código</w:t>
            </w:r>
          </w:p>
        </w:tc>
      </w:tr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10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Sparklines em KPI cards</w:t>
            </w:r>
          </w:p>
        </w:tc>
        <w:tc>
          <w:tcPr>
            <w:tcW w:type="dxa" w:w="5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Recharts 60px height sem eixos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Código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11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Responsividade</w:t>
            </w:r>
          </w:p>
        </w:tc>
        <w:tc>
          <w:tcPr>
            <w:tcW w:type="dxa" w:w="5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Mobile 375px + Tablet 768px + Desktop 1440px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DevTools resize</w:t>
            </w:r>
          </w:p>
        </w:tc>
      </w:tr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12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Animações de entrada</w:t>
            </w:r>
          </w:p>
        </w:tc>
        <w:tc>
          <w:tcPr>
            <w:tcW w:type="dxa" w:w="5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Framer Motion fade+slide 300ms (não CSS puro)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Código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13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Hover em rows de tabela</w:t>
            </w:r>
          </w:p>
        </w:tc>
        <w:tc>
          <w:tcPr>
            <w:tcW w:type="dxa" w:w="5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#1E2329 com transition 100ms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Interação manual</w:t>
            </w:r>
          </w:p>
        </w:tc>
      </w:tr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14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Status badges</w:t>
            </w:r>
          </w:p>
        </w:tc>
        <w:tc>
          <w:tcPr>
            <w:tcW w:type="dxa" w:w="5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Radius 100px, bg opacity 15%, texto full color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Visual review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15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IBM Plex carregada</w:t>
            </w:r>
          </w:p>
        </w:tc>
        <w:tc>
          <w:tcPr>
            <w:tcW w:type="dxa" w:w="5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@import no head ou next/font configurado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Network tab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color w:val="474D57"/>
          <w:sz w:val="18"/>
        </w:rPr>
        <w:t>NEXUS  |  UI/UX Prompt Master v3  |  Binance Design System + Dribbble Reference Library</w:t>
      </w:r>
    </w:p>
    <w:p>
      <w:pPr>
        <w:jc w:val="center"/>
      </w:pPr>
      <w:r>
        <w:rPr>
          <w:rFonts w:ascii="Arial" w:hAnsi="Arial"/>
          <w:color w:val="474D57"/>
          <w:sz w:val="16"/>
        </w:rPr>
        <w:t>React 18  +  TypeScript  +  Tailwind CSS  +  shadcn/ui  +  lightweight-charts  +  Recharts  +  Framer Motion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