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FLUXUS: DRE Consolidado — Estudo de Caso (100 LPs)</w:t>
      </w:r>
    </w:p>
    <w:p>
      <w:r>
        <w:t xml:space="preserve">&gt; </w:t>
      </w:r>
      <w:r>
        <w:rPr>
          <w:b/>
        </w:rPr>
        <w:t>Tipo de artefacto:</w:t>
      </w:r>
      <w:r>
        <w:t xml:space="preserve"> Demonstração numérica / stress test com </w:t>
      </w:r>
      <w:r>
        <w:rPr>
          <w:b/>
        </w:rPr>
        <w:t>100 LPs</w:t>
      </w:r>
      <w:r>
        <w:t xml:space="preserve"> e GTV agregado de simulação. </w:t>
      </w:r>
      <w:r>
        <w:rPr>
          <w:b/>
        </w:rPr>
        <w:t>Não</w:t>
      </w:r>
      <w:r>
        <w:t xml:space="preserve"> é o mesmo documento que o guia de isenção tributária mensal (R$ 35k) do LP — ver `04_PROCESS/PROCESS_LP_TAX_PLAN_BR.md`.</w:t>
      </w:r>
    </w:p>
    <w:p>
      <w:r>
        <w:t xml:space="preserve">&gt; </w:t>
      </w:r>
      <w:r>
        <w:rPr>
          <w:b/>
        </w:rPr>
        <w:t>Spread ao cliente (remessa):</w:t>
      </w:r>
      <w:r>
        <w:t xml:space="preserve"> o referencial de produto é </w:t>
      </w:r>
      <w:r>
        <w:rPr>
          <w:b/>
        </w:rPr>
        <w:t>3,5%</w:t>
      </w:r>
      <w:r>
        <w:t xml:space="preserve"> total e repartição LP/VASP/plataforma em `03_TECHNICAL/TECH_FLUXUS_REMITTANCE_CANON.md`. Este DRE usa </w:t>
      </w:r>
      <w:r>
        <w:rPr>
          <w:b/>
        </w:rPr>
        <w:t>1,0%</w:t>
      </w:r>
      <w:r>
        <w:t xml:space="preserve"> como *Orchestration Fee* sobre GTV na simulação — alinhado à fatia de plataforma ~1,0% do canónico, não duplicar como “taxa extra” ao mesmo spread.</w:t>
      </w:r>
    </w:p>
    <w:p>
      <w:r/>
      <w:r>
        <w:rPr>
          <w:b/>
        </w:rPr>
        <w:t>Período:</w:t>
      </w:r>
      <w:r>
        <w:t xml:space="preserve"> 12 Meses | </w:t>
      </w:r>
      <w:r>
        <w:rPr>
          <w:b/>
        </w:rPr>
        <w:t>Cenário:</w:t>
      </w:r>
      <w:r>
        <w:t xml:space="preserve"> Estresse Operacional (1-6 ciclos/dia) | </w:t>
      </w:r>
      <w:r>
        <w:rPr>
          <w:b/>
        </w:rPr>
        <w:t>Moeda:</w:t>
      </w:r>
      <w:r>
        <w:t xml:space="preserve"> BRL (R$)</w:t>
      </w:r>
    </w:p>
    <w:p>
      <w:pPr>
        <w:pStyle w:val="Heading2"/>
      </w:pPr>
      <w:r>
        <w:t>1. Resumo Executivo</w:t>
      </w:r>
    </w:p>
    <w:p>
      <w:r>
        <w:t>Este DRE reflete a performance da plataforma FLUXUS atuando como orquestradora para uma base de 100 Liquidantes (LPs) com capital reinvestido integralmente.</w:t>
      </w:r>
    </w:p>
    <w:p>
      <w:r>
        <w:t>| Métrica | Valor Acumulado (12 Meses) |</w:t>
      </w:r>
    </w:p>
    <w:p>
      <w:r>
        <w:t>| :--- | :--- |</w:t>
      </w:r>
    </w:p>
    <w:p>
      <w:r>
        <w:t xml:space="preserve">| </w:t>
      </w:r>
      <w:r>
        <w:rPr>
          <w:b/>
        </w:rPr>
        <w:t>GTV (Gross Transaction Volume)</w:t>
      </w:r>
      <w:r>
        <w:t xml:space="preserve"> | </w:t>
      </w:r>
      <w:r>
        <w:rPr>
          <w:b/>
        </w:rPr>
        <w:t>R$ 1.409.813.152,46</w:t>
      </w:r>
      <w:r>
        <w:t xml:space="preserve"> |</w:t>
      </w:r>
    </w:p>
    <w:p>
      <w:r>
        <w:t xml:space="preserve">| </w:t>
      </w:r>
      <w:r>
        <w:rPr>
          <w:b/>
        </w:rPr>
        <w:t>Receita Bruta Fluxus (1% Fee)</w:t>
      </w:r>
      <w:r>
        <w:t xml:space="preserve"> | </w:t>
      </w:r>
      <w:r>
        <w:rPr>
          <w:b/>
        </w:rPr>
        <w:t>R$ 14.112.229,66</w:t>
      </w:r>
      <w:r>
        <w:t xml:space="preserve"> |</w:t>
      </w:r>
    </w:p>
    <w:p>
      <w:r>
        <w:t xml:space="preserve">| </w:t>
      </w:r>
      <w:r>
        <w:rPr>
          <w:b/>
        </w:rPr>
        <w:t>Stability Pool Reserve (2% GTV)</w:t>
      </w:r>
      <w:r>
        <w:t xml:space="preserve"> | </w:t>
      </w:r>
      <w:r>
        <w:rPr>
          <w:b/>
        </w:rPr>
        <w:t>R$ 28.196.263,05</w:t>
      </w:r>
      <w:r>
        <w:t xml:space="preserve"> |</w:t>
      </w:r>
    </w:p>
    <w:p>
      <w:r>
        <w:t xml:space="preserve">| </w:t>
      </w:r>
      <w:r>
        <w:rPr>
          <w:b/>
        </w:rPr>
        <w:t>Lucro Líquido dos LPs</w:t>
      </w:r>
      <w:r>
        <w:t xml:space="preserve"> | </w:t>
      </w:r>
      <w:r>
        <w:rPr>
          <w:b/>
        </w:rPr>
        <w:t>R$ 21.119.001,02</w:t>
      </w:r>
      <w:r>
        <w:t xml:space="preserve"> |</w:t>
      </w:r>
    </w:p>
    <w:p>
      <w:r>
        <w:br w:type="page"/>
      </w:r>
    </w:p>
    <w:p>
      <w:pPr>
        <w:pStyle w:val="Heading2"/>
      </w:pPr>
      <w:r>
        <w:t>2. Demonstração do Resultado (DRE)</w:t>
      </w:r>
    </w:p>
    <w:p>
      <w:pPr>
        <w:pStyle w:val="Heading3"/>
      </w:pPr>
      <w:r>
        <w:t>(+) RECEITA OPERACIONAL BRUTA: R$ 14.112.229,66</w:t>
      </w:r>
    </w:p>
    <w:p>
      <w:pPr>
        <w:pStyle w:val="ListBullet"/>
      </w:pPr>
      <w:r>
        <w:t>**Orchestration Fees (Match Engine):** 1.0% sobre o GTV processado.</w:t>
      </w:r>
    </w:p>
    <w:p>
      <w:pPr>
        <w:pStyle w:val="Heading3"/>
      </w:pPr>
      <w:r>
        <w:t>(-) CUSTOS OPERACIONAIS (OPEX): R$ 175.966,70</w:t>
      </w:r>
    </w:p>
    <w:p>
      <w:r>
        <w:t>Os custos são otimizados pela arquitetura *Asset-Light* e uso de infraestrutura *Serverless*.</w:t>
      </w:r>
    </w:p>
    <w:p>
      <w:r>
        <w:t>| Item de Custo | Base de Cálculo | Valor Total |</w:t>
      </w:r>
    </w:p>
    <w:p>
      <w:r>
        <w:t>| :--- | :--- | :--- |</w:t>
      </w:r>
    </w:p>
    <w:p>
      <w:r>
        <w:t xml:space="preserve">| </w:t>
      </w:r>
      <w:r>
        <w:rPr>
          <w:b/>
        </w:rPr>
        <w:t>Dock: Emissão de Cartões</w:t>
      </w:r>
      <w:r>
        <w:t xml:space="preserve"> | R$ 15,00 x 100 LPs | R$ 1.500,00 |</w:t>
      </w:r>
    </w:p>
    <w:p>
      <w:r>
        <w:t xml:space="preserve">| </w:t>
      </w:r>
      <w:r>
        <w:rPr>
          <w:b/>
        </w:rPr>
        <w:t>Dock: Taxas de Recarga (Reload)</w:t>
      </w:r>
      <w:r>
        <w:t xml:space="preserve"> | R$ 2,00 por Rematch | R$ 168.214,40 |</w:t>
      </w:r>
    </w:p>
    <w:p>
      <w:r>
        <w:t xml:space="preserve">| </w:t>
      </w:r>
      <w:r>
        <w:rPr>
          <w:b/>
        </w:rPr>
        <w:t>Dock: Manutenção de Conta</w:t>
      </w:r>
      <w:r>
        <w:t xml:space="preserve"> | R$ 2,50/mês por LP | R$ 3.000,00 |</w:t>
      </w:r>
    </w:p>
    <w:p>
      <w:r>
        <w:t xml:space="preserve">| </w:t>
      </w:r>
      <w:r>
        <w:rPr>
          <w:b/>
        </w:rPr>
        <w:t>Blockchain (Solana/Polygon Gas)</w:t>
      </w:r>
      <w:r>
        <w:t xml:space="preserve"> | R$ 0,05 Médio por Tx | R$ 3.252,30 |</w:t>
      </w:r>
    </w:p>
    <w:p>
      <w:r>
        <w:t xml:space="preserve">| </w:t>
      </w:r>
      <w:r>
        <w:rPr>
          <w:b/>
        </w:rPr>
        <w:t>VASP Bridge Fees</w:t>
      </w:r>
      <w:r>
        <w:t xml:space="preserve"> | *Incluso no Spread de 3.5%* | *(Zero no DRE Fluxus)* |</w:t>
      </w:r>
    </w:p>
    <w:p>
      <w:r>
        <w:br w:type="page"/>
      </w:r>
    </w:p>
    <w:p>
      <w:pPr>
        <w:pStyle w:val="Heading3"/>
      </w:pPr>
      <w:r>
        <w:t>(=) LUCRO LÍQUIDO OPERACIONAL: R$ 13.936.262,96</w:t>
      </w:r>
    </w:p>
    <w:p>
      <w:pPr>
        <w:pStyle w:val="Heading3"/>
      </w:pPr>
      <w:r>
        <w:t>**Margem Líquida: 98.7%**</w:t>
      </w:r>
    </w:p>
    <w:p>
      <w:r>
        <w:t>&gt; [!NOTE]</w:t>
      </w:r>
    </w:p>
    <w:p>
      <w:r>
        <w:t xml:space="preserve">&gt; </w:t>
      </w:r>
      <w:r>
        <w:rPr>
          <w:b/>
        </w:rPr>
        <w:t>Eficiência de Rede:</w:t>
      </w:r>
      <w:r>
        <w:t xml:space="preserve"> A margem extremamente alta é explicada pela delegação da liquidez para terceiros (LPs) e da infraestrutura bancária para parceiros (Dock/VASP), permitindo que a Fluxus capture valor apenas pela </w:t>
      </w:r>
      <w:r>
        <w:rPr>
          <w:b/>
        </w:rPr>
        <w:t>orquestração algorítmica</w:t>
      </w:r>
      <w:r>
        <w:t>.</w:t>
      </w:r>
    </w:p>
    <w:p>
      <w:r>
        <w:br w:type="page"/>
      </w:r>
    </w:p>
    <w:p>
      <w:pPr>
        <w:pStyle w:val="Heading2"/>
      </w:pPr>
      <w:r>
        <w:t>3. Alocação de Destino (Reserva Estratégica)</w:t>
      </w:r>
    </w:p>
    <w:p>
      <w:r>
        <w:t xml:space="preserve">Além do lucro líquido, a operação gerou uma </w:t>
      </w:r>
      <w:r>
        <w:rPr>
          <w:b/>
        </w:rPr>
        <w:t>Reserva de Estabilidade (Stability Pool)</w:t>
      </w:r>
      <w:r>
        <w:t xml:space="preserve"> de </w:t>
      </w:r>
      <w:r>
        <w:rPr>
          <w:b/>
        </w:rPr>
        <w:t>R$ 28.196.263,05</w:t>
      </w:r>
      <w:r>
        <w:t>.</w:t>
      </w:r>
    </w:p>
    <w:p>
      <w:pPr>
        <w:pStyle w:val="ListBullet"/>
      </w:pPr>
      <w:r>
        <w:t>**Finalidade:** Cobertura de riscos cambiais, estornos e colaterização de rotas de alta volatilidade.</w:t>
      </w:r>
    </w:p>
    <w:p>
      <w:pPr>
        <w:pStyle w:val="ListBullet"/>
      </w:pPr>
      <w:r>
        <w:t>**Custódia:** Armazenado em Vault MPC (Fireblocks) em Stablecoins pareadas ao BRL.</w:t>
      </w:r>
    </w:p>
    <w:p>
      <w:r>
        <w:br w:type="page"/>
      </w:r>
    </w:p>
    <w:p>
      <w:r>
        <w:t>*Relatório gerado por Antigravity Finance Engine — Due Diligence Versão 1.5*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