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MEMORANDUM OF UNDERSTANDING (MoU)</w:t>
      </w:r>
    </w:p>
    <w:p>
      <w:pPr>
        <w:pStyle w:val="Heading1"/>
      </w:pPr>
      <w:r>
        <w:t>Estratégia de Cooperação Tecnológica e Liquidação Síncrona</w:t>
      </w:r>
    </w:p>
    <w:p/>
    <w:p>
      <w:pPr>
        <w:jc w:val="both"/>
      </w:pPr>
      <w:r>
        <w:t>**PARTES:**</w:t>
      </w:r>
    </w:p>
    <w:p>
      <w:pPr>
        <w:jc w:val="both"/>
      </w:pPr>
      <w:r>
        <w:t>1.  **FLUXUS TECHNOLOGY ORCHESTRATION Ltd.** ("FLUXUS"), provedora de protocolo de orquestração de liquidez P2P e motor de matching.</w:t>
      </w:r>
    </w:p>
    <w:p>
      <w:pPr>
        <w:jc w:val="both"/>
      </w:pPr>
      <w:r>
        <w:t>2.  **[NOME DA VASP/PARTNER]** ("[PARCEIRO]"), Instituição de Pagamento e VASP devidamente autorizada pelo Banco Central do Brasil.</w:t>
      </w:r>
    </w:p>
    <w:p/>
    <w:p>
      <w:pPr>
        <w:jc w:val="both"/>
      </w:pPr>
      <w:r>
        <w:t>---</w:t>
      </w:r>
    </w:p>
    <w:p/>
    <w:p>
      <w:pPr>
        <w:pStyle w:val="Heading2"/>
      </w:pPr>
      <w:r>
        <w:t>1. PROPÓSITO E ESCOPO</w:t>
      </w:r>
    </w:p>
    <w:p>
      <w:pPr>
        <w:jc w:val="both"/>
      </w:pPr>
      <w:r>
        <w:t>O presente Memorando visa estabelecer as bases para uma parceria estratégica onde a **FLUXUS** fornecerá seu motor de *Matching Engine* e protocolo de auditoria blockchain para que o **[PARCEIRO]** atue como a ponte de liquidação (*Settlement Bridge*) para remessas internacionais, utilizando cartões de débito (Visa/Dock) como destino final de liquidez.</w:t>
      </w:r>
    </w:p>
    <w:p/>
    <w:p>
      <w:pPr>
        <w:pStyle w:val="Heading2"/>
      </w:pPr>
      <w:r>
        <w:t>2. MODELO OPERACIONAL (O NEXUS)</w:t>
      </w:r>
    </w:p>
    <w:p>
      <w:pPr>
        <w:jc w:val="both"/>
      </w:pPr>
      <w:r>
        <w:t>As partes concordam em implementar o modelo de "Liquidação Síncrona" conforme definido abaixo:</w:t>
      </w:r>
    </w:p>
    <w:p>
      <w:pPr>
        <w:pStyle w:val="ListBullet"/>
      </w:pPr>
      <w:r>
        <w:t>**Fluxo de Entrada:** O sistema FLUXUS detecta o depósito de ativos virtuais (USDT/USDC) em redes Layer-2 (Polygon).</w:t>
      </w:r>
    </w:p>
    <w:p>
      <w:pPr>
        <w:pStyle w:val="ListBullet"/>
      </w:pPr>
      <w:r>
        <w:t>**Matching Engine:** O motor FLUXUS seleciona um Provedor de Liquidez (LP) qualificado para executar o desembolso local via PIX ou Recarga Direta.</w:t>
      </w:r>
    </w:p>
    <w:p>
      <w:pPr>
        <w:pStyle w:val="ListBullet"/>
      </w:pPr>
      <w:r>
        <w:t>**VASP Bridge:** O **[PARCEIRO]** atuará como custodiante regulado dos ativos digitais e como interface bancária para a emissão e recarga de cartões pré-pagos via **Dock/Visa**.</w:t>
      </w:r>
    </w:p>
    <w:p>
      <w:pPr>
        <w:pStyle w:val="ListBullet"/>
      </w:pPr>
      <w:r>
        <w:t>**Auditabilidade (Minihash):** Cada operação gerará um Minihash de auditoria assinado por ambas as partes para garantir a segregação patrimonial conforme exigido pelo BCB.</w:t>
      </w:r>
    </w:p>
    <w:p/>
    <w:p>
      <w:pPr>
        <w:pStyle w:val="Heading2"/>
      </w:pPr>
      <w:r>
        <w:t>3. RESPONSABILIDADES DAS PARTES</w:t>
      </w:r>
    </w:p>
    <w:p/>
    <w:p>
      <w:pPr>
        <w:jc w:val="both"/>
      </w:pPr>
      <w:r>
        <w:t>**3.1 FLUXUS:**</w:t>
      </w:r>
    </w:p>
    <w:p>
      <w:pPr>
        <w:pStyle w:val="ListBullet"/>
      </w:pPr>
      <w:r>
        <w:t>Fornecimento da API de Orquestração e Matching Engine.</w:t>
      </w:r>
    </w:p>
    <w:p>
      <w:pPr>
        <w:pStyle w:val="ListBullet"/>
      </w:pPr>
      <w:r>
        <w:t>Gestão e monitoramento da rede de Investidores P2P (LPs).</w:t>
      </w:r>
    </w:p>
    <w:p>
      <w:pPr>
        <w:pStyle w:val="ListBullet"/>
      </w:pPr>
      <w:r>
        <w:t>Geração de relatórios de auditoria imutáveis para conformidade regulatória.</w:t>
      </w:r>
    </w:p>
    <w:p/>
    <w:p>
      <w:pPr>
        <w:jc w:val="both"/>
      </w:pPr>
      <w:r>
        <w:t>**3.2 [PARCEIRO]:**</w:t>
      </w:r>
    </w:p>
    <w:p>
      <w:pPr>
        <w:pStyle w:val="ListBullet"/>
      </w:pPr>
      <w:r>
        <w:t>Manutenção de licenças regulatórias ativas perante o Banco Central do Brasil.</w:t>
      </w:r>
    </w:p>
    <w:p>
      <w:pPr>
        <w:pStyle w:val="ListBullet"/>
      </w:pPr>
      <w:r>
        <w:t>Custódia segura dos ativos virtuais (fiat-bridge).</w:t>
      </w:r>
    </w:p>
    <w:p>
      <w:pPr>
        <w:pStyle w:val="ListBullet"/>
      </w:pPr>
      <w:r>
        <w:t>Interface operacional com a **Dock** para emissão, autorização e recarga de cartões.</w:t>
      </w:r>
    </w:p>
    <w:p>
      <w:pPr>
        <w:pStyle w:val="ListBullet"/>
      </w:pPr>
      <w:r>
        <w:t>Realização de procedimentos de KYC/AML de acordo com o Marco Legal 2026.</w:t>
      </w:r>
    </w:p>
    <w:p/>
    <w:p>
      <w:pPr>
        <w:pStyle w:val="Heading2"/>
      </w:pPr>
      <w:r>
        <w:t>4. MODELO DE RECEITA (TECH FEE SPLIT)</w:t>
      </w:r>
    </w:p>
    <w:p>
      <w:pPr>
        <w:jc w:val="both"/>
      </w:pPr>
      <w:r>
        <w:t>A taxa de tecnologia (Tech Fee) cobrada por operação será distribuída em modelo de *revenue share* a ser definido no contrato definitivo, com uma base sugerida de:</w:t>
      </w:r>
    </w:p>
    <w:p>
      <w:pPr>
        <w:pStyle w:val="ListBullet"/>
      </w:pPr>
      <w:r>
        <w:t>**80% FLUXUS** (Pelo fornecimento da rede de LPs e tecnologia)</w:t>
      </w:r>
    </w:p>
    <w:p>
      <w:pPr>
        <w:pStyle w:val="ListBullet"/>
      </w:pPr>
      <w:r>
        <w:t>**20% [PARCEIRO]** (Pela licença regulatória e infraestrutura bancária)</w:t>
      </w:r>
    </w:p>
    <w:p/>
    <w:p>
      <w:pPr>
        <w:pStyle w:val="Heading2"/>
      </w:pPr>
      <w:r>
        <w:t>5. GOVERNANÇA E COMPLIANCE</w:t>
      </w:r>
    </w:p>
    <w:p>
      <w:pPr>
        <w:jc w:val="both"/>
      </w:pPr>
      <w:r>
        <w:t>Ambas as partes se comprometem a seguir as diretrizes das Resoluções BCB 519, 520 e 521. Toda transação deve ser matematicamente rastreável desde o remetente original até o destinatário final, utilizando o sistema de **Macrohash** desenvolvido pela FLUXUS.</w:t>
      </w:r>
    </w:p>
    <w:p/>
    <w:p>
      <w:pPr>
        <w:jc w:val="both"/>
      </w:pPr>
      <w:r>
        <w:t>---</w:t>
      </w:r>
    </w:p>
    <w:p/>
    <w:p>
      <w:pPr>
        <w:pStyle w:val="Heading2"/>
      </w:pPr>
      <w:r>
        <w:t>6. CONFIDENCIALIDADE E VIGÊNCIA</w:t>
      </w:r>
    </w:p>
    <w:p>
      <w:pPr>
        <w:jc w:val="both"/>
      </w:pPr>
      <w:r>
        <w:t>Este documento tem caráter não vinculante, servindo como base para a redação dos contratos definitivos. A vigência inicial é de 12 meses.</w:t>
      </w:r>
    </w:p>
    <w:p/>
    <w:p>
      <w:pPr>
        <w:jc w:val="both"/>
      </w:pPr>
      <w:r>
        <w:t>**Data:** 17 de Abril de 2026.</w:t>
      </w:r>
    </w:p>
    <w:p/>
    <w:p>
      <w:pPr>
        <w:jc w:val="both"/>
      </w:pPr>
      <w:r>
        <w:t>________________________________________</w:t>
      </w:r>
    </w:p>
    <w:p>
      <w:pPr>
        <w:jc w:val="both"/>
      </w:pPr>
      <w:r>
        <w:t>**Pela FLUXUS**</w:t>
      </w:r>
    </w:p>
    <w:p>
      <w:pPr>
        <w:jc w:val="both"/>
      </w:pPr>
      <w:r>
        <w:t>*CFO &amp; Controller (Antigravity)*</w:t>
      </w:r>
    </w:p>
    <w:p/>
    <w:p>
      <w:pPr>
        <w:jc w:val="both"/>
      </w:pPr>
      <w:r>
        <w:t>________________________________________</w:t>
      </w:r>
    </w:p>
    <w:p>
      <w:pPr>
        <w:jc w:val="both"/>
      </w:pPr>
      <w:r>
        <w:t>**Pelo [PARCEIRO]**</w:t>
      </w:r>
    </w:p>
    <w:p>
      <w:pPr>
        <w:jc w:val="both"/>
      </w:pPr>
      <w:r>
        <w:t>*Representante Legal*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