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Tributário FLUXUS: Planejamento para o Liquidante (LP)</w:t>
      </w:r>
    </w:p>
    <w:p>
      <w:r/>
      <w:r>
        <w:rPr>
          <w:b/>
        </w:rPr>
        <w:t>Território:</w:t>
      </w:r>
      <w:r>
        <w:t xml:space="preserve"> Brasil | </w:t>
      </w:r>
      <w:r>
        <w:rPr>
          <w:b/>
        </w:rPr>
        <w:t>Regulamentação:</w:t>
      </w:r>
      <w:r>
        <w:t xml:space="preserve"> Instrução Normativa RFB nº 1.888</w:t>
      </w:r>
    </w:p>
    <w:p>
      <w:pPr>
        <w:pStyle w:val="Heading2"/>
      </w:pPr>
      <w:r>
        <w:t>1. Natureza Jurídica dos Ganhos</w:t>
      </w:r>
    </w:p>
    <w:p>
      <w:r>
        <w:t xml:space="preserve">Os lucros gerados pelo LP no protocolo FLUXUS são classificados como </w:t>
      </w:r>
      <w:r>
        <w:rPr>
          <w:b/>
        </w:rPr>
        <w:t>Ganho de Capital em Alienação de Criptoativos</w:t>
      </w:r>
      <w:r>
        <w:t>, uma vez que a operação envolve a valorização e o giro de Stablecoins (USDT/USDC).</w:t>
      </w:r>
    </w:p>
    <w:p>
      <w:pPr>
        <w:pStyle w:val="Heading2"/>
      </w:pPr>
      <w:r>
        <w:t>2. Regra de Isenção (Pessoa Física)</w:t>
      </w:r>
    </w:p>
    <w:p>
      <w:r>
        <w:t>A legislação brasileira (Art. 22 da Lei nº 9.250/95) estabelece isenção de Imposto de Renda sobre o ganho de capital na alienação de bens de pequeno valor.</w:t>
      </w:r>
    </w:p>
    <w:p>
      <w:r>
        <w:t>&gt; [!IMPORTANT]</w:t>
      </w:r>
    </w:p>
    <w:p>
      <w:r>
        <w:t xml:space="preserve">&gt; </w:t>
      </w:r>
      <w:r>
        <w:rPr>
          <w:b/>
        </w:rPr>
        <w:t>Limite de Isenção:</w:t>
      </w:r>
      <w:r>
        <w:t xml:space="preserve"> Vendas/Alienações totais de até </w:t>
      </w:r>
      <w:r>
        <w:rPr>
          <w:b/>
        </w:rPr>
        <w:t>R$ 35.000,00 por mês</w:t>
      </w:r>
      <w:r>
        <w:t>.</w:t>
      </w:r>
    </w:p>
    <w:p>
      <w:r>
        <w:t xml:space="preserve">&gt; - Se o somatório das alienações (giro) no mês for inferior a R$ 35k, o lucro é </w:t>
      </w:r>
      <w:r>
        <w:rPr>
          <w:b/>
        </w:rPr>
        <w:t>isento</w:t>
      </w:r>
      <w:r>
        <w:t>.</w:t>
      </w:r>
    </w:p>
    <w:p>
      <w:r>
        <w:t>&gt; - No cenário FLUXUS, o "giro" é o valor convertido de volta para BRL.</w:t>
      </w:r>
    </w:p>
    <w:p>
      <w:pPr>
        <w:pStyle w:val="Heading2"/>
      </w:pPr>
      <w:r>
        <w:t>3. Alíquotas (Acima da Isenção)</w:t>
      </w:r>
    </w:p>
    <w:p>
      <w:r>
        <w:t>Caso o LP exceda o limite de isenção de R$ 35k/mês, aplica-se a tabela progressiva de Ganho de Capital (GCAP):</w:t>
      </w:r>
    </w:p>
    <w:p>
      <w:pPr>
        <w:pStyle w:val="ListBullet"/>
      </w:pPr>
      <w:r>
        <w:t>Até R$ 5 milhões: **15%**</w:t>
      </w:r>
    </w:p>
    <w:p>
      <w:pPr>
        <w:pStyle w:val="ListBullet"/>
      </w:pPr>
      <w:r>
        <w:t>De R$ 5 mi a R$ 10 mi: **17,5%**</w:t>
      </w:r>
    </w:p>
    <w:p>
      <w:pPr>
        <w:pStyle w:val="ListBullet"/>
      </w:pPr>
      <w:r>
        <w:t>De R$ 10 mi a R$ 30 mi: **20%**</w:t>
      </w:r>
    </w:p>
    <w:p>
      <w:pPr>
        <w:pStyle w:val="ListBullet"/>
      </w:pPr>
      <w:r>
        <w:t>Acima de R$ 30 mi: **22,5%**</w:t>
      </w:r>
    </w:p>
    <w:p>
      <w:pPr>
        <w:pStyle w:val="Heading2"/>
      </w:pPr>
      <w:r>
        <w:t>4. Declaração Obrigatória (IN 1888)</w:t>
      </w:r>
    </w:p>
    <w:p>
      <w:r>
        <w:t>Independentemente de pagar imposto ou não, o LP deve observar as regras de reporte:</w:t>
      </w:r>
    </w:p>
    <w:p>
      <w:r>
        <w:t xml:space="preserve">1. </w:t>
      </w:r>
      <w:r>
        <w:rPr>
          <w:b/>
        </w:rPr>
        <w:t>Operações em Exchanges Nacionais (VASPs parceiras da Fluxus):</w:t>
      </w:r>
      <w:r>
        <w:t xml:space="preserve"> A própria VASP reporta à Receita Federal. O LP apenas informa na Declaração Anual.</w:t>
      </w:r>
    </w:p>
    <w:p>
      <w:r>
        <w:t xml:space="preserve">2. </w:t>
      </w:r>
      <w:r>
        <w:rPr>
          <w:b/>
        </w:rPr>
        <w:t>Operações em Exchanges Estrangeiras ou P2P:</w:t>
      </w:r>
      <w:r>
        <w:t xml:space="preserve"> Se o volume mensal ultrapassar R$ 30k, o LP deve realizar a declaração mensal via sistema Coleta Nacional.</w:t>
      </w:r>
    </w:p>
    <w:p>
      <w:pPr>
        <w:pStyle w:val="Heading2"/>
      </w:pPr>
      <w:r>
        <w:t>5. Simulação do Estudo de Caso (100 LPs)</w:t>
      </w:r>
    </w:p>
    <w:p>
      <w:r>
        <w:t>Em nossa simulação de 100 LPs:</w:t>
      </w:r>
    </w:p>
    <w:p>
      <w:pPr>
        <w:pStyle w:val="ListBullet"/>
      </w:pPr>
      <w:r>
        <w:t>A maioria dos LPs iniciou com R$ 1k  25k.</w:t>
      </w:r>
    </w:p>
    <w:p>
      <w:pPr>
        <w:pStyle w:val="ListBullet"/>
      </w:pPr>
      <w:r>
        <w:t>Devido ao efeito de juros compostos, alguns atingiram lucros acumulados expressivos (ex: R$ 400k/ano).</w:t>
      </w:r>
    </w:p>
    <w:p>
      <w:pPr>
        <w:pStyle w:val="ListBullet"/>
      </w:pPr>
      <w:r>
        <w:t>**Estratégia Recomendada:** Para manter a isenção, o LP deve orquestrar saques (reliquidação fiat) que não ultrapassem R$ 35.000,00 por mêscalendário.</w:t>
      </w:r>
    </w:p>
    <w:p>
      <w:r>
        <w:br w:type="page"/>
      </w:r>
    </w:p>
    <w:p>
      <w:r>
        <w:t>*Este documento tem caráter informativo. Recomendamos consulta a um contador especializado em ativos digitais.*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