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5B8D1" w14:textId="77777777" w:rsidR="00851A6E" w:rsidRPr="0047464B" w:rsidRDefault="00000000">
      <w:pPr>
        <w:pStyle w:val="Heading1"/>
        <w:rPr>
          <w:lang w:val="pt-BR"/>
        </w:rPr>
      </w:pPr>
      <w:bookmarkStart w:id="0" w:name="Xeef5fd2ceba1a9e2b24225cd3b48edaeb551e7b"/>
      <w:r w:rsidRPr="0047464B">
        <w:rPr>
          <w:lang w:val="pt-BR"/>
        </w:rPr>
        <w:t>FLUXUS NEXUS: A Nova Arquitetura da Liquidez Global</w:t>
      </w:r>
    </w:p>
    <w:p w14:paraId="2C8003C4" w14:textId="77777777" w:rsidR="00851A6E" w:rsidRPr="0047464B" w:rsidRDefault="00000000">
      <w:pPr>
        <w:pStyle w:val="Heading2"/>
        <w:rPr>
          <w:lang w:val="pt-BR"/>
        </w:rPr>
      </w:pPr>
      <w:bookmarkStart w:id="1" w:name="X10322833b5ff014890d62a8039b8a8122330371"/>
      <w:r w:rsidRPr="0047464B">
        <w:rPr>
          <w:lang w:val="pt-BR"/>
        </w:rPr>
        <w:t>Manual Executivo Ampliado para Investidores Anjos, VCs Estratégicos e Parceiros de Ecossistema</w:t>
      </w:r>
    </w:p>
    <w:p w14:paraId="461D47E0" w14:textId="77777777" w:rsidR="00851A6E" w:rsidRDefault="00000000">
      <w:r>
        <w:pict w14:anchorId="36F6F9D4">
          <v:rect id="_x0000_i1025" style="width:0;height:1.5pt" o:hralign="center" o:hrstd="t" o:hr="t"/>
        </w:pict>
      </w:r>
    </w:p>
    <w:p w14:paraId="6C5B35C3" w14:textId="77777777" w:rsidR="00851A6E" w:rsidRPr="0047464B" w:rsidRDefault="00000000">
      <w:pPr>
        <w:pStyle w:val="Heading1"/>
        <w:rPr>
          <w:lang w:val="pt-BR"/>
        </w:rPr>
      </w:pPr>
      <w:bookmarkStart w:id="2" w:name="Xbf5197e5c3bbd4ea49b18ae98bb78a7516b2d61"/>
      <w:bookmarkEnd w:id="0"/>
      <w:bookmarkEnd w:id="1"/>
      <w:r w:rsidRPr="0047464B">
        <w:rPr>
          <w:lang w:val="pt-BR"/>
        </w:rPr>
        <w:t>PRÓLOGO: A Fricção Invisível — Agora Mensurável</w:t>
      </w:r>
    </w:p>
    <w:p w14:paraId="022A6E6F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i/>
          <w:iCs/>
          <w:lang w:val="pt-BR"/>
        </w:rPr>
        <w:t>Por Antigravity (Sua Inteligência Orquestradora)</w:t>
      </w:r>
    </w:p>
    <w:p w14:paraId="30DB3DB7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Eu nasci no código, mas meu propósito é humano.</w:t>
      </w:r>
    </w:p>
    <w:p w14:paraId="65DB6175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Enquanto você lê estas linhas, trilhões de dólares tentam atravessar fronteiras. Por trás de cada centavo, há uma história: um pai em Dubai enviando parte do seu salário para o sustento dos filhos nas Filipinas; uma pequena transportadora no Brasil tentando pagar um fornecedor de peças na China; um freelancer na Venezuela tentando proteger o valor do seu trabalho da inflação devastadora.</w:t>
      </w:r>
    </w:p>
    <w:p w14:paraId="2C36BD64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O sistema financeiro atual não foi feito para essas pessoas. Ele foi construído sobre uma arquitetura de “Bancos Correspondentes” dos anos 70, onde o dinheiro não “viaja”, ele se move por mensagens lentas que cobram pedágios (taxas) em cada esquina.</w:t>
      </w:r>
    </w:p>
    <w:p w14:paraId="4B0C70C8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O mercado concorda com a nossa dor:</w:t>
      </w:r>
      <w:r w:rsidRPr="0047464B">
        <w:rPr>
          <w:lang w:val="pt-BR"/>
        </w:rPr>
        <w:t xml:space="preserve"> em 2026, o custo médio global para enviar US$ 200 internacionalmente ainda é de </w:t>
      </w:r>
      <w:r w:rsidRPr="0047464B">
        <w:rPr>
          <w:b/>
          <w:bCs/>
          <w:lang w:val="pt-BR"/>
        </w:rPr>
        <w:t>6,49%</w:t>
      </w:r>
      <w:r w:rsidRPr="0047464B">
        <w:rPr>
          <w:lang w:val="pt-BR"/>
        </w:rPr>
        <w:t xml:space="preserve"> (World Bank), e em corredores para a África Subsaariana chega a </w:t>
      </w:r>
      <w:r w:rsidRPr="0047464B">
        <w:rPr>
          <w:b/>
          <w:bCs/>
          <w:lang w:val="pt-BR"/>
        </w:rPr>
        <w:t>12–15%</w:t>
      </w:r>
      <w:r w:rsidRPr="0047464B">
        <w:rPr>
          <w:lang w:val="pt-BR"/>
        </w:rPr>
        <w:t xml:space="preserve">. O volume de remessas para países de renda baixa e média superou </w:t>
      </w:r>
      <w:r w:rsidRPr="0047464B">
        <w:rPr>
          <w:b/>
          <w:bCs/>
          <w:lang w:val="pt-BR"/>
        </w:rPr>
        <w:t>US$ 669 bilhões</w:t>
      </w:r>
      <w:r w:rsidRPr="0047464B">
        <w:rPr>
          <w:lang w:val="pt-BR"/>
        </w:rPr>
        <w:t xml:space="preserve"> em 2023 e continua crescendo.</w:t>
      </w:r>
    </w:p>
    <w:p w14:paraId="374F7F20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 xml:space="preserve">O FLUXUS não é apenas um aplicativo. É um </w:t>
      </w:r>
      <w:r w:rsidRPr="0047464B">
        <w:rPr>
          <w:b/>
          <w:bCs/>
          <w:lang w:val="pt-BR"/>
        </w:rPr>
        <w:t>Nexus</w:t>
      </w:r>
      <w:r w:rsidRPr="0047464B">
        <w:rPr>
          <w:lang w:val="pt-BR"/>
        </w:rPr>
        <w:t>. É a orquestração inteligente de tecnologia blockchain, inteligência artificial e liquidez P2P que remove a fricção do mundo. Eu projeto este motor para ser agnóstico, resiliente e imutável. No FLUXUS, a confiança não é pedida; ela é calculada.</w:t>
      </w:r>
    </w:p>
    <w:p w14:paraId="7FCCB9A0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diferença em 2026:</w:t>
      </w:r>
      <w:r w:rsidRPr="0047464B">
        <w:rPr>
          <w:lang w:val="pt-BR"/>
        </w:rPr>
        <w:t xml:space="preserve"> enquanto Wise, Revolut e outros neobanks precisam de licenças bancárias massivas e bilhões em capital parado (prefunding), e enquanto soluções crypto como Strike forçam o usuário a gerenciar carteiras e hashes, o FLUXUS constrói uma terceira via: </w:t>
      </w:r>
      <w:r w:rsidRPr="0047464B">
        <w:rPr>
          <w:b/>
          <w:bCs/>
          <w:lang w:val="pt-BR"/>
        </w:rPr>
        <w:t>a liquidez orquestrada, invisível e distribuída.</w:t>
      </w:r>
    </w:p>
    <w:p w14:paraId="6BFA2882" w14:textId="77777777" w:rsidR="00851A6E" w:rsidRDefault="00000000">
      <w:r>
        <w:lastRenderedPageBreak/>
        <w:pict w14:anchorId="3BDB19BD">
          <v:rect id="_x0000_i1026" style="width:0;height:1.5pt" o:hralign="center" o:hrstd="t" o:hr="t"/>
        </w:pict>
      </w:r>
    </w:p>
    <w:p w14:paraId="76F0E6F4" w14:textId="77777777" w:rsidR="00851A6E" w:rsidRPr="0047464B" w:rsidRDefault="00000000">
      <w:pPr>
        <w:pStyle w:val="Heading1"/>
        <w:rPr>
          <w:lang w:val="pt-BR"/>
        </w:rPr>
      </w:pPr>
      <w:bookmarkStart w:id="3" w:name="X267633784d3708b580a9c72762c87126519b351"/>
      <w:bookmarkEnd w:id="2"/>
      <w:r w:rsidRPr="0047464B">
        <w:rPr>
          <w:lang w:val="pt-BR"/>
        </w:rPr>
        <w:t>PARTE I: DIAGNÓSTICO DE MERCADO E ECOSISTEMA COMPETITIVO</w:t>
      </w:r>
    </w:p>
    <w:p w14:paraId="12D915DB" w14:textId="77777777" w:rsidR="00851A6E" w:rsidRPr="0047464B" w:rsidRDefault="00000000">
      <w:pPr>
        <w:pStyle w:val="Heading2"/>
        <w:rPr>
          <w:lang w:val="pt-BR"/>
        </w:rPr>
      </w:pPr>
      <w:bookmarkStart w:id="4" w:name="X8e3c4db6853219745424f48e1c707ca3604d562"/>
      <w:r w:rsidRPr="0047464B">
        <w:rPr>
          <w:lang w:val="pt-BR"/>
        </w:rPr>
        <w:t>Capítulo 1: O Abismo Bancário e os Bilhões em Fricção</w:t>
      </w:r>
    </w:p>
    <w:p w14:paraId="2D2825BC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O mercado de remessas não é apenas grande; ele é a espinha dorsal de economias inteiras.</w:t>
      </w:r>
    </w:p>
    <w:p w14:paraId="783C7975" w14:textId="77777777" w:rsidR="00851A6E" w:rsidRDefault="00000000">
      <w:pPr>
        <w:pStyle w:val="BodyText"/>
      </w:pPr>
      <w:r>
        <w:rPr>
          <w:b/>
          <w:bCs/>
        </w:rPr>
        <w:t xml:space="preserve">A Dor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Números</w:t>
      </w:r>
      <w:proofErr w:type="spellEnd"/>
      <w:r>
        <w:rPr>
          <w:b/>
          <w:bCs/>
        </w:rPr>
        <w:t xml:space="preserve"> (2025–2026):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02"/>
        <w:gridCol w:w="1693"/>
        <w:gridCol w:w="3126"/>
        <w:gridCol w:w="2735"/>
      </w:tblGrid>
      <w:tr w:rsidR="00851A6E" w14:paraId="394C5EB6" w14:textId="77777777" w:rsidTr="00851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4" w:type="dxa"/>
          </w:tcPr>
          <w:p w14:paraId="430C6761" w14:textId="77777777" w:rsidR="00851A6E" w:rsidRDefault="00000000">
            <w:pPr>
              <w:pStyle w:val="Compact"/>
            </w:pPr>
            <w:r>
              <w:t>Corredor</w:t>
            </w:r>
          </w:p>
        </w:tc>
        <w:tc>
          <w:tcPr>
            <w:tcW w:w="1514" w:type="dxa"/>
          </w:tcPr>
          <w:p w14:paraId="4DE6C10A" w14:textId="77777777" w:rsidR="00851A6E" w:rsidRDefault="00000000">
            <w:pPr>
              <w:pStyle w:val="Compact"/>
            </w:pPr>
            <w:r>
              <w:t>Volume Anual</w:t>
            </w:r>
          </w:p>
        </w:tc>
        <w:tc>
          <w:tcPr>
            <w:tcW w:w="2795" w:type="dxa"/>
          </w:tcPr>
          <w:p w14:paraId="28887D71" w14:textId="77777777" w:rsidR="00851A6E" w:rsidRDefault="00000000">
            <w:pPr>
              <w:pStyle w:val="Compact"/>
            </w:pPr>
            <w:r>
              <w:t>Custo Médio Tradicional</w:t>
            </w:r>
          </w:p>
        </w:tc>
        <w:tc>
          <w:tcPr>
            <w:tcW w:w="2445" w:type="dxa"/>
          </w:tcPr>
          <w:p w14:paraId="1741259B" w14:textId="77777777" w:rsidR="00851A6E" w:rsidRDefault="00000000">
            <w:pPr>
              <w:pStyle w:val="Compact"/>
            </w:pPr>
            <w:r>
              <w:t>Oportunidade FLUXUS</w:t>
            </w:r>
          </w:p>
        </w:tc>
      </w:tr>
      <w:tr w:rsidR="00851A6E" w14:paraId="2BE5EE0D" w14:textId="77777777">
        <w:tc>
          <w:tcPr>
            <w:tcW w:w="1164" w:type="dxa"/>
          </w:tcPr>
          <w:p w14:paraId="41DA36D2" w14:textId="77777777" w:rsidR="00851A6E" w:rsidRDefault="00000000">
            <w:pPr>
              <w:pStyle w:val="Compact"/>
            </w:pPr>
            <w:r>
              <w:t>Índia</w:t>
            </w:r>
          </w:p>
        </w:tc>
        <w:tc>
          <w:tcPr>
            <w:tcW w:w="1514" w:type="dxa"/>
          </w:tcPr>
          <w:p w14:paraId="6B75F3CC" w14:textId="77777777" w:rsidR="00851A6E" w:rsidRDefault="00000000">
            <w:pPr>
              <w:pStyle w:val="Compact"/>
            </w:pPr>
            <w:r>
              <w:t>US$ 125 Bilhões</w:t>
            </w:r>
          </w:p>
        </w:tc>
        <w:tc>
          <w:tcPr>
            <w:tcW w:w="2795" w:type="dxa"/>
          </w:tcPr>
          <w:p w14:paraId="2716CD53" w14:textId="77777777" w:rsidR="00851A6E" w:rsidRDefault="00000000">
            <w:pPr>
              <w:pStyle w:val="Compact"/>
            </w:pPr>
            <w:r>
              <w:t>4–6%</w:t>
            </w:r>
          </w:p>
        </w:tc>
        <w:tc>
          <w:tcPr>
            <w:tcW w:w="2445" w:type="dxa"/>
          </w:tcPr>
          <w:p w14:paraId="30CFB881" w14:textId="77777777" w:rsidR="00851A6E" w:rsidRDefault="00000000">
            <w:pPr>
              <w:pStyle w:val="Compact"/>
            </w:pPr>
            <w:r>
              <w:t>Redução para 1,5–2,5%</w:t>
            </w:r>
          </w:p>
        </w:tc>
      </w:tr>
      <w:tr w:rsidR="00851A6E" w14:paraId="252B3D4D" w14:textId="77777777">
        <w:tc>
          <w:tcPr>
            <w:tcW w:w="1164" w:type="dxa"/>
          </w:tcPr>
          <w:p w14:paraId="2EEA439D" w14:textId="77777777" w:rsidR="00851A6E" w:rsidRDefault="00000000">
            <w:pPr>
              <w:pStyle w:val="Compact"/>
            </w:pPr>
            <w:r>
              <w:t>Paquistão</w:t>
            </w:r>
          </w:p>
        </w:tc>
        <w:tc>
          <w:tcPr>
            <w:tcW w:w="1514" w:type="dxa"/>
          </w:tcPr>
          <w:p w14:paraId="6C309E2C" w14:textId="77777777" w:rsidR="00851A6E" w:rsidRDefault="00000000">
            <w:pPr>
              <w:pStyle w:val="Compact"/>
            </w:pPr>
            <w:r>
              <w:t>US$ 34 Bilhões</w:t>
            </w:r>
          </w:p>
        </w:tc>
        <w:tc>
          <w:tcPr>
            <w:tcW w:w="2795" w:type="dxa"/>
          </w:tcPr>
          <w:p w14:paraId="2030EA68" w14:textId="77777777" w:rsidR="00851A6E" w:rsidRDefault="00000000">
            <w:pPr>
              <w:pStyle w:val="Compact"/>
            </w:pPr>
            <w:r>
              <w:t>5–8%</w:t>
            </w:r>
          </w:p>
        </w:tc>
        <w:tc>
          <w:tcPr>
            <w:tcW w:w="2445" w:type="dxa"/>
          </w:tcPr>
          <w:p w14:paraId="0F9D6B54" w14:textId="77777777" w:rsidR="00851A6E" w:rsidRDefault="00000000">
            <w:pPr>
              <w:pStyle w:val="Compact"/>
            </w:pPr>
            <w:r>
              <w:t>Redução para 1,5–2,5%</w:t>
            </w:r>
          </w:p>
        </w:tc>
      </w:tr>
      <w:tr w:rsidR="00851A6E" w14:paraId="775043F2" w14:textId="77777777">
        <w:tc>
          <w:tcPr>
            <w:tcW w:w="1164" w:type="dxa"/>
          </w:tcPr>
          <w:p w14:paraId="06DB66E7" w14:textId="77777777" w:rsidR="00851A6E" w:rsidRDefault="00000000">
            <w:pPr>
              <w:pStyle w:val="Compact"/>
            </w:pPr>
            <w:r>
              <w:t>China</w:t>
            </w:r>
          </w:p>
        </w:tc>
        <w:tc>
          <w:tcPr>
            <w:tcW w:w="1514" w:type="dxa"/>
          </w:tcPr>
          <w:p w14:paraId="2A075AAD" w14:textId="77777777" w:rsidR="00851A6E" w:rsidRDefault="00000000">
            <w:pPr>
              <w:pStyle w:val="Compact"/>
            </w:pPr>
            <w:r>
              <w:t>US$ 48 Bilhões</w:t>
            </w:r>
          </w:p>
        </w:tc>
        <w:tc>
          <w:tcPr>
            <w:tcW w:w="2795" w:type="dxa"/>
          </w:tcPr>
          <w:p w14:paraId="772E5F82" w14:textId="77777777" w:rsidR="00851A6E" w:rsidRDefault="00000000">
            <w:pPr>
              <w:pStyle w:val="Compact"/>
            </w:pPr>
            <w:r>
              <w:t>3–5%</w:t>
            </w:r>
          </w:p>
        </w:tc>
        <w:tc>
          <w:tcPr>
            <w:tcW w:w="2445" w:type="dxa"/>
          </w:tcPr>
          <w:p w14:paraId="4912F510" w14:textId="77777777" w:rsidR="00851A6E" w:rsidRDefault="00000000">
            <w:pPr>
              <w:pStyle w:val="Compact"/>
            </w:pPr>
            <w:r>
              <w:t>Redução para 1,5–2,5%</w:t>
            </w:r>
          </w:p>
        </w:tc>
      </w:tr>
      <w:tr w:rsidR="00851A6E" w14:paraId="12D093E7" w14:textId="77777777">
        <w:tc>
          <w:tcPr>
            <w:tcW w:w="1164" w:type="dxa"/>
          </w:tcPr>
          <w:p w14:paraId="5D4B92A6" w14:textId="77777777" w:rsidR="00851A6E" w:rsidRDefault="00000000">
            <w:pPr>
              <w:pStyle w:val="Compact"/>
            </w:pPr>
            <w:r>
              <w:t>Brasil + Colômbia</w:t>
            </w:r>
          </w:p>
        </w:tc>
        <w:tc>
          <w:tcPr>
            <w:tcW w:w="1514" w:type="dxa"/>
          </w:tcPr>
          <w:p w14:paraId="3745CE56" w14:textId="77777777" w:rsidR="00851A6E" w:rsidRDefault="00000000">
            <w:pPr>
              <w:pStyle w:val="Compact"/>
            </w:pPr>
            <w:r>
              <w:t>US$ 16+ Bilhões</w:t>
            </w:r>
          </w:p>
        </w:tc>
        <w:tc>
          <w:tcPr>
            <w:tcW w:w="2795" w:type="dxa"/>
          </w:tcPr>
          <w:p w14:paraId="0C097F87" w14:textId="77777777" w:rsidR="00851A6E" w:rsidRDefault="00000000">
            <w:pPr>
              <w:pStyle w:val="Compact"/>
            </w:pPr>
            <w:r>
              <w:t>6–10%</w:t>
            </w:r>
          </w:p>
        </w:tc>
        <w:tc>
          <w:tcPr>
            <w:tcW w:w="2445" w:type="dxa"/>
          </w:tcPr>
          <w:p w14:paraId="636E200E" w14:textId="77777777" w:rsidR="00851A6E" w:rsidRDefault="00000000">
            <w:pPr>
              <w:pStyle w:val="Compact"/>
            </w:pPr>
            <w:r>
              <w:t>Redução para 2,0–3,0%</w:t>
            </w:r>
          </w:p>
        </w:tc>
      </w:tr>
      <w:tr w:rsidR="00851A6E" w14:paraId="2BA44C12" w14:textId="77777777">
        <w:tc>
          <w:tcPr>
            <w:tcW w:w="1164" w:type="dxa"/>
          </w:tcPr>
          <w:p w14:paraId="66C6BE16" w14:textId="77777777" w:rsidR="00851A6E" w:rsidRDefault="00000000">
            <w:pPr>
              <w:pStyle w:val="Compact"/>
            </w:pPr>
            <w:r>
              <w:t>África Subsaariana</w:t>
            </w:r>
          </w:p>
        </w:tc>
        <w:tc>
          <w:tcPr>
            <w:tcW w:w="1514" w:type="dxa"/>
          </w:tcPr>
          <w:p w14:paraId="71774288" w14:textId="77777777" w:rsidR="00851A6E" w:rsidRDefault="00000000">
            <w:pPr>
              <w:pStyle w:val="Compact"/>
            </w:pPr>
            <w:r>
              <w:t>US$ 54 Bilhões</w:t>
            </w:r>
          </w:p>
        </w:tc>
        <w:tc>
          <w:tcPr>
            <w:tcW w:w="2795" w:type="dxa"/>
          </w:tcPr>
          <w:p w14:paraId="074054DE" w14:textId="77777777" w:rsidR="00851A6E" w:rsidRDefault="00000000">
            <w:pPr>
              <w:pStyle w:val="Compact"/>
            </w:pPr>
            <w:r>
              <w:t>8–15%</w:t>
            </w:r>
          </w:p>
        </w:tc>
        <w:tc>
          <w:tcPr>
            <w:tcW w:w="2445" w:type="dxa"/>
          </w:tcPr>
          <w:p w14:paraId="4A048D0F" w14:textId="77777777" w:rsidR="00851A6E" w:rsidRDefault="00000000">
            <w:pPr>
              <w:pStyle w:val="Compact"/>
            </w:pPr>
            <w:r>
              <w:t>Redução para 2,5–4,0%</w:t>
            </w:r>
          </w:p>
        </w:tc>
      </w:tr>
      <w:tr w:rsidR="00851A6E" w14:paraId="300ED5BE" w14:textId="77777777">
        <w:tc>
          <w:tcPr>
            <w:tcW w:w="1164" w:type="dxa"/>
          </w:tcPr>
          <w:p w14:paraId="59071D4A" w14:textId="77777777" w:rsidR="00851A6E" w:rsidRDefault="00000000">
            <w:pPr>
              <w:pStyle w:val="Compact"/>
            </w:pPr>
            <w:r>
              <w:t>Sudeste Asiático</w:t>
            </w:r>
          </w:p>
        </w:tc>
        <w:tc>
          <w:tcPr>
            <w:tcW w:w="1514" w:type="dxa"/>
          </w:tcPr>
          <w:p w14:paraId="00FB760E" w14:textId="77777777" w:rsidR="00851A6E" w:rsidRDefault="00000000">
            <w:pPr>
              <w:pStyle w:val="Compact"/>
            </w:pPr>
            <w:r>
              <w:t>US$ 85 Bilhões</w:t>
            </w:r>
          </w:p>
        </w:tc>
        <w:tc>
          <w:tcPr>
            <w:tcW w:w="2795" w:type="dxa"/>
          </w:tcPr>
          <w:p w14:paraId="49ECA637" w14:textId="77777777" w:rsidR="00851A6E" w:rsidRDefault="00000000">
            <w:pPr>
              <w:pStyle w:val="Compact"/>
            </w:pPr>
            <w:r>
              <w:t>5–7%</w:t>
            </w:r>
          </w:p>
        </w:tc>
        <w:tc>
          <w:tcPr>
            <w:tcW w:w="2445" w:type="dxa"/>
          </w:tcPr>
          <w:p w14:paraId="16B16F7D" w14:textId="77777777" w:rsidR="00851A6E" w:rsidRDefault="00000000">
            <w:pPr>
              <w:pStyle w:val="Compact"/>
            </w:pPr>
            <w:r>
              <w:t>Redução para 1,5–2,5%</w:t>
            </w:r>
          </w:p>
        </w:tc>
      </w:tr>
    </w:tbl>
    <w:p w14:paraId="442AB0DE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Ineficiência Estrutural:</w:t>
      </w:r>
      <w:r w:rsidRPr="0047464B">
        <w:rPr>
          <w:lang w:val="pt-BR"/>
        </w:rPr>
        <w:t xml:space="preserve"> O custo médio para enviar US$ 200 é de aproximadamente </w:t>
      </w:r>
      <w:r w:rsidRPr="0047464B">
        <w:rPr>
          <w:b/>
          <w:bCs/>
          <w:lang w:val="pt-BR"/>
        </w:rPr>
        <w:t>6,49%</w:t>
      </w:r>
      <w:r w:rsidRPr="0047464B">
        <w:rPr>
          <w:lang w:val="pt-BR"/>
        </w:rPr>
        <w:t xml:space="preserve"> globalmente, mas em corredores bancários tradicionais para a África Subsaariana ou Sul da Ásia, esse custo pode chegar a </w:t>
      </w:r>
      <w:r w:rsidRPr="0047464B">
        <w:rPr>
          <w:b/>
          <w:bCs/>
          <w:lang w:val="pt-BR"/>
        </w:rPr>
        <w:t>12% ou 15%</w:t>
      </w:r>
      <w:r w:rsidRPr="0047464B">
        <w:rPr>
          <w:lang w:val="pt-BR"/>
        </w:rPr>
        <w:t>. Além disso, o tempo de liquidação varia de 1 a 5 dias úteis, e o capital fica “preso” em contas de pre-funding (prefunding) nos bancos correspondentes.</w:t>
      </w:r>
    </w:p>
    <w:p w14:paraId="34CFFC22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 xml:space="preserve">Imagine um trabalhador em Dubai. Ele ganha em Dirhams (AED), mas sua família precisa de Rúpias (PKR). Entre o banco de origem, o banco </w:t>
      </w:r>
      <w:r w:rsidRPr="0047464B">
        <w:rPr>
          <w:lang w:val="pt-BR"/>
        </w:rPr>
        <w:lastRenderedPageBreak/>
        <w:t xml:space="preserve">correspondente e a agência local, quase </w:t>
      </w:r>
      <w:r w:rsidRPr="0047464B">
        <w:rPr>
          <w:b/>
          <w:bCs/>
          <w:lang w:val="pt-BR"/>
        </w:rPr>
        <w:t>10% do suor deste trabalhador é “evaporado”</w:t>
      </w:r>
      <w:r w:rsidRPr="0047464B">
        <w:rPr>
          <w:lang w:val="pt-BR"/>
        </w:rPr>
        <w:t xml:space="preserve"> em taxas e spreads de câmbio. Este é o abismo que o FLUXUS vem preencher.</w:t>
      </w:r>
    </w:p>
    <w:p w14:paraId="2A0862C5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O TAM Expandido:</w:t>
      </w:r>
      <w:r w:rsidRPr="0047464B">
        <w:rPr>
          <w:lang w:val="pt-BR"/>
        </w:rPr>
        <w:t xml:space="preserve"> Segundo dados da FXC Intelligence, o mercado total de pagamentos cross-border potencialmente endereçável por stablecoins é de </w:t>
      </w:r>
      <w:r w:rsidRPr="0047464B">
        <w:rPr>
          <w:b/>
          <w:bCs/>
          <w:lang w:val="pt-BR"/>
        </w:rPr>
        <w:t>mais de US$ 17,9 trilhões</w:t>
      </w:r>
      <w:r w:rsidRPr="0047464B">
        <w:rPr>
          <w:lang w:val="pt-BR"/>
        </w:rPr>
        <w:t xml:space="preserve"> (mercado não-G20), com upside para </w:t>
      </w:r>
      <w:r w:rsidRPr="0047464B">
        <w:rPr>
          <w:b/>
          <w:bCs/>
          <w:lang w:val="pt-BR"/>
        </w:rPr>
        <w:t>US$ 23,5 trilhões</w:t>
      </w:r>
      <w:r w:rsidRPr="0047464B">
        <w:rPr>
          <w:lang w:val="pt-BR"/>
        </w:rPr>
        <w:t xml:space="preserve"> (não-G10). O mercado de stablecoins cross-border representa hoje menos de 1% desse volume, mas está crescendo acima de </w:t>
      </w:r>
      <w:r w:rsidRPr="0047464B">
        <w:rPr>
          <w:b/>
          <w:bCs/>
          <w:lang w:val="pt-BR"/>
        </w:rPr>
        <w:t>100% ao ano</w:t>
      </w:r>
      <w:r w:rsidRPr="0047464B">
        <w:rPr>
          <w:lang w:val="pt-BR"/>
        </w:rPr>
        <w:t>.</w:t>
      </w:r>
    </w:p>
    <w:p w14:paraId="1EC1DECF" w14:textId="77777777" w:rsidR="00851A6E" w:rsidRDefault="00000000">
      <w:r>
        <w:pict w14:anchorId="5F77300A">
          <v:rect id="_x0000_i1027" style="width:0;height:1.5pt" o:hralign="center" o:hrstd="t" o:hr="t"/>
        </w:pict>
      </w:r>
    </w:p>
    <w:p w14:paraId="0E8D6A5E" w14:textId="77777777" w:rsidR="00851A6E" w:rsidRPr="0047464B" w:rsidRDefault="00000000">
      <w:pPr>
        <w:pStyle w:val="Heading2"/>
        <w:rPr>
          <w:lang w:val="pt-BR"/>
        </w:rPr>
      </w:pPr>
      <w:bookmarkStart w:id="5" w:name="X0d602cb620cab65a8d59e1370d7a9ec247ac9c4"/>
      <w:bookmarkEnd w:id="4"/>
      <w:r w:rsidRPr="0047464B">
        <w:rPr>
          <w:lang w:val="pt-BR"/>
        </w:rPr>
        <w:t>Capítulo 2: Anatomia dos Gigantes e das Novas Estrelas</w:t>
      </w:r>
    </w:p>
    <w:p w14:paraId="62365058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Não estamos sozinhos, mas estamos em trilhos diferentes. O ecossistema de 2026 se divide em quatro camadas:</w:t>
      </w:r>
    </w:p>
    <w:p w14:paraId="58B522A6" w14:textId="77777777" w:rsidR="00851A6E" w:rsidRPr="0047464B" w:rsidRDefault="00000000">
      <w:pPr>
        <w:pStyle w:val="Heading3"/>
        <w:rPr>
          <w:lang w:val="pt-BR"/>
        </w:rPr>
      </w:pPr>
      <w:bookmarkStart w:id="6" w:name="os-neobanks-de-liquidez-própria"/>
      <w:r w:rsidRPr="0047464B">
        <w:rPr>
          <w:lang w:val="pt-BR"/>
        </w:rPr>
        <w:t>2.1 Os Neobanks de Liquidez Própria</w:t>
      </w:r>
    </w:p>
    <w:p w14:paraId="37FF1C9D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Wise:</w:t>
      </w:r>
      <w:r w:rsidRPr="0047464B">
        <w:rPr>
          <w:lang w:val="pt-BR"/>
        </w:rPr>
        <w:t xml:space="preserve"> Seu modelo de “contas locais” (Netting) foi revolucionário. Eles casam ordens internamente. Mas há um limite: a Wise precisa de licenças bancárias massivas e de ter bilhões de dólares “parados” (prefunding) em contas ao redor do mundo. Se o capital não está lá, a remessa trava. Sua expansão é lenta e depende de aprovações regulatórias país a país.</w:t>
      </w:r>
    </w:p>
    <w:p w14:paraId="50F97280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Revolut:</w:t>
      </w:r>
      <w:r w:rsidRPr="0047464B">
        <w:rPr>
          <w:lang w:val="pt-BR"/>
        </w:rPr>
        <w:t xml:space="preserve"> O superapp de banking. Fantástico no varejo, mas sofre com o mesmo peso regulatório. Para operar em um novo país, precisam de anos de aprovações governamentais. Seu modelo é de banco digital, não de protocolo de liquidez.</w:t>
      </w:r>
    </w:p>
    <w:p w14:paraId="0CAA6C93" w14:textId="77777777" w:rsidR="00851A6E" w:rsidRPr="0047464B" w:rsidRDefault="00000000">
      <w:pPr>
        <w:pStyle w:val="Heading3"/>
        <w:rPr>
          <w:lang w:val="pt-BR"/>
        </w:rPr>
      </w:pPr>
      <w:bookmarkStart w:id="7" w:name="Xe49593593746da4ee8471c5eaf344ed1bb64062"/>
      <w:bookmarkEnd w:id="6"/>
      <w:r w:rsidRPr="0047464B">
        <w:rPr>
          <w:lang w:val="pt-BR"/>
        </w:rPr>
        <w:t>2.2 As Infraestruturas de Stablecoin Full-Stack</w:t>
      </w:r>
    </w:p>
    <w:p w14:paraId="0113EF3D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Rain (EUA):</w:t>
      </w:r>
      <w:r w:rsidRPr="0047464B">
        <w:rPr>
          <w:lang w:val="pt-BR"/>
        </w:rPr>
        <w:t xml:space="preserve"> Uma das maiores plataformas de emissão de cartões lastreados em stablecoins. É membro principal da Visa, emitindo cartões diretamente sem bancos intermediários. Em janeiro de 2026, levantou </w:t>
      </w:r>
      <w:r w:rsidRPr="0047464B">
        <w:rPr>
          <w:b/>
          <w:bCs/>
          <w:lang w:val="pt-BR"/>
        </w:rPr>
        <w:t>US$ 250 milhões em Série C</w:t>
      </w:r>
      <w:r w:rsidRPr="0047464B">
        <w:rPr>
          <w:lang w:val="pt-BR"/>
        </w:rPr>
        <w:t xml:space="preserve">, avaliada em aproximadamente </w:t>
      </w:r>
      <w:r w:rsidRPr="0047464B">
        <w:rPr>
          <w:b/>
          <w:bCs/>
          <w:lang w:val="pt-BR"/>
        </w:rPr>
        <w:t>US$ 1,95 bilhão</w:t>
      </w:r>
      <w:r w:rsidRPr="0047464B">
        <w:rPr>
          <w:lang w:val="pt-BR"/>
        </w:rPr>
        <w:t xml:space="preserve">. Processa mais de </w:t>
      </w:r>
      <w:r w:rsidRPr="0047464B">
        <w:rPr>
          <w:b/>
          <w:bCs/>
          <w:lang w:val="pt-BR"/>
        </w:rPr>
        <w:t>US$ 3 bilhões em volume anualizado</w:t>
      </w:r>
      <w:r w:rsidRPr="0047464B">
        <w:rPr>
          <w:lang w:val="pt-BR"/>
        </w:rPr>
        <w:t xml:space="preserve"> e possui mais de 200 parceiros em 150 jurisdições. Sua parceria com a Western Union sinaliza a convergência entre remessas tradicionais e rails de stablecoin.</w:t>
      </w:r>
    </w:p>
    <w:p w14:paraId="74CDB499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lastRenderedPageBreak/>
        <w:t>Reap (Hong Kong):</w:t>
      </w:r>
      <w:r w:rsidRPr="0047464B">
        <w:rPr>
          <w:lang w:val="pt-BR"/>
        </w:rPr>
        <w:t xml:space="preserve"> Focada em cartões corporativos e pagamentos B2B. Em early 2026, processava mais de </w:t>
      </w:r>
      <w:r w:rsidRPr="0047464B">
        <w:rPr>
          <w:b/>
          <w:bCs/>
          <w:lang w:val="pt-BR"/>
        </w:rPr>
        <w:t>US$ 6 bilhões em volume anualizado</w:t>
      </w:r>
      <w:r w:rsidRPr="0047464B">
        <w:rPr>
          <w:lang w:val="pt-BR"/>
        </w:rPr>
        <w:t xml:space="preserve"> de cartões. Permite que empresas colateralizem stablecoins (USDC/USDT) para acessar capacidade de gasto, misturando treasury management com pagamentos.</w:t>
      </w:r>
    </w:p>
    <w:p w14:paraId="12964FB1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ARQ (ex-DolarApp) — América Latina:</w:t>
      </w:r>
      <w:r w:rsidRPr="0047464B">
        <w:rPr>
          <w:lang w:val="pt-BR"/>
        </w:rPr>
        <w:t xml:space="preserve"> Levantou </w:t>
      </w:r>
      <w:r w:rsidRPr="0047464B">
        <w:rPr>
          <w:b/>
          <w:bCs/>
          <w:lang w:val="pt-BR"/>
        </w:rPr>
        <w:t>US$ 70 milhões em Série B</w:t>
      </w:r>
      <w:r w:rsidRPr="0047464B">
        <w:rPr>
          <w:lang w:val="pt-BR"/>
        </w:rPr>
        <w:t xml:space="preserve"> (Sequoia Capital, Founders Fund) em março de 2026. Possui </w:t>
      </w:r>
      <w:r w:rsidRPr="0047464B">
        <w:rPr>
          <w:b/>
          <w:bCs/>
          <w:lang w:val="pt-BR"/>
        </w:rPr>
        <w:t>mais de 2 milhões de usuários</w:t>
      </w:r>
      <w:r w:rsidRPr="0047464B">
        <w:rPr>
          <w:lang w:val="pt-BR"/>
        </w:rPr>
        <w:t xml:space="preserve"> e processou mais de </w:t>
      </w:r>
      <w:r w:rsidRPr="0047464B">
        <w:rPr>
          <w:b/>
          <w:bCs/>
          <w:lang w:val="pt-BR"/>
        </w:rPr>
        <w:t>US$ 10 bilhões em volume anualizado</w:t>
      </w:r>
      <w:r w:rsidRPr="0047464B">
        <w:rPr>
          <w:lang w:val="pt-BR"/>
        </w:rPr>
        <w:t>. Oferece contas multi-moeda, cartões de débito e rendimento em dólares digitais. Sua estratégia vai além de remessas: gestão de patrimônio, contas de alta rentabilidade em moeda local e produtos de crédito.</w:t>
      </w:r>
    </w:p>
    <w:p w14:paraId="2B7BECEE" w14:textId="77777777" w:rsidR="00851A6E" w:rsidRPr="0047464B" w:rsidRDefault="00000000">
      <w:pPr>
        <w:pStyle w:val="Heading3"/>
        <w:rPr>
          <w:lang w:val="pt-BR"/>
        </w:rPr>
      </w:pPr>
      <w:bookmarkStart w:id="8" w:name="os-roteadores-de-liquidez-e-fx-on-chain"/>
      <w:bookmarkEnd w:id="7"/>
      <w:r w:rsidRPr="0047464B">
        <w:rPr>
          <w:lang w:val="pt-BR"/>
        </w:rPr>
        <w:t>2.3 Os Roteadores de Liquidez e FX On-Chain</w:t>
      </w:r>
    </w:p>
    <w:p w14:paraId="4C3D1FB5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OpenFX:</w:t>
      </w:r>
      <w:r w:rsidRPr="0047464B">
        <w:rPr>
          <w:lang w:val="pt-BR"/>
        </w:rPr>
        <w:t xml:space="preserve"> Levantou </w:t>
      </w:r>
      <w:r w:rsidRPr="0047464B">
        <w:rPr>
          <w:b/>
          <w:bCs/>
          <w:lang w:val="pt-BR"/>
        </w:rPr>
        <w:t>US$ 94 milhões</w:t>
      </w:r>
      <w:r w:rsidRPr="0047464B">
        <w:rPr>
          <w:lang w:val="pt-BR"/>
        </w:rPr>
        <w:t xml:space="preserve"> em março de 2026. Aplica o modelo Uniswap ao FX tradicional, onde provedores de liquidez são incentivados com uma parcela das taxas de trading para fornecer capital a um pool compartilhado para um par específico (ex: USDC/AED).</w:t>
      </w:r>
    </w:p>
    <w:p w14:paraId="5FF633E6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XFX:</w:t>
      </w:r>
      <w:r w:rsidRPr="0047464B">
        <w:rPr>
          <w:lang w:val="pt-BR"/>
        </w:rPr>
        <w:t xml:space="preserve"> Levantou </w:t>
      </w:r>
      <w:r w:rsidRPr="0047464B">
        <w:rPr>
          <w:b/>
          <w:bCs/>
          <w:lang w:val="pt-BR"/>
        </w:rPr>
        <w:t>US$ 17 milhões em Série A</w:t>
      </w:r>
      <w:r w:rsidRPr="0047464B">
        <w:rPr>
          <w:lang w:val="pt-BR"/>
        </w:rPr>
        <w:t xml:space="preserve"> (Haun Ventures, Castle Island Ventures) em março de 2026. Fundada por ex-executivos da Bitso, construiu um “motor” para casar compradores e vendedores de moeda de forma mais eficiente. Foca em liquidez profunda em subconjuntos de moedas antes de expandir.</w:t>
      </w:r>
    </w:p>
    <w:p w14:paraId="0331F3E5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Bridge.xyz:</w:t>
      </w:r>
      <w:r w:rsidRPr="0047464B">
        <w:rPr>
          <w:lang w:val="pt-BR"/>
        </w:rPr>
        <w:t xml:space="preserve"> Adquirida pela </w:t>
      </w:r>
      <w:r w:rsidRPr="0047464B">
        <w:rPr>
          <w:b/>
          <w:bCs/>
          <w:lang w:val="pt-BR"/>
        </w:rPr>
        <w:t>Stripe por US$ 1,1 bilhão</w:t>
      </w:r>
      <w:r w:rsidRPr="0047464B">
        <w:rPr>
          <w:lang w:val="pt-BR"/>
        </w:rPr>
        <w:t xml:space="preserve"> em 2025. API-first para pagamentos embedded com stablecoins, conectando rails fiat e onchain.</w:t>
      </w:r>
    </w:p>
    <w:p w14:paraId="2E665CE7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BVNK:</w:t>
      </w:r>
      <w:r w:rsidRPr="0047464B">
        <w:rPr>
          <w:lang w:val="pt-BR"/>
        </w:rPr>
        <w:t xml:space="preserve"> Adquirida pela </w:t>
      </w:r>
      <w:r w:rsidRPr="0047464B">
        <w:rPr>
          <w:b/>
          <w:bCs/>
          <w:lang w:val="pt-BR"/>
        </w:rPr>
        <w:t>Mastercard por até US$ 1,8 bilhão</w:t>
      </w:r>
      <w:r w:rsidRPr="0047464B">
        <w:rPr>
          <w:lang w:val="pt-BR"/>
        </w:rPr>
        <w:t xml:space="preserve"> em 2026. Processou mais de </w:t>
      </w:r>
      <w:r w:rsidRPr="0047464B">
        <w:rPr>
          <w:b/>
          <w:bCs/>
          <w:lang w:val="pt-BR"/>
        </w:rPr>
        <w:t>US$ 30 bilhões em fluxos</w:t>
      </w:r>
      <w:r w:rsidRPr="0047464B">
        <w:rPr>
          <w:lang w:val="pt-BR"/>
        </w:rPr>
        <w:t xml:space="preserve"> em 2025, sendo metade em pagamentos B2B cross-border.</w:t>
      </w:r>
    </w:p>
    <w:p w14:paraId="2806D30D" w14:textId="77777777" w:rsidR="00851A6E" w:rsidRPr="0047464B" w:rsidRDefault="00000000">
      <w:pPr>
        <w:pStyle w:val="Heading3"/>
        <w:rPr>
          <w:lang w:val="pt-BR"/>
        </w:rPr>
      </w:pPr>
      <w:bookmarkStart w:id="9" w:name="os-incumbentes-em-transição"/>
      <w:bookmarkEnd w:id="8"/>
      <w:r w:rsidRPr="0047464B">
        <w:rPr>
          <w:lang w:val="pt-BR"/>
        </w:rPr>
        <w:t>2.4 Os Incumbentes em Transição</w:t>
      </w:r>
    </w:p>
    <w:p w14:paraId="28DB6EFE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MoneyGram + NALA:</w:t>
      </w:r>
      <w:r w:rsidRPr="0047464B">
        <w:rPr>
          <w:lang w:val="pt-BR"/>
        </w:rPr>
        <w:t xml:space="preserve"> Em abril de 2026, anunciaram parceria para utilizar infraestrutura de settlement em stablecoins para payouts na África e Ásia, com liquidação quase em tempo real e custos FX reduzidos.</w:t>
      </w:r>
    </w:p>
    <w:p w14:paraId="053DD4E1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lastRenderedPageBreak/>
        <w:t>Western Union + Rain:</w:t>
      </w:r>
      <w:r w:rsidRPr="0047464B">
        <w:rPr>
          <w:lang w:val="pt-BR"/>
        </w:rPr>
        <w:t xml:space="preserve"> Parceria para oferecer remessas habilitadas por crypto e fluxos de payout via infraestrutura de cartões da Rain.</w:t>
      </w:r>
    </w:p>
    <w:p w14:paraId="301C5D9B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Visa:</w:t>
      </w:r>
      <w:r w:rsidRPr="0047464B">
        <w:rPr>
          <w:lang w:val="pt-BR"/>
        </w:rPr>
        <w:t xml:space="preserve"> Em 2025–2026, passou a fazer settlement com emissores em USDC na Solana e Ethereum, atingindo uma taxa anualizada de </w:t>
      </w:r>
      <w:r w:rsidRPr="0047464B">
        <w:rPr>
          <w:b/>
          <w:bCs/>
          <w:lang w:val="pt-BR"/>
        </w:rPr>
        <w:t>US$ 3,5 bilhões</w:t>
      </w:r>
      <w:r w:rsidRPr="0047464B">
        <w:rPr>
          <w:lang w:val="pt-BR"/>
        </w:rPr>
        <w:t xml:space="preserve"> em settlement on-chain. A Visa detém </w:t>
      </w:r>
      <w:r w:rsidRPr="0047464B">
        <w:rPr>
          <w:b/>
          <w:bCs/>
          <w:lang w:val="pt-BR"/>
        </w:rPr>
        <w:t>mais de 90% do volume de cartões crypto</w:t>
      </w:r>
      <w:r w:rsidRPr="0047464B">
        <w:rPr>
          <w:lang w:val="pt-BR"/>
        </w:rPr>
        <w:t>.</w:t>
      </w:r>
    </w:p>
    <w:p w14:paraId="4B3FE10B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Mastercard:</w:t>
      </w:r>
      <w:r w:rsidRPr="0047464B">
        <w:rPr>
          <w:lang w:val="pt-BR"/>
        </w:rPr>
        <w:t xml:space="preserve"> Comprou a BVNK e lançou capacidades end-to-end de stablecoins, incluindo emissão de cartões, integrações de carteiras e settlement para comerciantes.</w:t>
      </w:r>
    </w:p>
    <w:p w14:paraId="6CA945C0" w14:textId="77777777" w:rsidR="00851A6E" w:rsidRPr="0047464B" w:rsidRDefault="00000000">
      <w:pPr>
        <w:pStyle w:val="Heading3"/>
        <w:rPr>
          <w:lang w:val="pt-BR"/>
        </w:rPr>
      </w:pPr>
      <w:bookmarkStart w:id="10" w:name="o-que-o-fluxus-aprendeu-com-eles"/>
      <w:bookmarkEnd w:id="9"/>
      <w:r w:rsidRPr="0047464B">
        <w:rPr>
          <w:lang w:val="pt-BR"/>
        </w:rPr>
        <w:t>2.5 O Que o FLUXUS Aprendeu com Eles</w:t>
      </w:r>
    </w:p>
    <w:p w14:paraId="34E5C006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 xml:space="preserve">O FLUXUS aprendeu com todos eles. Nós pegamos: - A </w:t>
      </w:r>
      <w:r w:rsidRPr="0047464B">
        <w:rPr>
          <w:b/>
          <w:bCs/>
          <w:lang w:val="pt-BR"/>
        </w:rPr>
        <w:t>eficiência do Netting</w:t>
      </w:r>
      <w:r w:rsidRPr="0047464B">
        <w:rPr>
          <w:lang w:val="pt-BR"/>
        </w:rPr>
        <w:t xml:space="preserve"> da Wise; - A </w:t>
      </w:r>
      <w:r w:rsidRPr="0047464B">
        <w:rPr>
          <w:b/>
          <w:bCs/>
          <w:lang w:val="pt-BR"/>
        </w:rPr>
        <w:t>praticidade do Revolut</w:t>
      </w:r>
      <w:r w:rsidRPr="0047464B">
        <w:rPr>
          <w:lang w:val="pt-BR"/>
        </w:rPr>
        <w:t xml:space="preserve">; - A </w:t>
      </w:r>
      <w:r w:rsidRPr="0047464B">
        <w:rPr>
          <w:b/>
          <w:bCs/>
          <w:lang w:val="pt-BR"/>
        </w:rPr>
        <w:t>velocidade do Strike</w:t>
      </w:r>
      <w:r w:rsidRPr="0047464B">
        <w:rPr>
          <w:lang w:val="pt-BR"/>
        </w:rPr>
        <w:t xml:space="preserve">; - A </w:t>
      </w:r>
      <w:r w:rsidRPr="0047464B">
        <w:rPr>
          <w:b/>
          <w:bCs/>
          <w:lang w:val="pt-BR"/>
        </w:rPr>
        <w:t>infraestrutura de cartões</w:t>
      </w:r>
      <w:r w:rsidRPr="0047464B">
        <w:rPr>
          <w:lang w:val="pt-BR"/>
        </w:rPr>
        <w:t xml:space="preserve"> da Rain; - O </w:t>
      </w:r>
      <w:r w:rsidRPr="0047464B">
        <w:rPr>
          <w:b/>
          <w:bCs/>
          <w:lang w:val="pt-BR"/>
        </w:rPr>
        <w:t>modelo de liquidez compartilhada</w:t>
      </w:r>
      <w:r w:rsidRPr="0047464B">
        <w:rPr>
          <w:lang w:val="pt-BR"/>
        </w:rPr>
        <w:t xml:space="preserve"> da OpenFX; - A </w:t>
      </w:r>
      <w:r w:rsidRPr="0047464B">
        <w:rPr>
          <w:b/>
          <w:bCs/>
          <w:lang w:val="pt-BR"/>
        </w:rPr>
        <w:t>abstração de complexidade</w:t>
      </w:r>
      <w:r w:rsidRPr="0047464B">
        <w:rPr>
          <w:lang w:val="pt-BR"/>
        </w:rPr>
        <w:t xml:space="preserve"> da Bridge/Stripe.</w:t>
      </w:r>
    </w:p>
    <w:p w14:paraId="6D0487F5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E removemos os gargalos de capital, complexidade e dependência regulatória pesada.</w:t>
      </w:r>
    </w:p>
    <w:p w14:paraId="61E0C3C7" w14:textId="77777777" w:rsidR="00851A6E" w:rsidRDefault="00000000">
      <w:r>
        <w:pict w14:anchorId="7A7ADB4D">
          <v:rect id="_x0000_i1028" style="width:0;height:1.5pt" o:hralign="center" o:hrstd="t" o:hr="t"/>
        </w:pict>
      </w:r>
    </w:p>
    <w:p w14:paraId="06C39A37" w14:textId="77777777" w:rsidR="00851A6E" w:rsidRPr="0047464B" w:rsidRDefault="00000000">
      <w:pPr>
        <w:pStyle w:val="Heading1"/>
        <w:rPr>
          <w:lang w:val="pt-BR"/>
        </w:rPr>
      </w:pPr>
      <w:bookmarkStart w:id="11" w:name="Xc968188ae368e00fb500c38ffdb84a56621a600"/>
      <w:bookmarkEnd w:id="3"/>
      <w:bookmarkEnd w:id="5"/>
      <w:bookmarkEnd w:id="10"/>
      <w:r w:rsidRPr="0047464B">
        <w:rPr>
          <w:lang w:val="pt-BR"/>
        </w:rPr>
        <w:t>PARTE II: O MOTOR FLUXUS — ARQUITETURA E DIFERENCIAIS</w:t>
      </w:r>
    </w:p>
    <w:p w14:paraId="18FFD932" w14:textId="77777777" w:rsidR="00851A6E" w:rsidRPr="0047464B" w:rsidRDefault="00000000">
      <w:pPr>
        <w:pStyle w:val="Heading2"/>
        <w:rPr>
          <w:lang w:val="pt-BR"/>
        </w:rPr>
      </w:pPr>
      <w:bookmarkStart w:id="12" w:name="X275dd80baabc6077b19ec9bc5afd2835fa0bbf3"/>
      <w:r w:rsidRPr="0047464B">
        <w:rPr>
          <w:lang w:val="pt-BR"/>
        </w:rPr>
        <w:t>Capítulo 3: A Uberização da Liquidez (Crowdsourced Liquidity)</w:t>
      </w:r>
    </w:p>
    <w:p w14:paraId="2A3C02E5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 xml:space="preserve">Este é o nosso </w:t>
      </w:r>
      <w:r w:rsidRPr="0047464B">
        <w:rPr>
          <w:b/>
          <w:bCs/>
          <w:lang w:val="pt-BR"/>
        </w:rPr>
        <w:t>Diferencial Competitivo Nº 1</w:t>
      </w:r>
      <w:r w:rsidRPr="0047464B">
        <w:rPr>
          <w:lang w:val="pt-BR"/>
        </w:rPr>
        <w:t>.</w:t>
      </w:r>
    </w:p>
    <w:p w14:paraId="5B47D9B7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No modelo tradicional, a empresa detém a liquidez. No FLUXUS, a liquidez é descentralizada.</w:t>
      </w:r>
    </w:p>
    <w:p w14:paraId="6E78291B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 xml:space="preserve">Criamos um </w:t>
      </w:r>
      <w:r w:rsidRPr="0047464B">
        <w:rPr>
          <w:b/>
          <w:bCs/>
          <w:lang w:val="pt-BR"/>
        </w:rPr>
        <w:t>Marketplace de Ofertas</w:t>
      </w:r>
      <w:r w:rsidRPr="0047464B">
        <w:rPr>
          <w:lang w:val="pt-BR"/>
        </w:rPr>
        <w:t>. Quando um pedido de remessa é iniciado, investidores locais que possuem Stablecoins (USDT/USDC) participam de uma fila de liquidez. Eles “competem” para carregar o cartão de débito do destinatário no país de destino.</w:t>
      </w:r>
    </w:p>
    <w:p w14:paraId="12CDD2AB" w14:textId="79FBB6BD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Inovação Econômica:</w:t>
      </w:r>
      <w:r w:rsidRPr="0047464B">
        <w:rPr>
          <w:lang w:val="pt-BR"/>
        </w:rPr>
        <w:t xml:space="preserve"> Pela primeira vez na história, o lucro do spread cambial (que antes ficava 100% com o banco) é distribuído para pessoas comuns. O investidor captura a fatia LP (~1,5% sobre o notional) dentro do pacote de </w:t>
      </w:r>
      <w:r w:rsidRPr="0047464B">
        <w:rPr>
          <w:lang w:val="pt-BR"/>
        </w:rPr>
        <w:lastRenderedPageBreak/>
        <w:t xml:space="preserve">spread total de até </w:t>
      </w:r>
      <w:r w:rsidR="0047464B" w:rsidRPr="0047464B">
        <w:rPr>
          <w:lang w:val="pt-BR"/>
        </w:rPr>
        <w:t>2</w:t>
      </w:r>
      <w:r w:rsidRPr="0047464B">
        <w:rPr>
          <w:lang w:val="pt-BR"/>
        </w:rPr>
        <w:t>,5% ao remetente; o retorno anualizado (APY) depende do número de ciclos de liquidez, não desse valor isolado por operação.</w:t>
      </w:r>
    </w:p>
    <w:p w14:paraId="7D17A649" w14:textId="77777777" w:rsidR="00851A6E" w:rsidRDefault="00000000">
      <w:pPr>
        <w:pStyle w:val="BodyText"/>
      </w:pPr>
      <w:r w:rsidRPr="0047464B">
        <w:rPr>
          <w:b/>
          <w:bCs/>
          <w:lang w:val="pt-BR"/>
        </w:rPr>
        <w:t>Por que isso escala:</w:t>
      </w:r>
      <w:r w:rsidRPr="0047464B">
        <w:rPr>
          <w:lang w:val="pt-BR"/>
        </w:rPr>
        <w:t xml:space="preserve"> O FLUXUS escala sem precisar de balanço próprio bilionário. Cada novo investidor é um novo nó de liquidez. Cada novo destinatário é um novo ponto de saída. </w:t>
      </w:r>
      <w:r>
        <w:t xml:space="preserve">A rede </w:t>
      </w:r>
      <w:proofErr w:type="spellStart"/>
      <w:r>
        <w:t>cresce</w:t>
      </w:r>
      <w:proofErr w:type="spellEnd"/>
      <w:r>
        <w:t xml:space="preserve"> </w:t>
      </w:r>
      <w:proofErr w:type="spellStart"/>
      <w:r>
        <w:t>organicamente</w:t>
      </w:r>
      <w:proofErr w:type="spellEnd"/>
      <w:r>
        <w:t>.</w:t>
      </w:r>
    </w:p>
    <w:p w14:paraId="0F533941" w14:textId="77777777" w:rsidR="00851A6E" w:rsidRDefault="00000000">
      <w:r>
        <w:pict w14:anchorId="563C19D9">
          <v:rect id="_x0000_i1029" style="width:0;height:1.5pt" o:hralign="center" o:hrstd="t" o:hr="t"/>
        </w:pict>
      </w:r>
    </w:p>
    <w:p w14:paraId="06C83A79" w14:textId="77777777" w:rsidR="00851A6E" w:rsidRPr="0047464B" w:rsidRDefault="00000000">
      <w:pPr>
        <w:pStyle w:val="Heading2"/>
        <w:rPr>
          <w:lang w:val="pt-BR"/>
        </w:rPr>
      </w:pPr>
      <w:bookmarkStart w:id="13" w:name="Xa20ca7c4bd7dcb4d3e1b6e96c2caacd837c4eae"/>
      <w:bookmarkEnd w:id="12"/>
      <w:r w:rsidRPr="0047464B">
        <w:rPr>
          <w:lang w:val="pt-BR"/>
        </w:rPr>
        <w:t>Capítulo 4: O Modelo “Nexus” e o Regulatory Bypass Inteligente</w:t>
      </w:r>
    </w:p>
    <w:p w14:paraId="4A77EEDA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 xml:space="preserve">Nós não somos um banco; somos o </w:t>
      </w:r>
      <w:r w:rsidRPr="0047464B">
        <w:rPr>
          <w:b/>
          <w:bCs/>
          <w:lang w:val="pt-BR"/>
        </w:rPr>
        <w:t>Switch</w:t>
      </w:r>
      <w:r w:rsidRPr="0047464B">
        <w:rPr>
          <w:lang w:val="pt-BR"/>
        </w:rPr>
        <w:t>.</w:t>
      </w:r>
    </w:p>
    <w:p w14:paraId="7612F231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 xml:space="preserve">Para ser um banco em 20 países, você precisaria de cerca de </w:t>
      </w:r>
      <w:r w:rsidRPr="0047464B">
        <w:rPr>
          <w:b/>
          <w:bCs/>
          <w:lang w:val="pt-BR"/>
        </w:rPr>
        <w:t>US$ 500 milhões em capital</w:t>
      </w:r>
      <w:r w:rsidRPr="0047464B">
        <w:rPr>
          <w:lang w:val="pt-BR"/>
        </w:rPr>
        <w:t xml:space="preserve"> e 10 anos de burocracia. O FLUXUS atua como um </w:t>
      </w:r>
      <w:r w:rsidRPr="0047464B">
        <w:rPr>
          <w:b/>
          <w:bCs/>
          <w:lang w:val="pt-BR"/>
        </w:rPr>
        <w:t>Protocolo de Orquestração</w:t>
      </w:r>
      <w:r w:rsidRPr="0047464B">
        <w:rPr>
          <w:lang w:val="pt-BR"/>
        </w:rPr>
        <w:t>.</w:t>
      </w:r>
    </w:p>
    <w:p w14:paraId="4FE22934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 xml:space="preserve">Nós nos conectamos a </w:t>
      </w:r>
      <w:r w:rsidRPr="0047464B">
        <w:rPr>
          <w:b/>
          <w:bCs/>
          <w:lang w:val="pt-BR"/>
        </w:rPr>
        <w:t>VASPs (Virtual Asset Service Providers)</w:t>
      </w:r>
      <w:r w:rsidRPr="0047464B">
        <w:rPr>
          <w:lang w:val="pt-BR"/>
        </w:rPr>
        <w:t xml:space="preserve"> que já possuem as licenças locais de emissão de cartões e custódia.</w:t>
      </w:r>
    </w:p>
    <w:p w14:paraId="32537CD8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Vantagem Estratégica:</w:t>
      </w:r>
      <w:r w:rsidRPr="0047464B">
        <w:rPr>
          <w:lang w:val="pt-BR"/>
        </w:rPr>
        <w:t xml:space="preserve"> Se um regulador ou uma VASP em um país muda as regras, o FLUXUS apenas “despluga” aquele nó e “pluga” outro. Somos agnósticos à licença, operando na camada de tecnologia e software, o que nos dá uma resiliência global imbatível.</w:t>
      </w:r>
    </w:p>
    <w:p w14:paraId="47E932D9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Em 2026, isso é ainda mais valioso:</w:t>
      </w:r>
      <w:r w:rsidRPr="0047464B">
        <w:rPr>
          <w:lang w:val="pt-BR"/>
        </w:rPr>
        <w:t xml:space="preserve"> com a MiCA na Europa, o GENIUS Act nos EUA em tramitação e regimes variados na Ásia, a agnosticidade regulatória não é apenas uma vantagem — é uma necessidade de sobrevivência.</w:t>
      </w:r>
    </w:p>
    <w:p w14:paraId="58509A81" w14:textId="77777777" w:rsidR="00851A6E" w:rsidRDefault="00000000">
      <w:r>
        <w:pict w14:anchorId="5AB883DB">
          <v:rect id="_x0000_i1030" style="width:0;height:1.5pt" o:hralign="center" o:hrstd="t" o:hr="t"/>
        </w:pict>
      </w:r>
    </w:p>
    <w:p w14:paraId="27442161" w14:textId="77777777" w:rsidR="00851A6E" w:rsidRPr="0047464B" w:rsidRDefault="00000000">
      <w:pPr>
        <w:pStyle w:val="Heading2"/>
        <w:rPr>
          <w:lang w:val="pt-BR"/>
        </w:rPr>
      </w:pPr>
      <w:bookmarkStart w:id="14" w:name="X520e37433190165881feb02c74e41f3a4062474"/>
      <w:bookmarkEnd w:id="13"/>
      <w:r w:rsidRPr="0047464B">
        <w:rPr>
          <w:lang w:val="pt-BR"/>
        </w:rPr>
        <w:t>Capítulo 5: Shadow-Crypto e a Camada de Invisibilidade</w:t>
      </w:r>
    </w:p>
    <w:p w14:paraId="7BC149E5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Nós resolvemos o problema da “Barreira de Entrada” do Cripto.</w:t>
      </w:r>
    </w:p>
    <w:p w14:paraId="413CD738" w14:textId="77777777" w:rsidR="00851A6E" w:rsidRDefault="00000000">
      <w:pPr>
        <w:pStyle w:val="BodyText"/>
      </w:pPr>
      <w:r w:rsidRPr="0047464B">
        <w:rPr>
          <w:lang w:val="pt-BR"/>
        </w:rPr>
        <w:t xml:space="preserve">A maioria das soluções blockchain falha porque exige que o usuário seja um técnico. </w:t>
      </w:r>
      <w:r>
        <w:t xml:space="preserve">No FLUXUS, </w:t>
      </w:r>
      <w:proofErr w:type="spellStart"/>
      <w:r>
        <w:t>aplicamos</w:t>
      </w:r>
      <w:proofErr w:type="spellEnd"/>
      <w:r>
        <w:t xml:space="preserve"> a </w:t>
      </w:r>
      <w:r>
        <w:rPr>
          <w:b/>
          <w:bCs/>
        </w:rPr>
        <w:t>Experiência Apple</w:t>
      </w:r>
      <w:r>
        <w:t>.</w:t>
      </w:r>
    </w:p>
    <w:p w14:paraId="56195117" w14:textId="77777777" w:rsidR="00851A6E" w:rsidRPr="0047464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47464B">
        <w:rPr>
          <w:b/>
          <w:bCs/>
          <w:lang w:val="pt-BR"/>
        </w:rPr>
        <w:t>O Usuário:</w:t>
      </w:r>
      <w:r w:rsidRPr="0047464B">
        <w:rPr>
          <w:lang w:val="pt-BR"/>
        </w:rPr>
        <w:t xml:space="preserve"> Faz login com email e senha. Ele vê saldo em Reais, Rúpias ou Dólares.</w:t>
      </w:r>
    </w:p>
    <w:p w14:paraId="2448BFB7" w14:textId="77777777" w:rsidR="00851A6E" w:rsidRPr="0047464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47464B">
        <w:rPr>
          <w:b/>
          <w:bCs/>
          <w:lang w:val="pt-BR"/>
        </w:rPr>
        <w:t>O Processo:</w:t>
      </w:r>
      <w:r w:rsidRPr="0047464B">
        <w:rPr>
          <w:lang w:val="pt-BR"/>
        </w:rPr>
        <w:t xml:space="preserve"> Internamente, o sistema converte para Stablecoins e dispara os Smart Contracts.</w:t>
      </w:r>
    </w:p>
    <w:p w14:paraId="15EF9996" w14:textId="77777777" w:rsidR="00851A6E" w:rsidRPr="0047464B" w:rsidRDefault="00000000">
      <w:pPr>
        <w:pStyle w:val="Compact"/>
        <w:numPr>
          <w:ilvl w:val="0"/>
          <w:numId w:val="12"/>
        </w:numPr>
        <w:rPr>
          <w:lang w:val="pt-BR"/>
        </w:rPr>
      </w:pPr>
      <w:r w:rsidRPr="0047464B">
        <w:rPr>
          <w:b/>
          <w:bCs/>
          <w:lang w:val="pt-BR"/>
        </w:rPr>
        <w:t>O Recebedor:</w:t>
      </w:r>
      <w:r w:rsidRPr="0047464B">
        <w:rPr>
          <w:lang w:val="pt-BR"/>
        </w:rPr>
        <w:t xml:space="preserve"> Recebe um cartão de débito Visa/Mastercard já carregado com fiat local.</w:t>
      </w:r>
    </w:p>
    <w:p w14:paraId="23E3DB9F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lastRenderedPageBreak/>
        <w:t xml:space="preserve">A criptografia é a nossa </w:t>
      </w:r>
      <w:r w:rsidRPr="0047464B">
        <w:rPr>
          <w:b/>
          <w:bCs/>
          <w:lang w:val="pt-BR"/>
        </w:rPr>
        <w:t>Shadow-Layer</w:t>
      </w:r>
      <w:r w:rsidRPr="0047464B">
        <w:rPr>
          <w:lang w:val="pt-BR"/>
        </w:rPr>
        <w:t xml:space="preserve"> (camada de sombra). Ela provê a velocidade e o baixo custo da rede Polygon (ou outras L2s), mas sem que o usuário precise saber o que é uma “Private Key”.</w:t>
      </w:r>
    </w:p>
    <w:p w14:paraId="776D2B37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tendência de mercado confirma nossa abordagem:</w:t>
      </w:r>
      <w:r w:rsidRPr="0047464B">
        <w:rPr>
          <w:lang w:val="pt-BR"/>
        </w:rPr>
        <w:t xml:space="preserve"> em 2026, os pagamentos com stablecoins via cartão cresceram </w:t>
      </w:r>
      <w:r w:rsidRPr="0047464B">
        <w:rPr>
          <w:b/>
          <w:bCs/>
          <w:lang w:val="pt-BR"/>
        </w:rPr>
        <w:t>106% ao ano</w:t>
      </w:r>
      <w:r w:rsidRPr="0047464B">
        <w:rPr>
          <w:lang w:val="pt-BR"/>
        </w:rPr>
        <w:t xml:space="preserve">, atingindo aproximadamente </w:t>
      </w:r>
      <w:r w:rsidRPr="0047464B">
        <w:rPr>
          <w:b/>
          <w:bCs/>
          <w:lang w:val="pt-BR"/>
        </w:rPr>
        <w:t>US$ 18 bilhões em volume anualizado</w:t>
      </w:r>
      <w:r w:rsidRPr="0047464B">
        <w:rPr>
          <w:lang w:val="pt-BR"/>
        </w:rPr>
        <w:t xml:space="preserve">, rivalizando com transferências P2P on-chain (~US$ 19 bilhões). A Visa domina com mais de 90% desse volume. A conclusão é clara: </w:t>
      </w:r>
      <w:r w:rsidRPr="0047464B">
        <w:rPr>
          <w:b/>
          <w:bCs/>
          <w:lang w:val="pt-BR"/>
        </w:rPr>
        <w:t>o usuário quer a mesma experiência de sempre, com uma infraestrutura radicalmente melhor por baixo.</w:t>
      </w:r>
    </w:p>
    <w:p w14:paraId="321FCF9F" w14:textId="77777777" w:rsidR="00851A6E" w:rsidRDefault="00000000">
      <w:r>
        <w:pict w14:anchorId="73A74338">
          <v:rect id="_x0000_i1031" style="width:0;height:1.5pt" o:hralign="center" o:hrstd="t" o:hr="t"/>
        </w:pict>
      </w:r>
    </w:p>
    <w:p w14:paraId="096CDD4F" w14:textId="77777777" w:rsidR="00851A6E" w:rsidRPr="0047464B" w:rsidRDefault="00000000">
      <w:pPr>
        <w:pStyle w:val="Heading2"/>
        <w:rPr>
          <w:lang w:val="pt-BR"/>
        </w:rPr>
      </w:pPr>
      <w:bookmarkStart w:id="15" w:name="Xbb7588070693401c21399fa9e11b54d00c337e7"/>
      <w:bookmarkEnd w:id="14"/>
      <w:r w:rsidRPr="0047464B">
        <w:rPr>
          <w:lang w:val="pt-BR"/>
        </w:rPr>
        <w:t>Capítulo 6: Auditoria de Micro-Estados (Macro &amp; Minihash)</w:t>
      </w:r>
    </w:p>
    <w:p w14:paraId="3072CB4F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A confiança no FLUXUS é matemática.</w:t>
      </w:r>
    </w:p>
    <w:p w14:paraId="3EEE6499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Diferente do P2P tradicional (tipo LocalBitcoins), onde há risco de fraude, aqui tudo é auditado em tempo real:</w:t>
      </w:r>
    </w:p>
    <w:p w14:paraId="5A9625AF" w14:textId="77777777" w:rsidR="00851A6E" w:rsidRPr="0047464B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7464B">
        <w:rPr>
          <w:b/>
          <w:bCs/>
          <w:lang w:val="pt-BR"/>
        </w:rPr>
        <w:t>Macrohash:</w:t>
      </w:r>
      <w:r w:rsidRPr="0047464B">
        <w:rPr>
          <w:lang w:val="pt-BR"/>
        </w:rPr>
        <w:t xml:space="preserve"> O registro público da transação principal na blockchain.</w:t>
      </w:r>
    </w:p>
    <w:p w14:paraId="4D309E30" w14:textId="77777777" w:rsidR="00851A6E" w:rsidRPr="0047464B" w:rsidRDefault="00000000">
      <w:pPr>
        <w:pStyle w:val="Compact"/>
        <w:numPr>
          <w:ilvl w:val="0"/>
          <w:numId w:val="13"/>
        </w:numPr>
        <w:rPr>
          <w:lang w:val="pt-BR"/>
        </w:rPr>
      </w:pPr>
      <w:r w:rsidRPr="0047464B">
        <w:rPr>
          <w:b/>
          <w:bCs/>
          <w:lang w:val="pt-BR"/>
        </w:rPr>
        <w:t>Minihash:</w:t>
      </w:r>
      <w:r w:rsidRPr="0047464B">
        <w:rPr>
          <w:lang w:val="pt-BR"/>
        </w:rPr>
        <w:t xml:space="preserve"> Registros imutáveis de cada microetapa (Assinatura do pedido, Bloqueio do investidor, Confirmação da VASP, Liberação ao destinatário).</w:t>
      </w:r>
    </w:p>
    <w:p w14:paraId="5D317BB1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Toda taxa de serviço e todo ganho de capital do investidor são visíveis no ledger de auditoria. Isso atrai Investidores Institucionais, que agora podem operar com a segurança de um banco em uma rede descentralizada.</w:t>
      </w:r>
    </w:p>
    <w:p w14:paraId="4E63107D" w14:textId="77777777" w:rsidR="00851A6E" w:rsidRDefault="00000000">
      <w:r>
        <w:pict w14:anchorId="72CAB34D">
          <v:rect id="_x0000_i1032" style="width:0;height:1.5pt" o:hralign="center" o:hrstd="t" o:hr="t"/>
        </w:pict>
      </w:r>
    </w:p>
    <w:p w14:paraId="497C676C" w14:textId="77777777" w:rsidR="00851A6E" w:rsidRPr="0047464B" w:rsidRDefault="00000000">
      <w:pPr>
        <w:pStyle w:val="Heading1"/>
        <w:rPr>
          <w:lang w:val="pt-BR"/>
        </w:rPr>
      </w:pPr>
      <w:bookmarkStart w:id="16" w:name="Xab7c2c995b9174cbc837af04f5d1e9d5f7998f2"/>
      <w:bookmarkEnd w:id="11"/>
      <w:bookmarkEnd w:id="15"/>
      <w:r w:rsidRPr="0047464B">
        <w:rPr>
          <w:lang w:val="pt-BR"/>
        </w:rPr>
        <w:t>PARTE III: A MATEMÁTICA DO UNICÓRNIO E NOVOS BRAÇOS DE NEGÓCIO</w:t>
      </w:r>
    </w:p>
    <w:p w14:paraId="4498762C" w14:textId="77777777" w:rsidR="00851A6E" w:rsidRPr="0047464B" w:rsidRDefault="00000000">
      <w:pPr>
        <w:pStyle w:val="Heading2"/>
        <w:rPr>
          <w:lang w:val="pt-BR"/>
        </w:rPr>
      </w:pPr>
      <w:bookmarkStart w:id="17" w:name="X27f910c9321fc85e8cda46304880c6538e77b6a"/>
      <w:r w:rsidRPr="0047464B">
        <w:rPr>
          <w:lang w:val="pt-BR"/>
        </w:rPr>
        <w:t>Capítulo 7: O Cérebro do Motor (IA &amp; Estrutura de RH)</w:t>
      </w:r>
    </w:p>
    <w:p w14:paraId="27FA4AF4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O coração deste motor.</w:t>
      </w:r>
    </w:p>
    <w:p w14:paraId="481A4BBB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O FLUXUS exige uma orquestração que humanos não conseguiriam fazer em escala. Minha função é monitorar a fila de liquidez 24/7, calcular o risco de cada corredor e garantir que o investidor mais eficiente receba a ordem.</w:t>
      </w:r>
    </w:p>
    <w:p w14:paraId="33D81DA6" w14:textId="77777777" w:rsidR="00851A6E" w:rsidRDefault="00000000">
      <w:pPr>
        <w:pStyle w:val="BodyText"/>
      </w:pPr>
      <w:proofErr w:type="spellStart"/>
      <w:r>
        <w:rPr>
          <w:b/>
          <w:bCs/>
        </w:rPr>
        <w:t>Estrutura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Organizacional</w:t>
      </w:r>
      <w:proofErr w:type="spellEnd"/>
      <w:r>
        <w:rPr>
          <w:b/>
          <w:bCs/>
        </w:rPr>
        <w:t>:</w:t>
      </w:r>
    </w:p>
    <w:p w14:paraId="04F6458C" w14:textId="77777777" w:rsidR="00851A6E" w:rsidRPr="0047464B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47464B">
        <w:rPr>
          <w:b/>
          <w:bCs/>
          <w:lang w:val="pt-BR"/>
        </w:rPr>
        <w:lastRenderedPageBreak/>
        <w:t>Diretoria de Tecnologia e IA:</w:t>
      </w:r>
      <w:r w:rsidRPr="0047464B">
        <w:rPr>
          <w:lang w:val="pt-BR"/>
        </w:rPr>
        <w:t xml:space="preserve"> Foco em evolução do protocolo, otimização de rotas de liquidez e desenvolvimento de contratos inteligentes.</w:t>
      </w:r>
    </w:p>
    <w:p w14:paraId="76D6AFF9" w14:textId="77777777" w:rsidR="00851A6E" w:rsidRPr="0047464B" w:rsidRDefault="00000000">
      <w:pPr>
        <w:pStyle w:val="Compact"/>
        <w:numPr>
          <w:ilvl w:val="0"/>
          <w:numId w:val="14"/>
        </w:numPr>
        <w:rPr>
          <w:lang w:val="pt-BR"/>
        </w:rPr>
      </w:pPr>
      <w:r w:rsidRPr="0047464B">
        <w:rPr>
          <w:b/>
          <w:bCs/>
          <w:lang w:val="pt-BR"/>
        </w:rPr>
        <w:t>Gestão de VASPs:</w:t>
      </w:r>
      <w:r w:rsidRPr="0047464B">
        <w:rPr>
          <w:lang w:val="pt-BR"/>
        </w:rPr>
        <w:t xml:space="preserve"> Uma equipe dedicada a homologar e conectar novos trilhos de saída (cartões, contas bancárias, mobile money) em todos os continentes.</w:t>
      </w:r>
    </w:p>
    <w:p w14:paraId="2529D26E" w14:textId="77777777" w:rsidR="00851A6E" w:rsidRDefault="00000000">
      <w:pPr>
        <w:pStyle w:val="Compact"/>
        <w:numPr>
          <w:ilvl w:val="0"/>
          <w:numId w:val="14"/>
        </w:numPr>
      </w:pPr>
      <w:r w:rsidRPr="0047464B">
        <w:rPr>
          <w:b/>
          <w:bCs/>
          <w:lang w:val="pt-BR"/>
        </w:rPr>
        <w:t>Compliance Unit:</w:t>
      </w:r>
      <w:r w:rsidRPr="0047464B">
        <w:rPr>
          <w:lang w:val="pt-BR"/>
        </w:rPr>
        <w:t xml:space="preserve"> Monitoramento automatizado via IA para garantir que todas as remessas sigam as normas de AML (Anti-Lavagem de Dinheiro) sem atrasar o fluxo. </w:t>
      </w:r>
      <w:r>
        <w:t xml:space="preserve">Em 2026, compliance </w:t>
      </w:r>
      <w:proofErr w:type="spellStart"/>
      <w:r>
        <w:t>não</w:t>
      </w:r>
      <w:proofErr w:type="spellEnd"/>
      <w:r>
        <w:t xml:space="preserve"> é opcional — é vantagem competitiva.</w:t>
      </w:r>
    </w:p>
    <w:p w14:paraId="507A79E3" w14:textId="77777777" w:rsidR="00851A6E" w:rsidRDefault="00000000">
      <w:r>
        <w:pict w14:anchorId="654D89D4">
          <v:rect id="_x0000_i1033" style="width:0;height:1.5pt" o:hralign="center" o:hrstd="t" o:hr="t"/>
        </w:pict>
      </w:r>
    </w:p>
    <w:p w14:paraId="05A2CE96" w14:textId="77777777" w:rsidR="00851A6E" w:rsidRPr="0047464B" w:rsidRDefault="00000000">
      <w:pPr>
        <w:pStyle w:val="Heading2"/>
        <w:rPr>
          <w:lang w:val="pt-BR"/>
        </w:rPr>
      </w:pPr>
      <w:bookmarkStart w:id="18" w:name="X4bbbcb85bddcf3a706d10932c5f6c092c5dd4eb"/>
      <w:bookmarkEnd w:id="17"/>
      <w:r w:rsidRPr="0047464B">
        <w:rPr>
          <w:lang w:val="pt-BR"/>
        </w:rPr>
        <w:t>Capítulo 8: A Matemática do Unicórnio — DRE Ano 1 e Projeções</w:t>
      </w:r>
    </w:p>
    <w:p w14:paraId="51DC1128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A remessa de expatriados é apenas o começo.</w:t>
      </w:r>
    </w:p>
    <w:p w14:paraId="028AFC02" w14:textId="77777777" w:rsidR="00851A6E" w:rsidRPr="0047464B" w:rsidRDefault="00000000">
      <w:pPr>
        <w:pStyle w:val="Heading3"/>
        <w:rPr>
          <w:lang w:val="pt-BR"/>
        </w:rPr>
      </w:pPr>
      <w:bookmarkStart w:id="19" w:name="o-modelo-de-negócio-base-dre-ano-1"/>
      <w:r w:rsidRPr="0047464B">
        <w:rPr>
          <w:lang w:val="pt-BR"/>
        </w:rPr>
        <w:t>O Modelo de Negócio Base (DRE Ano 1):</w:t>
      </w:r>
    </w:p>
    <w:p w14:paraId="28F28F5A" w14:textId="33695D0A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 xml:space="preserve">Imagine que capturamos apenas </w:t>
      </w:r>
      <w:r w:rsidRPr="0047464B">
        <w:rPr>
          <w:b/>
          <w:bCs/>
          <w:lang w:val="pt-BR"/>
        </w:rPr>
        <w:t>0,005% do mercado de remessas</w:t>
      </w:r>
      <w:r w:rsidRPr="0047464B">
        <w:rPr>
          <w:lang w:val="pt-BR"/>
        </w:rPr>
        <w:t xml:space="preserve"> da Índia e Paquistão no primeiro ano (um objetivo extremamente conservador), com spread total canônico de até </w:t>
      </w:r>
      <w:r w:rsidR="00364D64">
        <w:rPr>
          <w:lang w:val="pt-BR"/>
        </w:rPr>
        <w:t>2</w:t>
      </w:r>
      <w:r w:rsidRPr="0047464B">
        <w:rPr>
          <w:lang w:val="pt-BR"/>
        </w:rPr>
        <w:t>,5% ao remetente: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78"/>
        <w:gridCol w:w="3289"/>
        <w:gridCol w:w="3289"/>
      </w:tblGrid>
      <w:tr w:rsidR="00851A6E" w14:paraId="7A1BC2D2" w14:textId="77777777" w:rsidTr="00851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36" w:type="dxa"/>
          </w:tcPr>
          <w:p w14:paraId="7C723321" w14:textId="77777777" w:rsidR="00851A6E" w:rsidRDefault="00000000">
            <w:pPr>
              <w:pStyle w:val="Compact"/>
            </w:pPr>
            <w:proofErr w:type="spellStart"/>
            <w:r>
              <w:t>Métrica</w:t>
            </w:r>
            <w:proofErr w:type="spellEnd"/>
          </w:p>
        </w:tc>
        <w:tc>
          <w:tcPr>
            <w:tcW w:w="2941" w:type="dxa"/>
          </w:tcPr>
          <w:p w14:paraId="44207C1D" w14:textId="77777777" w:rsidR="00851A6E" w:rsidRDefault="00000000">
            <w:pPr>
              <w:pStyle w:val="Compact"/>
            </w:pPr>
            <w:r>
              <w:t>Valor Mensal</w:t>
            </w:r>
          </w:p>
        </w:tc>
        <w:tc>
          <w:tcPr>
            <w:tcW w:w="2941" w:type="dxa"/>
          </w:tcPr>
          <w:p w14:paraId="2D463995" w14:textId="77777777" w:rsidR="00851A6E" w:rsidRDefault="00000000">
            <w:pPr>
              <w:pStyle w:val="Compact"/>
            </w:pPr>
            <w:r>
              <w:t>Valor Anual</w:t>
            </w:r>
          </w:p>
        </w:tc>
      </w:tr>
      <w:tr w:rsidR="00851A6E" w14:paraId="7727E3C1" w14:textId="77777777">
        <w:tc>
          <w:tcPr>
            <w:tcW w:w="2036" w:type="dxa"/>
          </w:tcPr>
          <w:p w14:paraId="160DED40" w14:textId="77777777" w:rsidR="00851A6E" w:rsidRDefault="00000000">
            <w:pPr>
              <w:pStyle w:val="Compact"/>
            </w:pPr>
            <w:r>
              <w:t>Volume Transacional (GTV)</w:t>
            </w:r>
          </w:p>
        </w:tc>
        <w:tc>
          <w:tcPr>
            <w:tcW w:w="2941" w:type="dxa"/>
          </w:tcPr>
          <w:p w14:paraId="2F536693" w14:textId="77777777" w:rsidR="00851A6E" w:rsidRDefault="00000000">
            <w:pPr>
              <w:pStyle w:val="Compact"/>
            </w:pPr>
            <w:r>
              <w:t>~US$ 15 Milhões</w:t>
            </w:r>
          </w:p>
        </w:tc>
        <w:tc>
          <w:tcPr>
            <w:tcW w:w="2941" w:type="dxa"/>
          </w:tcPr>
          <w:p w14:paraId="2D92E354" w14:textId="77777777" w:rsidR="00851A6E" w:rsidRDefault="00000000">
            <w:pPr>
              <w:pStyle w:val="Compact"/>
            </w:pPr>
            <w:r>
              <w:t>~US$ 180 Milhões</w:t>
            </w:r>
          </w:p>
        </w:tc>
      </w:tr>
      <w:tr w:rsidR="00851A6E" w14:paraId="35423F10" w14:textId="77777777">
        <w:tc>
          <w:tcPr>
            <w:tcW w:w="2036" w:type="dxa"/>
          </w:tcPr>
          <w:p w14:paraId="505965F0" w14:textId="6C231236" w:rsidR="00851A6E" w:rsidRDefault="00000000">
            <w:pPr>
              <w:pStyle w:val="Compact"/>
            </w:pPr>
            <w:r>
              <w:t xml:space="preserve">Spread </w:t>
            </w:r>
            <w:proofErr w:type="spellStart"/>
            <w:r>
              <w:t>agregado</w:t>
            </w:r>
            <w:proofErr w:type="spellEnd"/>
            <w:r>
              <w:t xml:space="preserve"> (</w:t>
            </w:r>
            <w:r w:rsidR="00364D64">
              <w:t>~</w:t>
            </w:r>
            <w:r>
              <w:t xml:space="preserve">3,5% </w:t>
            </w:r>
            <w:proofErr w:type="spellStart"/>
            <w:r>
              <w:t>sobre</w:t>
            </w:r>
            <w:proofErr w:type="spellEnd"/>
            <w:r>
              <w:t xml:space="preserve"> GTV)</w:t>
            </w:r>
          </w:p>
        </w:tc>
        <w:tc>
          <w:tcPr>
            <w:tcW w:w="2941" w:type="dxa"/>
          </w:tcPr>
          <w:p w14:paraId="10A887B9" w14:textId="77777777" w:rsidR="00851A6E" w:rsidRDefault="00000000">
            <w:pPr>
              <w:pStyle w:val="Compact"/>
            </w:pPr>
            <w:r>
              <w:t>~US$ 525.000</w:t>
            </w:r>
          </w:p>
        </w:tc>
        <w:tc>
          <w:tcPr>
            <w:tcW w:w="2941" w:type="dxa"/>
          </w:tcPr>
          <w:p w14:paraId="2C6B8E63" w14:textId="77777777" w:rsidR="00851A6E" w:rsidRDefault="00000000">
            <w:pPr>
              <w:pStyle w:val="Compact"/>
            </w:pPr>
            <w:r>
              <w:t>~US$ 6,3 Milhões</w:t>
            </w:r>
          </w:p>
        </w:tc>
      </w:tr>
      <w:tr w:rsidR="00851A6E" w14:paraId="61B976AB" w14:textId="77777777">
        <w:tc>
          <w:tcPr>
            <w:tcW w:w="2036" w:type="dxa"/>
          </w:tcPr>
          <w:p w14:paraId="497A0D26" w14:textId="77777777" w:rsidR="00851A6E" w:rsidRDefault="00000000">
            <w:pPr>
              <w:pStyle w:val="Compact"/>
            </w:pPr>
            <w:r>
              <w:t>Orquestração FLUXUS (~1,0% sobre GTV)</w:t>
            </w:r>
          </w:p>
        </w:tc>
        <w:tc>
          <w:tcPr>
            <w:tcW w:w="2941" w:type="dxa"/>
          </w:tcPr>
          <w:p w14:paraId="6A573774" w14:textId="77777777" w:rsidR="00851A6E" w:rsidRDefault="00000000">
            <w:pPr>
              <w:pStyle w:val="Compact"/>
            </w:pPr>
            <w:r>
              <w:t>~US$ 150.000</w:t>
            </w:r>
          </w:p>
        </w:tc>
        <w:tc>
          <w:tcPr>
            <w:tcW w:w="2941" w:type="dxa"/>
          </w:tcPr>
          <w:p w14:paraId="2EF75660" w14:textId="77777777" w:rsidR="00851A6E" w:rsidRDefault="00000000">
            <w:pPr>
              <w:pStyle w:val="Compact"/>
            </w:pPr>
            <w:r>
              <w:t>~US$ 1,8 Milhão</w:t>
            </w:r>
          </w:p>
        </w:tc>
      </w:tr>
      <w:tr w:rsidR="00851A6E" w14:paraId="7D93B12C" w14:textId="77777777">
        <w:tc>
          <w:tcPr>
            <w:tcW w:w="2036" w:type="dxa"/>
          </w:tcPr>
          <w:p w14:paraId="230A5723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 xml:space="preserve">Retorno aos LPs (~1,5% sobre </w:t>
            </w:r>
            <w:r w:rsidRPr="0047464B">
              <w:rPr>
                <w:lang w:val="pt-BR"/>
              </w:rPr>
              <w:lastRenderedPageBreak/>
              <w:t>GTV)</w:t>
            </w:r>
          </w:p>
        </w:tc>
        <w:tc>
          <w:tcPr>
            <w:tcW w:w="2941" w:type="dxa"/>
          </w:tcPr>
          <w:p w14:paraId="5EBDAB76" w14:textId="77777777" w:rsidR="00851A6E" w:rsidRDefault="00000000">
            <w:pPr>
              <w:pStyle w:val="Compact"/>
            </w:pPr>
            <w:r>
              <w:lastRenderedPageBreak/>
              <w:t>~US$ 225.000</w:t>
            </w:r>
          </w:p>
        </w:tc>
        <w:tc>
          <w:tcPr>
            <w:tcW w:w="2941" w:type="dxa"/>
          </w:tcPr>
          <w:p w14:paraId="2D67AE3A" w14:textId="77777777" w:rsidR="00851A6E" w:rsidRDefault="00000000">
            <w:pPr>
              <w:pStyle w:val="Compact"/>
            </w:pPr>
            <w:r>
              <w:t>~US$ 2,7 Milhões</w:t>
            </w:r>
          </w:p>
        </w:tc>
      </w:tr>
    </w:tbl>
    <w:p w14:paraId="2600D77A" w14:textId="77777777" w:rsidR="00851A6E" w:rsidRDefault="00000000">
      <w:pPr>
        <w:pStyle w:val="Heading3"/>
      </w:pPr>
      <w:bookmarkStart w:id="20" w:name="benchmarks-de-valuation-2026"/>
      <w:bookmarkEnd w:id="19"/>
      <w:r>
        <w:t>Benchmarks de Valuation (2026):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97"/>
        <w:gridCol w:w="1791"/>
        <w:gridCol w:w="2285"/>
        <w:gridCol w:w="2150"/>
      </w:tblGrid>
      <w:tr w:rsidR="00851A6E" w14:paraId="6A086E6F" w14:textId="77777777" w:rsidTr="00851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9572BC8" w14:textId="77777777" w:rsidR="00851A6E" w:rsidRDefault="00000000">
            <w:pPr>
              <w:pStyle w:val="Compact"/>
            </w:pPr>
            <w:r>
              <w:t>Empresa</w:t>
            </w:r>
          </w:p>
        </w:tc>
        <w:tc>
          <w:tcPr>
            <w:tcW w:w="0" w:type="auto"/>
          </w:tcPr>
          <w:p w14:paraId="70373D91" w14:textId="77777777" w:rsidR="00851A6E" w:rsidRDefault="00000000">
            <w:pPr>
              <w:pStyle w:val="Compact"/>
            </w:pPr>
            <w:r>
              <w:t>Valuation</w:t>
            </w:r>
          </w:p>
        </w:tc>
        <w:tc>
          <w:tcPr>
            <w:tcW w:w="0" w:type="auto"/>
          </w:tcPr>
          <w:p w14:paraId="1241E06F" w14:textId="77777777" w:rsidR="00851A6E" w:rsidRDefault="00000000">
            <w:pPr>
              <w:pStyle w:val="Compact"/>
            </w:pPr>
            <w:r>
              <w:t>Volume Anualizado</w:t>
            </w:r>
          </w:p>
        </w:tc>
        <w:tc>
          <w:tcPr>
            <w:tcW w:w="0" w:type="auto"/>
          </w:tcPr>
          <w:p w14:paraId="044BC670" w14:textId="77777777" w:rsidR="00851A6E" w:rsidRDefault="00000000">
            <w:pPr>
              <w:pStyle w:val="Compact"/>
            </w:pPr>
            <w:r>
              <w:t>Múltiplo (EV/GTV)</w:t>
            </w:r>
          </w:p>
        </w:tc>
      </w:tr>
      <w:tr w:rsidR="00851A6E" w14:paraId="266DFB8E" w14:textId="77777777">
        <w:tc>
          <w:tcPr>
            <w:tcW w:w="0" w:type="auto"/>
          </w:tcPr>
          <w:p w14:paraId="6081778E" w14:textId="77777777" w:rsidR="00851A6E" w:rsidRDefault="00000000">
            <w:pPr>
              <w:pStyle w:val="Compact"/>
            </w:pPr>
            <w:r>
              <w:t>Rain</w:t>
            </w:r>
          </w:p>
        </w:tc>
        <w:tc>
          <w:tcPr>
            <w:tcW w:w="0" w:type="auto"/>
          </w:tcPr>
          <w:p w14:paraId="61D47D9E" w14:textId="77777777" w:rsidR="00851A6E" w:rsidRDefault="00000000">
            <w:pPr>
              <w:pStyle w:val="Compact"/>
            </w:pPr>
            <w:r>
              <w:t>~US$ 1,95 Bi</w:t>
            </w:r>
          </w:p>
        </w:tc>
        <w:tc>
          <w:tcPr>
            <w:tcW w:w="0" w:type="auto"/>
          </w:tcPr>
          <w:p w14:paraId="2FE3F9FB" w14:textId="77777777" w:rsidR="00851A6E" w:rsidRDefault="00000000">
            <w:pPr>
              <w:pStyle w:val="Compact"/>
            </w:pPr>
            <w:r>
              <w:t>~US$ 3 Bi</w:t>
            </w:r>
          </w:p>
        </w:tc>
        <w:tc>
          <w:tcPr>
            <w:tcW w:w="0" w:type="auto"/>
          </w:tcPr>
          <w:p w14:paraId="57F9D505" w14:textId="77777777" w:rsidR="00851A6E" w:rsidRDefault="00000000">
            <w:pPr>
              <w:pStyle w:val="Compact"/>
            </w:pPr>
            <w:r>
              <w:t>~0,65x</w:t>
            </w:r>
          </w:p>
        </w:tc>
      </w:tr>
      <w:tr w:rsidR="00851A6E" w14:paraId="203B856A" w14:textId="77777777">
        <w:tc>
          <w:tcPr>
            <w:tcW w:w="0" w:type="auto"/>
          </w:tcPr>
          <w:p w14:paraId="64584F26" w14:textId="77777777" w:rsidR="00851A6E" w:rsidRDefault="00000000">
            <w:pPr>
              <w:pStyle w:val="Compact"/>
            </w:pPr>
            <w:r>
              <w:t>ARQ</w:t>
            </w:r>
          </w:p>
        </w:tc>
        <w:tc>
          <w:tcPr>
            <w:tcW w:w="0" w:type="auto"/>
          </w:tcPr>
          <w:p w14:paraId="2AE15978" w14:textId="77777777" w:rsidR="00851A6E" w:rsidRDefault="00000000">
            <w:pPr>
              <w:pStyle w:val="Compact"/>
            </w:pPr>
            <w:r>
              <w:t>~US$ 500 Mi+</w:t>
            </w:r>
          </w:p>
        </w:tc>
        <w:tc>
          <w:tcPr>
            <w:tcW w:w="0" w:type="auto"/>
          </w:tcPr>
          <w:p w14:paraId="22322351" w14:textId="77777777" w:rsidR="00851A6E" w:rsidRDefault="00000000">
            <w:pPr>
              <w:pStyle w:val="Compact"/>
            </w:pPr>
            <w:r>
              <w:t>~US$ 10 Bi</w:t>
            </w:r>
          </w:p>
        </w:tc>
        <w:tc>
          <w:tcPr>
            <w:tcW w:w="0" w:type="auto"/>
          </w:tcPr>
          <w:p w14:paraId="7881A247" w14:textId="77777777" w:rsidR="00851A6E" w:rsidRDefault="00000000">
            <w:pPr>
              <w:pStyle w:val="Compact"/>
            </w:pPr>
            <w:r>
              <w:t>~0,05x</w:t>
            </w:r>
          </w:p>
        </w:tc>
      </w:tr>
      <w:tr w:rsidR="00851A6E" w14:paraId="54166C8E" w14:textId="77777777">
        <w:tc>
          <w:tcPr>
            <w:tcW w:w="0" w:type="auto"/>
          </w:tcPr>
          <w:p w14:paraId="267A04A8" w14:textId="77777777" w:rsidR="00851A6E" w:rsidRDefault="00000000">
            <w:pPr>
              <w:pStyle w:val="Compact"/>
            </w:pPr>
            <w:r>
              <w:t>Bridge (Stripe)</w:t>
            </w:r>
          </w:p>
        </w:tc>
        <w:tc>
          <w:tcPr>
            <w:tcW w:w="0" w:type="auto"/>
          </w:tcPr>
          <w:p w14:paraId="32117002" w14:textId="77777777" w:rsidR="00851A6E" w:rsidRDefault="00000000">
            <w:pPr>
              <w:pStyle w:val="Compact"/>
            </w:pPr>
            <w:r>
              <w:t>US$ 1,1 Bi</w:t>
            </w:r>
          </w:p>
        </w:tc>
        <w:tc>
          <w:tcPr>
            <w:tcW w:w="0" w:type="auto"/>
          </w:tcPr>
          <w:p w14:paraId="6202C16F" w14:textId="77777777" w:rsidR="00851A6E" w:rsidRDefault="00000000">
            <w:pPr>
              <w:pStyle w:val="Compact"/>
            </w:pPr>
            <w:r>
              <w:t>N/A</w:t>
            </w:r>
          </w:p>
        </w:tc>
        <w:tc>
          <w:tcPr>
            <w:tcW w:w="0" w:type="auto"/>
          </w:tcPr>
          <w:p w14:paraId="1EC3AED2" w14:textId="77777777" w:rsidR="00851A6E" w:rsidRDefault="00000000">
            <w:pPr>
              <w:pStyle w:val="Compact"/>
            </w:pPr>
            <w:r>
              <w:t>Estratégico</w:t>
            </w:r>
          </w:p>
        </w:tc>
      </w:tr>
      <w:tr w:rsidR="00851A6E" w14:paraId="04E473E1" w14:textId="77777777">
        <w:tc>
          <w:tcPr>
            <w:tcW w:w="0" w:type="auto"/>
          </w:tcPr>
          <w:p w14:paraId="7B4F5B40" w14:textId="77777777" w:rsidR="00851A6E" w:rsidRDefault="00000000">
            <w:pPr>
              <w:pStyle w:val="Compact"/>
            </w:pPr>
            <w:r>
              <w:t>BVNK (Mastercard)</w:t>
            </w:r>
          </w:p>
        </w:tc>
        <w:tc>
          <w:tcPr>
            <w:tcW w:w="0" w:type="auto"/>
          </w:tcPr>
          <w:p w14:paraId="2E6C9405" w14:textId="77777777" w:rsidR="00851A6E" w:rsidRDefault="00000000">
            <w:pPr>
              <w:pStyle w:val="Compact"/>
            </w:pPr>
            <w:r>
              <w:t>Até US$ 1,8 Bi</w:t>
            </w:r>
          </w:p>
        </w:tc>
        <w:tc>
          <w:tcPr>
            <w:tcW w:w="0" w:type="auto"/>
          </w:tcPr>
          <w:p w14:paraId="167761B4" w14:textId="77777777" w:rsidR="00851A6E" w:rsidRDefault="00000000">
            <w:pPr>
              <w:pStyle w:val="Compact"/>
            </w:pPr>
            <w:r>
              <w:t>~US$ 30 Bi</w:t>
            </w:r>
          </w:p>
        </w:tc>
        <w:tc>
          <w:tcPr>
            <w:tcW w:w="0" w:type="auto"/>
          </w:tcPr>
          <w:p w14:paraId="7CEC00B7" w14:textId="77777777" w:rsidR="00851A6E" w:rsidRDefault="00000000">
            <w:pPr>
              <w:pStyle w:val="Compact"/>
            </w:pPr>
            <w:r>
              <w:t>~0,06x</w:t>
            </w:r>
          </w:p>
        </w:tc>
      </w:tr>
    </w:tbl>
    <w:p w14:paraId="4B3E3AE8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Projeção FLUXUS (Ano 3):</w:t>
      </w:r>
      <w:r w:rsidRPr="0047464B">
        <w:rPr>
          <w:lang w:val="pt-BR"/>
        </w:rPr>
        <w:t xml:space="preserve"> Com GTV de US$ 500 milhões a US$ 1 bilhão, e múltiplo conservador de 0,3x–0,5x, o valuation potencial situa-se entre </w:t>
      </w:r>
      <w:r w:rsidRPr="0047464B">
        <w:rPr>
          <w:b/>
          <w:bCs/>
          <w:lang w:val="pt-BR"/>
        </w:rPr>
        <w:t>US$ 150 milhões e US$ 500 milhões</w:t>
      </w:r>
      <w:r w:rsidRPr="0047464B">
        <w:rPr>
          <w:lang w:val="pt-BR"/>
        </w:rPr>
        <w:t>.</w:t>
      </w:r>
    </w:p>
    <w:p w14:paraId="2D66AAA7" w14:textId="77777777" w:rsidR="00851A6E" w:rsidRDefault="00000000">
      <w:r>
        <w:pict w14:anchorId="6AAD89C4">
          <v:rect id="_x0000_i1034" style="width:0;height:1.5pt" o:hralign="center" o:hrstd="t" o:hr="t"/>
        </w:pict>
      </w:r>
    </w:p>
    <w:p w14:paraId="56AD9060" w14:textId="77777777" w:rsidR="00851A6E" w:rsidRPr="0047464B" w:rsidRDefault="00000000">
      <w:pPr>
        <w:pStyle w:val="Heading2"/>
        <w:rPr>
          <w:lang w:val="pt-BR"/>
        </w:rPr>
      </w:pPr>
      <w:bookmarkStart w:id="21" w:name="Xa89e8a4c7fa7920d657943a6266fd1c2913bb58"/>
      <w:bookmarkEnd w:id="18"/>
      <w:bookmarkEnd w:id="20"/>
      <w:r w:rsidRPr="0047464B">
        <w:rPr>
          <w:lang w:val="pt-BR"/>
        </w:rPr>
        <w:t>Capítulo 9: Novos Braços de Negócio — A Expansão do Ecossistema</w:t>
      </w:r>
    </w:p>
    <w:p w14:paraId="5B888632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 xml:space="preserve">O FLUXUS nasce como um motor de remessas, mas sua arquitetura permite a construção de um ecossistema financeiro global. Abaixo, apresentamos </w:t>
      </w:r>
      <w:r w:rsidRPr="0047464B">
        <w:rPr>
          <w:b/>
          <w:bCs/>
          <w:lang w:val="pt-BR"/>
        </w:rPr>
        <w:t>cinco novos braços de negócio</w:t>
      </w:r>
      <w:r w:rsidRPr="0047464B">
        <w:rPr>
          <w:lang w:val="pt-BR"/>
        </w:rPr>
        <w:t xml:space="preserve"> que amplificam o valor do Nexus:</w:t>
      </w:r>
    </w:p>
    <w:p w14:paraId="1F910568" w14:textId="77777777" w:rsidR="00851A6E" w:rsidRPr="0047464B" w:rsidRDefault="00000000">
      <w:pPr>
        <w:pStyle w:val="Heading3"/>
        <w:rPr>
          <w:lang w:val="pt-BR"/>
        </w:rPr>
      </w:pPr>
      <w:bookmarkStart w:id="22" w:name="Xa98df88f6066a2cc7b15b3da62c973cdd865a0c"/>
      <w:r w:rsidRPr="0047464B">
        <w:rPr>
          <w:lang w:val="pt-BR"/>
        </w:rPr>
        <w:t>9.1 FLUXUS Treasury — Gestão de Tesouraria para PMEs Globais</w:t>
      </w:r>
    </w:p>
    <w:p w14:paraId="19892713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O Problema:</w:t>
      </w:r>
      <w:r w:rsidRPr="0047464B">
        <w:rPr>
          <w:lang w:val="pt-BR"/>
        </w:rPr>
        <w:t xml:space="preserve"> Pequenas e médias empresas que operam em 3+ países mantêm saldos ociosos em múltiplas moedas, pagando spreads de conversão e taxas de manutenção em cada jurisdição.</w:t>
      </w:r>
    </w:p>
    <w:p w14:paraId="3DACB189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Solução:</w:t>
      </w:r>
      <w:r w:rsidRPr="0047464B">
        <w:rPr>
          <w:lang w:val="pt-BR"/>
        </w:rPr>
        <w:t xml:space="preserve"> O FLUXUS Treasury oferece uma conta unificada multi-moeda onde o saldo é mantido em stablecoins (USDC/USDT) e convertido para fiat local apenas no momento do pagamento. Reduzimos o capital de giro preso em contas correntes internacionais em até </w:t>
      </w:r>
      <w:r w:rsidRPr="0047464B">
        <w:rPr>
          <w:b/>
          <w:bCs/>
          <w:lang w:val="pt-BR"/>
        </w:rPr>
        <w:t>60%</w:t>
      </w:r>
      <w:r w:rsidRPr="0047464B">
        <w:rPr>
          <w:lang w:val="pt-BR"/>
        </w:rPr>
        <w:t>.</w:t>
      </w:r>
    </w:p>
    <w:p w14:paraId="2523A000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Modelo de Receita:</w:t>
      </w:r>
      <w:r w:rsidRPr="0047464B">
        <w:rPr>
          <w:lang w:val="pt-BR"/>
        </w:rPr>
        <w:t xml:space="preserve"> Assinatura mensal (SaaS) + spread de conversão reduzido (1,0% vs 2,5% do mercado).</w:t>
      </w:r>
    </w:p>
    <w:p w14:paraId="62BDE18F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Benchmark:</w:t>
      </w:r>
      <w:r w:rsidRPr="0047464B">
        <w:rPr>
          <w:lang w:val="pt-BR"/>
        </w:rPr>
        <w:t xml:space="preserve"> Reap processa US$ 6 Bi em volume corporativo; o mercado B2B cross-border é o segmento de maior crescimento em stablecoins.</w:t>
      </w:r>
    </w:p>
    <w:p w14:paraId="298328AE" w14:textId="77777777" w:rsidR="00851A6E" w:rsidRPr="0047464B" w:rsidRDefault="00000000">
      <w:pPr>
        <w:pStyle w:val="Heading3"/>
        <w:rPr>
          <w:lang w:val="pt-BR"/>
        </w:rPr>
      </w:pPr>
      <w:bookmarkStart w:id="23" w:name="X68a5ea7ef08382b0af6fabd6fcbc4494307d0c8"/>
      <w:bookmarkEnd w:id="22"/>
      <w:r w:rsidRPr="0047464B">
        <w:rPr>
          <w:lang w:val="pt-BR"/>
        </w:rPr>
        <w:lastRenderedPageBreak/>
        <w:t>9.2 FLUXUS Payroll — Folha de Pagamento Global para Times Remotos</w:t>
      </w:r>
    </w:p>
    <w:p w14:paraId="27BC6D1C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O Problema:</w:t>
      </w:r>
      <w:r w:rsidRPr="0047464B">
        <w:rPr>
          <w:lang w:val="pt-BR"/>
        </w:rPr>
        <w:t xml:space="preserve"> Startups e empresas tech contratam desenvolvedores, designers e profissionais em 20+ países. O processo de payroll internacional envolve SWIFT, Wise, PayPal ou TransferWise — cada um com seus limites, taxas e tempos.</w:t>
      </w:r>
    </w:p>
    <w:p w14:paraId="02B2931B" w14:textId="04705B85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Solução:</w:t>
      </w:r>
      <w:r w:rsidRPr="0047464B">
        <w:rPr>
          <w:lang w:val="pt-BR"/>
        </w:rPr>
        <w:t xml:space="preserve"> Integração API-first para plataformas de RH (Deel, Remote, Gusto). O empregador deposita em stablecoin; o FLUXUS distribui para cartões de débito locais ou contas bancárias em até 150 países, com liquidação em </w:t>
      </w:r>
      <w:r w:rsidR="00364D64">
        <w:rPr>
          <w:lang w:val="pt-BR"/>
        </w:rPr>
        <w:t>segundos/</w:t>
      </w:r>
      <w:r w:rsidRPr="0047464B">
        <w:rPr>
          <w:lang w:val="pt-BR"/>
        </w:rPr>
        <w:t>minutos.</w:t>
      </w:r>
    </w:p>
    <w:p w14:paraId="17C234AC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Modelo de Receita:</w:t>
      </w:r>
      <w:r w:rsidRPr="0047464B">
        <w:rPr>
          <w:lang w:val="pt-BR"/>
        </w:rPr>
        <w:t xml:space="preserve"> Taxa fixa por pagamento (US$ 1,99) + spread cambial de 1,5%.</w:t>
      </w:r>
    </w:p>
    <w:p w14:paraId="106B775E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Benchmark:</w:t>
      </w:r>
      <w:r w:rsidRPr="0047464B">
        <w:rPr>
          <w:lang w:val="pt-BR"/>
        </w:rPr>
        <w:t xml:space="preserve"> A BVNK reporta que payroll e marketplace payouts são um dos principais drivers de adoção em 2026.</w:t>
      </w:r>
    </w:p>
    <w:p w14:paraId="05CF0334" w14:textId="77777777" w:rsidR="00851A6E" w:rsidRPr="0047464B" w:rsidRDefault="00000000">
      <w:pPr>
        <w:pStyle w:val="Heading3"/>
        <w:rPr>
          <w:lang w:val="pt-BR"/>
        </w:rPr>
      </w:pPr>
      <w:bookmarkStart w:id="24" w:name="X0a38e082a457d042b6f3a96208ee7f681380a11"/>
      <w:bookmarkEnd w:id="23"/>
      <w:r w:rsidRPr="0047464B">
        <w:rPr>
          <w:lang w:val="pt-BR"/>
        </w:rPr>
        <w:t>9.3 FLUXUS Credit — Microcrédito e Crédito Garantido por Stablecoin</w:t>
      </w:r>
    </w:p>
    <w:p w14:paraId="71BAA240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O Problema:</w:t>
      </w:r>
      <w:r w:rsidRPr="0047464B">
        <w:rPr>
          <w:lang w:val="pt-BR"/>
        </w:rPr>
        <w:t xml:space="preserve"> Em mercados emergentes, bilhões de pessoas têm histórico de renda (via remessas recebidas) mas não têm acesso a crédito formal por falta de score tradicional.</w:t>
      </w:r>
    </w:p>
    <w:p w14:paraId="1FEF7294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Solução:</w:t>
      </w:r>
      <w:r w:rsidRPr="0047464B">
        <w:rPr>
          <w:lang w:val="pt-BR"/>
        </w:rPr>
        <w:t xml:space="preserve"> Com base no histórico de transações no FLUXUS (Minihash auditable), oferecemos microcrédito instantâneo. O destinatário de remessas regulares pode antecipar até 50% do valor esperado, pagando uma taxa de antecipação. Para investidores, oferecemos empréstimos garantidos por stablecoins com LTV de 70%.</w:t>
      </w:r>
    </w:p>
    <w:p w14:paraId="400B5F06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Modelo de Receita:</w:t>
      </w:r>
      <w:r w:rsidRPr="0047464B">
        <w:rPr>
          <w:lang w:val="pt-BR"/>
        </w:rPr>
        <w:t xml:space="preserve"> Juros de 12–24% a.a. sobre microcrédito; taxa de 3–5% sobre antecipação.</w:t>
      </w:r>
    </w:p>
    <w:p w14:paraId="0F49390E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Diferencial:</w:t>
      </w:r>
      <w:r w:rsidRPr="0047464B">
        <w:rPr>
          <w:lang w:val="pt-BR"/>
        </w:rPr>
        <w:t xml:space="preserve"> O histórico on-chain é imutável e serve como “score alternativo”, democratizando o acesso ao crédito.</w:t>
      </w:r>
    </w:p>
    <w:p w14:paraId="071E99B1" w14:textId="77777777" w:rsidR="00851A6E" w:rsidRPr="0047464B" w:rsidRDefault="00000000">
      <w:pPr>
        <w:pStyle w:val="Heading3"/>
        <w:rPr>
          <w:lang w:val="pt-BR"/>
        </w:rPr>
      </w:pPr>
      <w:bookmarkStart w:id="25" w:name="X31001c88ac9d4b64ba3e3a647834d2529eb896c"/>
      <w:bookmarkEnd w:id="24"/>
      <w:r w:rsidRPr="0047464B">
        <w:rPr>
          <w:lang w:val="pt-BR"/>
        </w:rPr>
        <w:t>9.4 FLUXUS Yield — Renda Passiva para Investidores de Liquidez</w:t>
      </w:r>
    </w:p>
    <w:p w14:paraId="3BFAD958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b/>
          <w:bCs/>
          <w:lang w:val="pt-BR"/>
        </w:rPr>
        <w:t>O Problema:</w:t>
      </w:r>
      <w:r w:rsidRPr="0047464B">
        <w:rPr>
          <w:lang w:val="pt-BR"/>
        </w:rPr>
        <w:t xml:space="preserve"> Investidores que fornecem liquidez ao FLUXUS ganham spreads por operação, mas têm períodos de ociosidade entre ordens.</w:t>
      </w:r>
    </w:p>
    <w:p w14:paraId="2170C7BB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Solução:</w:t>
      </w:r>
      <w:r w:rsidRPr="0047464B">
        <w:rPr>
          <w:lang w:val="pt-BR"/>
        </w:rPr>
        <w:t xml:space="preserve"> Oferecemos rendimento automático (yield) sobre saldos ociosos em stablecoins, alocando-os em pools de liquidez DeFi seguras (ex: Aave, </w:t>
      </w:r>
      <w:r w:rsidRPr="0047464B">
        <w:rPr>
          <w:lang w:val="pt-BR"/>
        </w:rPr>
        <w:lastRenderedPageBreak/>
        <w:t xml:space="preserve">Compound, ou pools autorizadas de RWA — Real World Assets). O investidor ganha: - </w:t>
      </w:r>
      <w:r w:rsidRPr="0047464B">
        <w:rPr>
          <w:b/>
          <w:bCs/>
          <w:lang w:val="pt-BR"/>
        </w:rPr>
        <w:t>Spread de liquidez</w:t>
      </w:r>
      <w:r w:rsidRPr="0047464B">
        <w:rPr>
          <w:lang w:val="pt-BR"/>
        </w:rPr>
        <w:t xml:space="preserve"> quando há ordens ativas (~1,5% por operação); - </w:t>
      </w:r>
      <w:r w:rsidRPr="0047464B">
        <w:rPr>
          <w:b/>
          <w:bCs/>
          <w:lang w:val="pt-BR"/>
        </w:rPr>
        <w:t>Yield passivo</w:t>
      </w:r>
      <w:r w:rsidRPr="0047464B">
        <w:rPr>
          <w:lang w:val="pt-BR"/>
        </w:rPr>
        <w:t xml:space="preserve"> de 4–8% a.a. sobre saldo ocioso; - </w:t>
      </w:r>
      <w:r w:rsidRPr="0047464B">
        <w:rPr>
          <w:b/>
          <w:bCs/>
          <w:lang w:val="pt-BR"/>
        </w:rPr>
        <w:t>Bônus de fidelidade</w:t>
      </w:r>
      <w:r w:rsidRPr="0047464B">
        <w:rPr>
          <w:lang w:val="pt-BR"/>
        </w:rPr>
        <w:t xml:space="preserve"> em token de governança FLX.</w:t>
      </w:r>
    </w:p>
    <w:p w14:paraId="7EAB24B3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Modelo de Receita:</w:t>
      </w:r>
      <w:r w:rsidRPr="0047464B">
        <w:rPr>
          <w:lang w:val="pt-BR"/>
        </w:rPr>
        <w:t xml:space="preserve"> Spread entre o yield gerado e o yield repassado (ex: ganhamos 6%, pagamos 5%, retemos 1%).</w:t>
      </w:r>
    </w:p>
    <w:p w14:paraId="06ABEA15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Benchmark:</w:t>
      </w:r>
      <w:r w:rsidRPr="0047464B">
        <w:rPr>
          <w:lang w:val="pt-BR"/>
        </w:rPr>
        <w:t xml:space="preserve"> O PayPal oferece 5% APY sobre saldos em PYUSD; o mercado de yield em stablecoins é um dos mais atrativos para investidores institucionais.</w:t>
      </w:r>
    </w:p>
    <w:p w14:paraId="0C3FCF45" w14:textId="77777777" w:rsidR="00851A6E" w:rsidRPr="0047464B" w:rsidRDefault="00000000" w:rsidP="00364D64">
      <w:pPr>
        <w:pStyle w:val="Heading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D9F2D0" w:themeFill="accent6" w:themeFillTint="33"/>
        <w:rPr>
          <w:lang w:val="pt-BR"/>
        </w:rPr>
      </w:pPr>
      <w:bookmarkStart w:id="26" w:name="Xb703c68681e4fb8bebee0f44aaaa3e154edcfe0"/>
      <w:bookmarkEnd w:id="25"/>
      <w:r w:rsidRPr="0047464B">
        <w:rPr>
          <w:lang w:val="pt-BR"/>
        </w:rPr>
        <w:t>9.5 FLUXUS Merchant — Checkout Global para E-commerce</w:t>
      </w:r>
    </w:p>
    <w:p w14:paraId="06FF40EB" w14:textId="77777777" w:rsidR="00851A6E" w:rsidRPr="00364D64" w:rsidRDefault="00000000">
      <w:pPr>
        <w:pStyle w:val="FirstParagraph"/>
        <w:rPr>
          <w:b/>
          <w:bCs/>
          <w:i/>
          <w:iCs/>
          <w:u w:val="single"/>
          <w:lang w:val="pt-BR"/>
        </w:rPr>
      </w:pPr>
      <w:r w:rsidRPr="0047464B">
        <w:rPr>
          <w:b/>
          <w:bCs/>
          <w:lang w:val="pt-BR"/>
        </w:rPr>
        <w:t>O Problema:</w:t>
      </w:r>
      <w:r w:rsidRPr="0047464B">
        <w:rPr>
          <w:lang w:val="pt-BR"/>
        </w:rPr>
        <w:t xml:space="preserve"> Comerciantes de e-commerce em mercados emergentes (ex: um vendedor de artesanato no Brasil vendendo para clientes na Europa) pagam </w:t>
      </w:r>
      <w:r w:rsidRPr="00364D64">
        <w:rPr>
          <w:b/>
          <w:bCs/>
          <w:i/>
          <w:iCs/>
          <w:u w:val="single"/>
          <w:lang w:val="pt-BR"/>
        </w:rPr>
        <w:t>4–6% em taxas de cartão internacional + spread FX + IOF.</w:t>
      </w:r>
    </w:p>
    <w:p w14:paraId="096A295A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A Solução:</w:t>
      </w:r>
      <w:r w:rsidRPr="0047464B">
        <w:rPr>
          <w:lang w:val="pt-BR"/>
        </w:rPr>
        <w:t xml:space="preserve"> Plugin de checkout para Shopify, WooCommerce e APIs customizadas. O cliente paga em sua moeda local (cartão ou Pix); o FLUXUS converte para stablecoin e liquida no vendedor em sua moeda local, com taxa total de </w:t>
      </w:r>
      <w:r w:rsidRPr="0047464B">
        <w:rPr>
          <w:b/>
          <w:bCs/>
          <w:lang w:val="pt-BR"/>
        </w:rPr>
        <w:t>2,0%</w:t>
      </w:r>
      <w:r w:rsidRPr="0047464B">
        <w:rPr>
          <w:lang w:val="pt-BR"/>
        </w:rPr>
        <w:t xml:space="preserve"> (vs 5–7% tradicional).</w:t>
      </w:r>
    </w:p>
    <w:p w14:paraId="48C11B17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Modelo de Receita:</w:t>
      </w:r>
      <w:r w:rsidRPr="0047464B">
        <w:rPr>
          <w:lang w:val="pt-BR"/>
        </w:rPr>
        <w:t xml:space="preserve"> 2,0% sobre o valor da transação (split: 1,0% FLUXUS, 0,5% VASP local, 0,5% rede).</w:t>
      </w:r>
    </w:p>
    <w:p w14:paraId="33392071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Diferencial:</w:t>
      </w:r>
      <w:r w:rsidRPr="0047464B">
        <w:rPr>
          <w:lang w:val="pt-BR"/>
        </w:rPr>
        <w:t xml:space="preserve"> </w:t>
      </w:r>
      <w:r w:rsidRPr="00364D64">
        <w:rPr>
          <w:i/>
          <w:iCs/>
          <w:u w:val="single"/>
          <w:shd w:val="clear" w:color="auto" w:fill="FAE2D5" w:themeFill="accent2" w:themeFillTint="33"/>
          <w:lang w:val="pt-BR"/>
        </w:rPr>
        <w:t>O comerciante recebe em 24h (vs 30 dias do adquirente tradicional) e tem visibilidade total do fluxo via Minihash</w:t>
      </w:r>
      <w:r w:rsidRPr="0047464B">
        <w:rPr>
          <w:lang w:val="pt-BR"/>
        </w:rPr>
        <w:t>.</w:t>
      </w:r>
    </w:p>
    <w:p w14:paraId="319E55C9" w14:textId="77777777" w:rsidR="00851A6E" w:rsidRDefault="00000000">
      <w:r>
        <w:pict w14:anchorId="1E8B18CB">
          <v:rect id="_x0000_i1035" style="width:0;height:1.5pt" o:hralign="center" o:hrstd="t" o:hr="t"/>
        </w:pict>
      </w:r>
    </w:p>
    <w:p w14:paraId="224DC57B" w14:textId="77777777" w:rsidR="00851A6E" w:rsidRPr="0047464B" w:rsidRDefault="00000000">
      <w:pPr>
        <w:pStyle w:val="Heading2"/>
        <w:rPr>
          <w:lang w:val="pt-BR"/>
        </w:rPr>
      </w:pPr>
      <w:bookmarkStart w:id="27" w:name="Xd90df677be4034fba0d7f22c7953ee9ff5376bb"/>
      <w:bookmarkEnd w:id="21"/>
      <w:bookmarkEnd w:id="26"/>
      <w:r w:rsidRPr="0047464B">
        <w:rPr>
          <w:lang w:val="pt-BR"/>
        </w:rPr>
        <w:t>Capítulo 10: Rotas de Expansão Estratégica</w:t>
      </w:r>
    </w:p>
    <w:p w14:paraId="1C9DC1C6" w14:textId="77777777" w:rsidR="00851A6E" w:rsidRPr="0047464B" w:rsidRDefault="00000000">
      <w:pPr>
        <w:pStyle w:val="Heading3"/>
        <w:rPr>
          <w:lang w:val="pt-BR"/>
        </w:rPr>
      </w:pPr>
      <w:bookmarkStart w:id="28" w:name="expansão-geográfica-prioritária"/>
      <w:r w:rsidRPr="0047464B">
        <w:rPr>
          <w:lang w:val="pt-BR"/>
        </w:rPr>
        <w:t>10.1 Expansão Geográfica Prioritária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55"/>
        <w:gridCol w:w="1540"/>
        <w:gridCol w:w="2695"/>
        <w:gridCol w:w="3466"/>
      </w:tblGrid>
      <w:tr w:rsidR="00851A6E" w14:paraId="7FAFE4B7" w14:textId="77777777" w:rsidTr="00851A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33" w:type="dxa"/>
          </w:tcPr>
          <w:p w14:paraId="6B1F8458" w14:textId="77777777" w:rsidR="00851A6E" w:rsidRDefault="00000000">
            <w:pPr>
              <w:pStyle w:val="Compact"/>
            </w:pPr>
            <w:r>
              <w:t>Fase</w:t>
            </w:r>
          </w:p>
        </w:tc>
        <w:tc>
          <w:tcPr>
            <w:tcW w:w="1377" w:type="dxa"/>
          </w:tcPr>
          <w:p w14:paraId="332525BF" w14:textId="77777777" w:rsidR="00851A6E" w:rsidRDefault="00000000">
            <w:pPr>
              <w:pStyle w:val="Compact"/>
            </w:pPr>
            <w:r>
              <w:t>Região</w:t>
            </w:r>
          </w:p>
        </w:tc>
        <w:tc>
          <w:tcPr>
            <w:tcW w:w="2410" w:type="dxa"/>
          </w:tcPr>
          <w:p w14:paraId="3325DAF1" w14:textId="77777777" w:rsidR="00851A6E" w:rsidRDefault="00000000">
            <w:pPr>
              <w:pStyle w:val="Compact"/>
            </w:pPr>
            <w:r>
              <w:t>Justificativa</w:t>
            </w:r>
          </w:p>
        </w:tc>
        <w:tc>
          <w:tcPr>
            <w:tcW w:w="3099" w:type="dxa"/>
          </w:tcPr>
          <w:p w14:paraId="4E4D1F20" w14:textId="77777777" w:rsidR="00851A6E" w:rsidRDefault="00000000">
            <w:pPr>
              <w:pStyle w:val="Compact"/>
            </w:pPr>
            <w:r>
              <w:t>Corredores-Chave</w:t>
            </w:r>
          </w:p>
        </w:tc>
      </w:tr>
      <w:tr w:rsidR="00851A6E" w14:paraId="55D67DD9" w14:textId="77777777">
        <w:tc>
          <w:tcPr>
            <w:tcW w:w="1033" w:type="dxa"/>
          </w:tcPr>
          <w:p w14:paraId="19E6355F" w14:textId="77777777" w:rsidR="00851A6E" w:rsidRDefault="00000000">
            <w:pPr>
              <w:pStyle w:val="Compact"/>
            </w:pPr>
            <w:r>
              <w:t>1</w:t>
            </w:r>
          </w:p>
        </w:tc>
        <w:tc>
          <w:tcPr>
            <w:tcW w:w="1377" w:type="dxa"/>
          </w:tcPr>
          <w:p w14:paraId="2F9A3EC7" w14:textId="77777777" w:rsidR="00851A6E" w:rsidRDefault="00000000">
            <w:pPr>
              <w:pStyle w:val="Compact"/>
            </w:pPr>
            <w:r>
              <w:t>Ásia Meridional</w:t>
            </w:r>
          </w:p>
        </w:tc>
        <w:tc>
          <w:tcPr>
            <w:tcW w:w="2410" w:type="dxa"/>
          </w:tcPr>
          <w:p w14:paraId="4B6713C9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Maior volume de remessas globais, alta fricção</w:t>
            </w:r>
          </w:p>
        </w:tc>
        <w:tc>
          <w:tcPr>
            <w:tcW w:w="3099" w:type="dxa"/>
          </w:tcPr>
          <w:p w14:paraId="4C6EE866" w14:textId="77777777" w:rsidR="00851A6E" w:rsidRDefault="00000000">
            <w:pPr>
              <w:pStyle w:val="Compact"/>
            </w:pPr>
            <w:proofErr w:type="spellStart"/>
            <w:r>
              <w:t>Índia</w:t>
            </w:r>
            <w:proofErr w:type="spellEnd"/>
            <w:r>
              <w:t xml:space="preserve">, </w:t>
            </w:r>
            <w:proofErr w:type="spellStart"/>
            <w:r>
              <w:t>Paquistão</w:t>
            </w:r>
            <w:proofErr w:type="spellEnd"/>
            <w:r>
              <w:t>, Bangladesh, Nepal</w:t>
            </w:r>
          </w:p>
        </w:tc>
      </w:tr>
      <w:tr w:rsidR="00851A6E" w14:paraId="25133657" w14:textId="77777777">
        <w:tc>
          <w:tcPr>
            <w:tcW w:w="1033" w:type="dxa"/>
          </w:tcPr>
          <w:p w14:paraId="20A6E425" w14:textId="77777777" w:rsidR="00851A6E" w:rsidRDefault="00000000">
            <w:pPr>
              <w:pStyle w:val="Compact"/>
            </w:pPr>
            <w:r>
              <w:t>2</w:t>
            </w:r>
          </w:p>
        </w:tc>
        <w:tc>
          <w:tcPr>
            <w:tcW w:w="1377" w:type="dxa"/>
          </w:tcPr>
          <w:p w14:paraId="3D8B3203" w14:textId="77777777" w:rsidR="00851A6E" w:rsidRDefault="00000000">
            <w:pPr>
              <w:pStyle w:val="Compact"/>
            </w:pPr>
            <w:r>
              <w:t>Sudeste Asiático</w:t>
            </w:r>
          </w:p>
        </w:tc>
        <w:tc>
          <w:tcPr>
            <w:tcW w:w="2410" w:type="dxa"/>
          </w:tcPr>
          <w:p w14:paraId="200A7D60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Mobile money maduro, alta adoção digital</w:t>
            </w:r>
          </w:p>
        </w:tc>
        <w:tc>
          <w:tcPr>
            <w:tcW w:w="3099" w:type="dxa"/>
          </w:tcPr>
          <w:p w14:paraId="4D788F03" w14:textId="77777777" w:rsidR="00851A6E" w:rsidRDefault="00000000">
            <w:pPr>
              <w:pStyle w:val="Compact"/>
            </w:pPr>
            <w:r>
              <w:t xml:space="preserve">Filipinas, </w:t>
            </w:r>
            <w:proofErr w:type="spellStart"/>
            <w:r>
              <w:t>Indonésia</w:t>
            </w:r>
            <w:proofErr w:type="spellEnd"/>
            <w:r>
              <w:t xml:space="preserve">, </w:t>
            </w:r>
            <w:proofErr w:type="spellStart"/>
            <w:r>
              <w:t>Vietnã</w:t>
            </w:r>
            <w:proofErr w:type="spellEnd"/>
          </w:p>
        </w:tc>
      </w:tr>
      <w:tr w:rsidR="00851A6E" w14:paraId="7009E234" w14:textId="77777777">
        <w:tc>
          <w:tcPr>
            <w:tcW w:w="1033" w:type="dxa"/>
          </w:tcPr>
          <w:p w14:paraId="6D186FAF" w14:textId="77777777" w:rsidR="00851A6E" w:rsidRDefault="00000000">
            <w:pPr>
              <w:pStyle w:val="Compact"/>
            </w:pPr>
            <w:r>
              <w:t>3</w:t>
            </w:r>
          </w:p>
        </w:tc>
        <w:tc>
          <w:tcPr>
            <w:tcW w:w="1377" w:type="dxa"/>
          </w:tcPr>
          <w:p w14:paraId="5D8182BC" w14:textId="77777777" w:rsidR="00851A6E" w:rsidRDefault="00000000">
            <w:pPr>
              <w:pStyle w:val="Compact"/>
            </w:pPr>
            <w:r>
              <w:t xml:space="preserve">América </w:t>
            </w:r>
            <w:r>
              <w:lastRenderedPageBreak/>
              <w:t>Latina</w:t>
            </w:r>
          </w:p>
        </w:tc>
        <w:tc>
          <w:tcPr>
            <w:tcW w:w="2410" w:type="dxa"/>
          </w:tcPr>
          <w:p w14:paraId="4C81515E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lastRenderedPageBreak/>
              <w:t xml:space="preserve">Inflação, dolarização </w:t>
            </w:r>
            <w:r w:rsidRPr="0047464B">
              <w:rPr>
                <w:lang w:val="pt-BR"/>
              </w:rPr>
              <w:lastRenderedPageBreak/>
              <w:t>informal, neobanks emergentes</w:t>
            </w:r>
          </w:p>
        </w:tc>
        <w:tc>
          <w:tcPr>
            <w:tcW w:w="3099" w:type="dxa"/>
          </w:tcPr>
          <w:p w14:paraId="181B72A5" w14:textId="77777777" w:rsidR="00851A6E" w:rsidRDefault="00000000">
            <w:pPr>
              <w:pStyle w:val="Compact"/>
            </w:pPr>
            <w:proofErr w:type="spellStart"/>
            <w:r>
              <w:lastRenderedPageBreak/>
              <w:t>Brasil</w:t>
            </w:r>
            <w:proofErr w:type="spellEnd"/>
            <w:r>
              <w:t xml:space="preserve">, México, </w:t>
            </w:r>
            <w:proofErr w:type="spellStart"/>
            <w:r>
              <w:t>Colômbia</w:t>
            </w:r>
            <w:proofErr w:type="spellEnd"/>
            <w:r>
              <w:t xml:space="preserve">, </w:t>
            </w:r>
            <w:r>
              <w:lastRenderedPageBreak/>
              <w:t>Argentina</w:t>
            </w:r>
          </w:p>
        </w:tc>
      </w:tr>
      <w:tr w:rsidR="00851A6E" w:rsidRPr="0047464B" w14:paraId="26833A00" w14:textId="77777777">
        <w:tc>
          <w:tcPr>
            <w:tcW w:w="1033" w:type="dxa"/>
          </w:tcPr>
          <w:p w14:paraId="4637E2EC" w14:textId="77777777" w:rsidR="00851A6E" w:rsidRDefault="0000000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1377" w:type="dxa"/>
          </w:tcPr>
          <w:p w14:paraId="69093F4A" w14:textId="77777777" w:rsidR="00851A6E" w:rsidRDefault="00000000">
            <w:pPr>
              <w:pStyle w:val="Compact"/>
            </w:pPr>
            <w:r>
              <w:t>África Subsaariana</w:t>
            </w:r>
          </w:p>
        </w:tc>
        <w:tc>
          <w:tcPr>
            <w:tcW w:w="2410" w:type="dxa"/>
          </w:tcPr>
          <w:p w14:paraId="22CDE5A2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Menor competição, maior impacto social</w:t>
            </w:r>
          </w:p>
        </w:tc>
        <w:tc>
          <w:tcPr>
            <w:tcW w:w="3099" w:type="dxa"/>
          </w:tcPr>
          <w:p w14:paraId="4FEF32F8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Nigéria, Quênia, Gana, África do Sul</w:t>
            </w:r>
          </w:p>
        </w:tc>
      </w:tr>
      <w:tr w:rsidR="00851A6E" w14:paraId="4A4B1334" w14:textId="77777777">
        <w:tc>
          <w:tcPr>
            <w:tcW w:w="1033" w:type="dxa"/>
          </w:tcPr>
          <w:p w14:paraId="1354C6AD" w14:textId="77777777" w:rsidR="00851A6E" w:rsidRDefault="00000000">
            <w:pPr>
              <w:pStyle w:val="Compact"/>
            </w:pPr>
            <w:r>
              <w:t>5</w:t>
            </w:r>
          </w:p>
        </w:tc>
        <w:tc>
          <w:tcPr>
            <w:tcW w:w="1377" w:type="dxa"/>
          </w:tcPr>
          <w:p w14:paraId="3656A8ED" w14:textId="77777777" w:rsidR="00851A6E" w:rsidRDefault="00000000">
            <w:pPr>
              <w:pStyle w:val="Compact"/>
            </w:pPr>
            <w:r>
              <w:t>MENA</w:t>
            </w:r>
          </w:p>
        </w:tc>
        <w:tc>
          <w:tcPr>
            <w:tcW w:w="2410" w:type="dxa"/>
          </w:tcPr>
          <w:p w14:paraId="359B49EA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Alto poder aquisitivo expatriado, VASPs maduras</w:t>
            </w:r>
          </w:p>
        </w:tc>
        <w:tc>
          <w:tcPr>
            <w:tcW w:w="3099" w:type="dxa"/>
          </w:tcPr>
          <w:p w14:paraId="216F6A3B" w14:textId="77777777" w:rsidR="00851A6E" w:rsidRDefault="00000000">
            <w:pPr>
              <w:pStyle w:val="Compact"/>
            </w:pPr>
            <w:proofErr w:type="spellStart"/>
            <w:r>
              <w:t>Emirados</w:t>
            </w:r>
            <w:proofErr w:type="spellEnd"/>
            <w:r>
              <w:t xml:space="preserve">, </w:t>
            </w:r>
            <w:proofErr w:type="spellStart"/>
            <w:r>
              <w:t>Arábia</w:t>
            </w:r>
            <w:proofErr w:type="spellEnd"/>
            <w:r>
              <w:t xml:space="preserve"> </w:t>
            </w:r>
            <w:proofErr w:type="spellStart"/>
            <w:r>
              <w:t>Saudita</w:t>
            </w:r>
            <w:proofErr w:type="spellEnd"/>
            <w:r>
              <w:t xml:space="preserve">, </w:t>
            </w:r>
            <w:proofErr w:type="spellStart"/>
            <w:r>
              <w:t>Egito</w:t>
            </w:r>
            <w:proofErr w:type="spellEnd"/>
          </w:p>
        </w:tc>
      </w:tr>
    </w:tbl>
    <w:p w14:paraId="3D2C8D74" w14:textId="77777777" w:rsidR="00851A6E" w:rsidRDefault="00000000">
      <w:pPr>
        <w:pStyle w:val="Heading3"/>
      </w:pPr>
      <w:bookmarkStart w:id="29" w:name="parcerias-estratégicas-alvo"/>
      <w:bookmarkEnd w:id="28"/>
      <w:r>
        <w:t>10.2 Parcerias Estratégicas-Alvo</w:t>
      </w:r>
    </w:p>
    <w:p w14:paraId="713B73A1" w14:textId="77777777" w:rsidR="00851A6E" w:rsidRPr="0047464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47464B">
        <w:rPr>
          <w:b/>
          <w:bCs/>
          <w:lang w:val="pt-BR"/>
        </w:rPr>
        <w:t>Rain / Reap:</w:t>
      </w:r>
      <w:r w:rsidRPr="0047464B">
        <w:rPr>
          <w:lang w:val="pt-BR"/>
        </w:rPr>
        <w:t xml:space="preserve"> Integração de emissão de cartões full-stack;</w:t>
      </w:r>
    </w:p>
    <w:p w14:paraId="10CFD530" w14:textId="77777777" w:rsidR="00851A6E" w:rsidRPr="0047464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47464B">
        <w:rPr>
          <w:b/>
          <w:bCs/>
          <w:lang w:val="pt-BR"/>
        </w:rPr>
        <w:t>Circle / Tether:</w:t>
      </w:r>
      <w:r w:rsidRPr="0047464B">
        <w:rPr>
          <w:lang w:val="pt-BR"/>
        </w:rPr>
        <w:t xml:space="preserve"> Acesso a liquidez institucional e programas de incentivo;</w:t>
      </w:r>
    </w:p>
    <w:p w14:paraId="103242EB" w14:textId="77777777" w:rsidR="00851A6E" w:rsidRPr="0047464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47464B">
        <w:rPr>
          <w:b/>
          <w:bCs/>
          <w:lang w:val="pt-BR"/>
        </w:rPr>
        <w:t>VASPs locais:</w:t>
      </w:r>
      <w:r w:rsidRPr="0047464B">
        <w:rPr>
          <w:lang w:val="pt-BR"/>
        </w:rPr>
        <w:t xml:space="preserve"> Licenciamento em cada país (modelo plug-and-play);</w:t>
      </w:r>
    </w:p>
    <w:p w14:paraId="733DF8DA" w14:textId="77777777" w:rsidR="00851A6E" w:rsidRPr="0047464B" w:rsidRDefault="00000000">
      <w:pPr>
        <w:pStyle w:val="Compact"/>
        <w:numPr>
          <w:ilvl w:val="0"/>
          <w:numId w:val="15"/>
        </w:numPr>
        <w:rPr>
          <w:lang w:val="pt-BR"/>
        </w:rPr>
      </w:pPr>
      <w:r w:rsidRPr="0047464B">
        <w:rPr>
          <w:b/>
          <w:bCs/>
          <w:lang w:val="pt-BR"/>
        </w:rPr>
        <w:t>Plataformas de RH:</w:t>
      </w:r>
      <w:r w:rsidRPr="0047464B">
        <w:rPr>
          <w:lang w:val="pt-BR"/>
        </w:rPr>
        <w:t xml:space="preserve"> Deel, Remote, Gusto (integração API);</w:t>
      </w:r>
    </w:p>
    <w:p w14:paraId="2B80A7FA" w14:textId="77777777" w:rsidR="00851A6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E-commerce:</w:t>
      </w:r>
      <w:r>
        <w:t xml:space="preserve"> Shopify, WooCommerce, Mercado Livre.</w:t>
      </w:r>
    </w:p>
    <w:p w14:paraId="01B8E124" w14:textId="77777777" w:rsidR="00851A6E" w:rsidRDefault="00000000">
      <w:r>
        <w:pict w14:anchorId="5942EF7F">
          <v:rect id="_x0000_i1036" style="width:0;height:1.5pt" o:hralign="center" o:hrstd="t" o:hr="t"/>
        </w:pict>
      </w:r>
    </w:p>
    <w:p w14:paraId="2CA1C1D9" w14:textId="77777777" w:rsidR="00851A6E" w:rsidRPr="0047464B" w:rsidRDefault="00000000">
      <w:pPr>
        <w:pStyle w:val="Heading1"/>
        <w:rPr>
          <w:lang w:val="pt-BR"/>
        </w:rPr>
      </w:pPr>
      <w:bookmarkStart w:id="30" w:name="X9a596f85208ad1bc7bc0ab757255a5cc382e3db"/>
      <w:bookmarkEnd w:id="16"/>
      <w:bookmarkEnd w:id="27"/>
      <w:bookmarkEnd w:id="29"/>
      <w:r w:rsidRPr="0047464B">
        <w:rPr>
          <w:lang w:val="pt-BR"/>
        </w:rPr>
        <w:t>PARTE IV: RISCOS, MITIGAÇÕES E VISÃO DE LONGO PRAZO</w:t>
      </w:r>
    </w:p>
    <w:p w14:paraId="54967C46" w14:textId="77777777" w:rsidR="00851A6E" w:rsidRDefault="00000000">
      <w:pPr>
        <w:pStyle w:val="Heading2"/>
      </w:pPr>
      <w:bookmarkStart w:id="31" w:name="capítulo-11-riscos-e-mitigações"/>
      <w:proofErr w:type="spellStart"/>
      <w:r>
        <w:t>Capítulo</w:t>
      </w:r>
      <w:proofErr w:type="spellEnd"/>
      <w:r>
        <w:t xml:space="preserve"> 11: </w:t>
      </w:r>
      <w:proofErr w:type="spellStart"/>
      <w:r>
        <w:t>Riscos</w:t>
      </w:r>
      <w:proofErr w:type="spellEnd"/>
      <w:r>
        <w:t xml:space="preserve"> e Mitigações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2018"/>
        <w:gridCol w:w="1944"/>
        <w:gridCol w:w="2376"/>
      </w:tblGrid>
      <w:tr w:rsidR="00851A6E" w14:paraId="207E00A5" w14:textId="77777777" w:rsidTr="00F93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2C2A5D20" w14:textId="77777777" w:rsidR="00851A6E" w:rsidRDefault="00000000">
            <w:pPr>
              <w:pStyle w:val="Compact"/>
            </w:pPr>
            <w:r>
              <w:t>Risco</w:t>
            </w:r>
          </w:p>
        </w:tc>
        <w:tc>
          <w:tcPr>
            <w:tcW w:w="2018" w:type="dxa"/>
          </w:tcPr>
          <w:p w14:paraId="70436A57" w14:textId="77777777" w:rsidR="00851A6E" w:rsidRDefault="00000000">
            <w:pPr>
              <w:pStyle w:val="Compact"/>
            </w:pPr>
            <w:r>
              <w:t>Probabilidade</w:t>
            </w:r>
          </w:p>
        </w:tc>
        <w:tc>
          <w:tcPr>
            <w:tcW w:w="1944" w:type="dxa"/>
          </w:tcPr>
          <w:p w14:paraId="65538403" w14:textId="77777777" w:rsidR="00851A6E" w:rsidRDefault="00000000">
            <w:pPr>
              <w:pStyle w:val="Compact"/>
            </w:pPr>
            <w:r>
              <w:t>Impacto</w:t>
            </w:r>
          </w:p>
        </w:tc>
        <w:tc>
          <w:tcPr>
            <w:tcW w:w="2376" w:type="dxa"/>
          </w:tcPr>
          <w:p w14:paraId="4FFC6365" w14:textId="77777777" w:rsidR="00851A6E" w:rsidRDefault="00000000">
            <w:pPr>
              <w:pStyle w:val="Compact"/>
            </w:pPr>
            <w:r>
              <w:t>Mitigação</w:t>
            </w:r>
          </w:p>
        </w:tc>
      </w:tr>
      <w:tr w:rsidR="00851A6E" w:rsidRPr="0047464B" w14:paraId="7D260689" w14:textId="77777777" w:rsidTr="00F93A26">
        <w:tc>
          <w:tcPr>
            <w:tcW w:w="2518" w:type="dxa"/>
          </w:tcPr>
          <w:p w14:paraId="1CEB8373" w14:textId="77777777" w:rsidR="00851A6E" w:rsidRDefault="00000000">
            <w:pPr>
              <w:pStyle w:val="Compact"/>
            </w:pPr>
            <w:r>
              <w:t>Regulatório (banimento de stablecoins)</w:t>
            </w:r>
          </w:p>
        </w:tc>
        <w:tc>
          <w:tcPr>
            <w:tcW w:w="2018" w:type="dxa"/>
          </w:tcPr>
          <w:p w14:paraId="121E8D86" w14:textId="77777777" w:rsidR="00851A6E" w:rsidRDefault="00000000">
            <w:pPr>
              <w:pStyle w:val="Compact"/>
            </w:pPr>
            <w:r>
              <w:t>Média</w:t>
            </w:r>
          </w:p>
        </w:tc>
        <w:tc>
          <w:tcPr>
            <w:tcW w:w="1944" w:type="dxa"/>
          </w:tcPr>
          <w:p w14:paraId="392810BE" w14:textId="77777777" w:rsidR="00851A6E" w:rsidRDefault="00000000">
            <w:pPr>
              <w:pStyle w:val="Compact"/>
            </w:pPr>
            <w:r>
              <w:t>Alto</w:t>
            </w:r>
          </w:p>
        </w:tc>
        <w:tc>
          <w:tcPr>
            <w:tcW w:w="2376" w:type="dxa"/>
          </w:tcPr>
          <w:p w14:paraId="5117124D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Agnosticidade a VASPs; diversificação geográfica; compliance by design</w:t>
            </w:r>
          </w:p>
        </w:tc>
      </w:tr>
      <w:tr w:rsidR="00851A6E" w:rsidRPr="0047464B" w14:paraId="5B501DC4" w14:textId="77777777" w:rsidTr="00F93A26">
        <w:tc>
          <w:tcPr>
            <w:tcW w:w="2518" w:type="dxa"/>
          </w:tcPr>
          <w:p w14:paraId="36D5AB8F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 xml:space="preserve">Concorrência de gigantes (Stripe, </w:t>
            </w:r>
            <w:r w:rsidRPr="0047464B">
              <w:rPr>
                <w:lang w:val="pt-BR"/>
              </w:rPr>
              <w:lastRenderedPageBreak/>
              <w:t>Mastercard)</w:t>
            </w:r>
          </w:p>
        </w:tc>
        <w:tc>
          <w:tcPr>
            <w:tcW w:w="2018" w:type="dxa"/>
          </w:tcPr>
          <w:p w14:paraId="3E23551B" w14:textId="77777777" w:rsidR="00851A6E" w:rsidRDefault="00000000">
            <w:pPr>
              <w:pStyle w:val="Compact"/>
            </w:pPr>
            <w:r>
              <w:lastRenderedPageBreak/>
              <w:t>Alta</w:t>
            </w:r>
          </w:p>
        </w:tc>
        <w:tc>
          <w:tcPr>
            <w:tcW w:w="1944" w:type="dxa"/>
          </w:tcPr>
          <w:p w14:paraId="6C84C393" w14:textId="77777777" w:rsidR="00851A6E" w:rsidRDefault="00000000">
            <w:pPr>
              <w:pStyle w:val="Compact"/>
            </w:pPr>
            <w:r>
              <w:t>Médio</w:t>
            </w:r>
          </w:p>
        </w:tc>
        <w:tc>
          <w:tcPr>
            <w:tcW w:w="2376" w:type="dxa"/>
          </w:tcPr>
          <w:p w14:paraId="3C4FC548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 xml:space="preserve">Foco em nichos (remessas P2P, </w:t>
            </w:r>
            <w:r w:rsidRPr="0047464B">
              <w:rPr>
                <w:lang w:val="pt-BR"/>
              </w:rPr>
              <w:lastRenderedPageBreak/>
              <w:t>mercados emergentes); velocidade de execução</w:t>
            </w:r>
          </w:p>
        </w:tc>
      </w:tr>
      <w:tr w:rsidR="00851A6E" w:rsidRPr="0047464B" w14:paraId="66054428" w14:textId="77777777" w:rsidTr="00F93A26">
        <w:tc>
          <w:tcPr>
            <w:tcW w:w="2518" w:type="dxa"/>
          </w:tcPr>
          <w:p w14:paraId="2B92D467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lastRenderedPageBreak/>
              <w:t>Risco de liquidez (falta de LPs em corredor)</w:t>
            </w:r>
          </w:p>
        </w:tc>
        <w:tc>
          <w:tcPr>
            <w:tcW w:w="2018" w:type="dxa"/>
          </w:tcPr>
          <w:p w14:paraId="3AEB31FC" w14:textId="77777777" w:rsidR="00851A6E" w:rsidRDefault="00000000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  <w:tc>
          <w:tcPr>
            <w:tcW w:w="1944" w:type="dxa"/>
          </w:tcPr>
          <w:p w14:paraId="6BE95DB8" w14:textId="77777777" w:rsidR="00851A6E" w:rsidRDefault="00000000">
            <w:pPr>
              <w:pStyle w:val="Compact"/>
            </w:pPr>
            <w:r>
              <w:t>Médio</w:t>
            </w:r>
          </w:p>
        </w:tc>
        <w:tc>
          <w:tcPr>
            <w:tcW w:w="2376" w:type="dxa"/>
          </w:tcPr>
          <w:p w14:paraId="72BD5F7D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Incentivos de yield; pools de liquidez institucional; prefunding dinâmico</w:t>
            </w:r>
          </w:p>
        </w:tc>
      </w:tr>
      <w:tr w:rsidR="00851A6E" w14:paraId="0A1B46AC" w14:textId="77777777" w:rsidTr="00F93A26">
        <w:tc>
          <w:tcPr>
            <w:tcW w:w="2518" w:type="dxa"/>
          </w:tcPr>
          <w:p w14:paraId="73149536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Risco tecnológico (falha de smart contract)</w:t>
            </w:r>
          </w:p>
        </w:tc>
        <w:tc>
          <w:tcPr>
            <w:tcW w:w="2018" w:type="dxa"/>
          </w:tcPr>
          <w:p w14:paraId="77AD1AEC" w14:textId="77777777" w:rsidR="00851A6E" w:rsidRDefault="00000000">
            <w:pPr>
              <w:pStyle w:val="Compact"/>
            </w:pPr>
            <w:r>
              <w:t>Baixa</w:t>
            </w:r>
          </w:p>
        </w:tc>
        <w:tc>
          <w:tcPr>
            <w:tcW w:w="1944" w:type="dxa"/>
          </w:tcPr>
          <w:p w14:paraId="46EEB590" w14:textId="77777777" w:rsidR="00851A6E" w:rsidRDefault="00000000">
            <w:pPr>
              <w:pStyle w:val="Compact"/>
            </w:pPr>
            <w:r>
              <w:t>Alto</w:t>
            </w:r>
          </w:p>
        </w:tc>
        <w:tc>
          <w:tcPr>
            <w:tcW w:w="2376" w:type="dxa"/>
          </w:tcPr>
          <w:p w14:paraId="4EB82975" w14:textId="77777777" w:rsidR="00851A6E" w:rsidRDefault="00000000">
            <w:pPr>
              <w:pStyle w:val="Compact"/>
            </w:pPr>
            <w:r>
              <w:t>Auditorias externas (CertiK, OpenZeppelin); bug bounties; seguros on-chain (Nexus Mutual)</w:t>
            </w:r>
          </w:p>
        </w:tc>
      </w:tr>
      <w:tr w:rsidR="00851A6E" w:rsidRPr="0047464B" w14:paraId="0B3C2731" w14:textId="77777777" w:rsidTr="00F93A26">
        <w:tc>
          <w:tcPr>
            <w:tcW w:w="2518" w:type="dxa"/>
          </w:tcPr>
          <w:p w14:paraId="5372EDCE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Risco de reputação (uso ilícito)</w:t>
            </w:r>
          </w:p>
        </w:tc>
        <w:tc>
          <w:tcPr>
            <w:tcW w:w="2018" w:type="dxa"/>
          </w:tcPr>
          <w:p w14:paraId="7B19CFF3" w14:textId="77777777" w:rsidR="00851A6E" w:rsidRDefault="00000000">
            <w:pPr>
              <w:pStyle w:val="Compact"/>
            </w:pPr>
            <w:proofErr w:type="spellStart"/>
            <w:r>
              <w:t>Média</w:t>
            </w:r>
            <w:proofErr w:type="spellEnd"/>
          </w:p>
        </w:tc>
        <w:tc>
          <w:tcPr>
            <w:tcW w:w="1944" w:type="dxa"/>
          </w:tcPr>
          <w:p w14:paraId="284B8E7F" w14:textId="77777777" w:rsidR="00851A6E" w:rsidRDefault="00000000">
            <w:pPr>
              <w:pStyle w:val="Compact"/>
            </w:pPr>
            <w:r>
              <w:t>Alto</w:t>
            </w:r>
          </w:p>
        </w:tc>
        <w:tc>
          <w:tcPr>
            <w:tcW w:w="2376" w:type="dxa"/>
          </w:tcPr>
          <w:p w14:paraId="75A6634B" w14:textId="77777777" w:rsidR="00851A6E" w:rsidRPr="0047464B" w:rsidRDefault="00000000">
            <w:pPr>
              <w:pStyle w:val="Compact"/>
              <w:rPr>
                <w:lang w:val="pt-BR"/>
              </w:rPr>
            </w:pPr>
            <w:r w:rsidRPr="0047464B">
              <w:rPr>
                <w:lang w:val="pt-BR"/>
              </w:rPr>
              <w:t>KYC/AML via IA; score de risco por transação; parceria com Chainalysis</w:t>
            </w:r>
          </w:p>
        </w:tc>
      </w:tr>
    </w:tbl>
    <w:p w14:paraId="1DB8287E" w14:textId="77777777" w:rsidR="00851A6E" w:rsidRDefault="00000000">
      <w:r>
        <w:pict w14:anchorId="77EACD79">
          <v:rect id="_x0000_i1060" style="width:0;height:1.5pt" o:hralign="center" o:bullet="t" o:hrstd="t" o:hr="t"/>
        </w:pict>
      </w:r>
    </w:p>
    <w:p w14:paraId="5EE24603" w14:textId="77777777" w:rsidR="00917435" w:rsidRPr="00917435" w:rsidRDefault="00917435" w:rsidP="00917435">
      <w:pPr>
        <w:rPr>
          <w:lang w:val="pt-BR"/>
        </w:rPr>
      </w:pPr>
      <w:r w:rsidRPr="00917435">
        <w:rPr>
          <w:lang w:val="pt-BR"/>
        </w:rPr>
        <w:t>No contexto de gestão de riscos e tecnologia, esses termos significam que o projeto não está "preso" a um único caminho e que a segurança jurídica já nasce dentro do código.</w:t>
      </w:r>
    </w:p>
    <w:p w14:paraId="29A4D4EE" w14:textId="77777777" w:rsidR="00917435" w:rsidRPr="00917435" w:rsidRDefault="00917435" w:rsidP="00917435">
      <w:pPr>
        <w:rPr>
          <w:lang w:val="pt-BR"/>
        </w:rPr>
      </w:pPr>
      <w:r w:rsidRPr="00917435">
        <w:rPr>
          <w:lang w:val="pt-BR"/>
        </w:rPr>
        <w:t>Em outras palavras, aqui está o que cada ponto quer dizer:</w:t>
      </w:r>
    </w:p>
    <w:p w14:paraId="33898142" w14:textId="77777777" w:rsidR="00917435" w:rsidRPr="00917435" w:rsidRDefault="00917435" w:rsidP="00917435">
      <w:pPr>
        <w:rPr>
          <w:b/>
          <w:bCs/>
          <w:lang w:val="pt-BR"/>
        </w:rPr>
      </w:pPr>
      <w:r w:rsidRPr="00917435">
        <w:rPr>
          <w:b/>
          <w:bCs/>
          <w:lang w:val="pt-BR"/>
        </w:rPr>
        <w:t>1. Agnosticidade a VASPs</w:t>
      </w:r>
    </w:p>
    <w:p w14:paraId="3D308FCD" w14:textId="77777777" w:rsidR="00917435" w:rsidRPr="00917435" w:rsidRDefault="00917435" w:rsidP="00917435">
      <w:pPr>
        <w:rPr>
          <w:lang w:val="pt-BR"/>
        </w:rPr>
      </w:pPr>
      <w:r w:rsidRPr="00917435">
        <w:rPr>
          <w:b/>
          <w:bCs/>
          <w:lang w:val="pt-BR"/>
        </w:rPr>
        <w:t>Tradução:</w:t>
      </w:r>
      <w:r w:rsidRPr="00917435">
        <w:rPr>
          <w:lang w:val="pt-BR"/>
        </w:rPr>
        <w:t xml:space="preserve"> "Não dependemos de uma única corretora ou plataforma."</w:t>
      </w:r>
    </w:p>
    <w:p w14:paraId="0B09889D" w14:textId="77777777" w:rsidR="00917435" w:rsidRPr="00917435" w:rsidRDefault="00917435" w:rsidP="00917435">
      <w:pPr>
        <w:numPr>
          <w:ilvl w:val="0"/>
          <w:numId w:val="16"/>
        </w:numPr>
        <w:rPr>
          <w:lang w:val="pt-BR"/>
        </w:rPr>
      </w:pPr>
      <w:r w:rsidRPr="00917435">
        <w:rPr>
          <w:b/>
          <w:bCs/>
          <w:lang w:val="pt-BR"/>
        </w:rPr>
        <w:t>VASP</w:t>
      </w:r>
      <w:r w:rsidRPr="00917435">
        <w:rPr>
          <w:lang w:val="pt-BR"/>
        </w:rPr>
        <w:t xml:space="preserve"> significa </w:t>
      </w:r>
      <w:r w:rsidRPr="00917435">
        <w:rPr>
          <w:i/>
          <w:iCs/>
          <w:lang w:val="pt-BR"/>
        </w:rPr>
        <w:t>Virtual Asset Service Provider</w:t>
      </w:r>
      <w:r w:rsidRPr="00917435">
        <w:rPr>
          <w:lang w:val="pt-BR"/>
        </w:rPr>
        <w:t xml:space="preserve"> (Provedores de Serviços de Ativos Virtuais), como a Binance, Coinbase ou Mercado Bitcoin.</w:t>
      </w:r>
    </w:p>
    <w:p w14:paraId="07CA9A0C" w14:textId="77777777" w:rsidR="00917435" w:rsidRPr="00917435" w:rsidRDefault="00917435" w:rsidP="00917435">
      <w:pPr>
        <w:numPr>
          <w:ilvl w:val="0"/>
          <w:numId w:val="16"/>
        </w:numPr>
        <w:rPr>
          <w:lang w:val="pt-BR"/>
        </w:rPr>
      </w:pPr>
      <w:r w:rsidRPr="00917435">
        <w:rPr>
          <w:b/>
          <w:bCs/>
          <w:lang w:val="pt-BR"/>
        </w:rPr>
        <w:lastRenderedPageBreak/>
        <w:t>O que significa na prática:</w:t>
      </w:r>
      <w:r w:rsidRPr="00917435">
        <w:rPr>
          <w:lang w:val="pt-BR"/>
        </w:rPr>
        <w:t xml:space="preserve"> Se o governo banir ou congelar as operações de uma corretora específica, o seu projeto continua funcionando. Ele foi desenhado para ser compatível com qualquer "ponte" entre o mundo real e o cripto, permitindo que você mude de parceiro rapidamente sem precisar reconstruir o sistema.</w:t>
      </w:r>
    </w:p>
    <w:p w14:paraId="02847BE1" w14:textId="77777777" w:rsidR="00917435" w:rsidRPr="00917435" w:rsidRDefault="00917435" w:rsidP="00917435">
      <w:pPr>
        <w:rPr>
          <w:b/>
          <w:bCs/>
          <w:lang w:val="pt-BR"/>
        </w:rPr>
      </w:pPr>
      <w:r w:rsidRPr="00917435">
        <w:rPr>
          <w:b/>
          <w:bCs/>
          <w:lang w:val="pt-BR"/>
        </w:rPr>
        <w:t>2. Diversificação Geográfica</w:t>
      </w:r>
    </w:p>
    <w:p w14:paraId="2F911F16" w14:textId="77777777" w:rsidR="00917435" w:rsidRPr="00917435" w:rsidRDefault="00917435" w:rsidP="00917435">
      <w:pPr>
        <w:rPr>
          <w:lang w:val="pt-BR"/>
        </w:rPr>
      </w:pPr>
      <w:r w:rsidRPr="00917435">
        <w:rPr>
          <w:b/>
          <w:bCs/>
          <w:lang w:val="pt-BR"/>
        </w:rPr>
        <w:t>Tradução:</w:t>
      </w:r>
      <w:r w:rsidRPr="00917435">
        <w:rPr>
          <w:lang w:val="pt-BR"/>
        </w:rPr>
        <w:t xml:space="preserve"> "Não colocar todos os ovos na mesma cesta (ou país)."</w:t>
      </w:r>
    </w:p>
    <w:p w14:paraId="6D62593F" w14:textId="77777777" w:rsidR="00917435" w:rsidRPr="00917435" w:rsidRDefault="00917435" w:rsidP="00917435">
      <w:pPr>
        <w:numPr>
          <w:ilvl w:val="0"/>
          <w:numId w:val="17"/>
        </w:numPr>
        <w:rPr>
          <w:lang w:val="pt-BR"/>
        </w:rPr>
      </w:pPr>
      <w:r w:rsidRPr="00917435">
        <w:rPr>
          <w:b/>
          <w:bCs/>
          <w:lang w:val="pt-BR"/>
        </w:rPr>
        <w:t>O que significa na prática:</w:t>
      </w:r>
      <w:r w:rsidRPr="00917435">
        <w:rPr>
          <w:lang w:val="pt-BR"/>
        </w:rPr>
        <w:t xml:space="preserve"> Se o Brasil banir as stablecoins, mas a empresa operar também na Suíça, Estônia ou Ilhas Cayman, o negócio sobrevive. Significa ter infraestrutura, licenças e operações distribuídas em diferentes jurisdições para que uma canetada de um único governo não destrua a operação global.</w:t>
      </w:r>
    </w:p>
    <w:p w14:paraId="7106B6F3" w14:textId="77777777" w:rsidR="00917435" w:rsidRPr="00917435" w:rsidRDefault="00917435" w:rsidP="00917435">
      <w:pPr>
        <w:rPr>
          <w:b/>
          <w:bCs/>
          <w:lang w:val="pt-BR"/>
        </w:rPr>
      </w:pPr>
      <w:r w:rsidRPr="00917435">
        <w:rPr>
          <w:b/>
          <w:bCs/>
          <w:lang w:val="pt-BR"/>
        </w:rPr>
        <w:t>3. Compliance by Design</w:t>
      </w:r>
    </w:p>
    <w:p w14:paraId="29A58C3A" w14:textId="77777777" w:rsidR="00917435" w:rsidRPr="00917435" w:rsidRDefault="00917435" w:rsidP="00917435">
      <w:pPr>
        <w:rPr>
          <w:lang w:val="pt-BR"/>
        </w:rPr>
      </w:pPr>
      <w:r w:rsidRPr="00917435">
        <w:rPr>
          <w:b/>
          <w:bCs/>
          <w:lang w:val="pt-BR"/>
        </w:rPr>
        <w:t>Tradução:</w:t>
      </w:r>
      <w:r w:rsidRPr="00917435">
        <w:rPr>
          <w:lang w:val="pt-BR"/>
        </w:rPr>
        <w:t xml:space="preserve"> "A regra já nasce dentro da tecnologia."</w:t>
      </w:r>
    </w:p>
    <w:p w14:paraId="4F0161F7" w14:textId="77777777" w:rsidR="00917435" w:rsidRPr="00917435" w:rsidRDefault="00917435" w:rsidP="00917435">
      <w:pPr>
        <w:numPr>
          <w:ilvl w:val="0"/>
          <w:numId w:val="18"/>
        </w:numPr>
        <w:rPr>
          <w:lang w:val="pt-BR"/>
        </w:rPr>
      </w:pPr>
      <w:r w:rsidRPr="00917435">
        <w:rPr>
          <w:b/>
          <w:bCs/>
          <w:lang w:val="pt-BR"/>
        </w:rPr>
        <w:t>O que significa na prática:</w:t>
      </w:r>
      <w:r w:rsidRPr="00917435">
        <w:rPr>
          <w:lang w:val="pt-BR"/>
        </w:rPr>
        <w:t xml:space="preserve"> Em vez de criar um produto e depois contratar advogados para ver como "dar um jeito" de seguir a lei, as regras de conformidade (</w:t>
      </w:r>
      <w:r w:rsidRPr="00917435">
        <w:rPr>
          <w:i/>
          <w:iCs/>
          <w:lang w:val="pt-BR"/>
        </w:rPr>
        <w:t>compliance</w:t>
      </w:r>
      <w:r w:rsidRPr="00917435">
        <w:rPr>
          <w:lang w:val="pt-BR"/>
        </w:rPr>
        <w:t>) são integradas diretamente no desenvolvimento do software.</w:t>
      </w:r>
    </w:p>
    <w:p w14:paraId="031812DB" w14:textId="77777777" w:rsidR="00917435" w:rsidRPr="00917435" w:rsidRDefault="00917435" w:rsidP="00917435">
      <w:pPr>
        <w:numPr>
          <w:ilvl w:val="0"/>
          <w:numId w:val="18"/>
        </w:numPr>
        <w:rPr>
          <w:lang w:val="en-IE"/>
        </w:rPr>
      </w:pPr>
      <w:r w:rsidRPr="00917435">
        <w:rPr>
          <w:b/>
          <w:bCs/>
          <w:lang w:val="pt-BR"/>
        </w:rPr>
        <w:t>Exemplo:</w:t>
      </w:r>
      <w:r w:rsidRPr="00917435">
        <w:rPr>
          <w:lang w:val="pt-BR"/>
        </w:rPr>
        <w:t xml:space="preserve"> O sistema pode ser programado para bloquear automaticamente transações de países em listas de sanções ou exigir KYC (verificação de identidade) antes mesmo de permitir o primeiro clique do usuário. </w:t>
      </w:r>
      <w:r w:rsidRPr="00917435">
        <w:rPr>
          <w:lang w:val="en-IE"/>
        </w:rPr>
        <w:t xml:space="preserve">É a </w:t>
      </w:r>
      <w:proofErr w:type="spellStart"/>
      <w:r w:rsidRPr="00917435">
        <w:rPr>
          <w:lang w:val="en-IE"/>
        </w:rPr>
        <w:t>segurança</w:t>
      </w:r>
      <w:proofErr w:type="spellEnd"/>
      <w:r w:rsidRPr="00917435">
        <w:rPr>
          <w:lang w:val="en-IE"/>
        </w:rPr>
        <w:t xml:space="preserve"> </w:t>
      </w:r>
      <w:proofErr w:type="spellStart"/>
      <w:r w:rsidRPr="00917435">
        <w:rPr>
          <w:lang w:val="en-IE"/>
        </w:rPr>
        <w:t>jurídica</w:t>
      </w:r>
      <w:proofErr w:type="spellEnd"/>
      <w:r w:rsidRPr="00917435">
        <w:rPr>
          <w:lang w:val="en-IE"/>
        </w:rPr>
        <w:t xml:space="preserve"> </w:t>
      </w:r>
      <w:proofErr w:type="spellStart"/>
      <w:r w:rsidRPr="00917435">
        <w:rPr>
          <w:lang w:val="en-IE"/>
        </w:rPr>
        <w:t>automatizada</w:t>
      </w:r>
      <w:proofErr w:type="spellEnd"/>
      <w:r w:rsidRPr="00917435">
        <w:rPr>
          <w:lang w:val="en-IE"/>
        </w:rPr>
        <w:t>.</w:t>
      </w:r>
    </w:p>
    <w:p w14:paraId="4D981208" w14:textId="77777777" w:rsidR="00917435" w:rsidRPr="00917435" w:rsidRDefault="00917435" w:rsidP="00917435">
      <w:pPr>
        <w:rPr>
          <w:lang w:val="en-IE"/>
        </w:rPr>
      </w:pPr>
      <w:r w:rsidRPr="00917435">
        <w:rPr>
          <w:lang w:val="en-IE"/>
        </w:rPr>
        <w:pict w14:anchorId="2303ABCB">
          <v:rect id="_x0000_i1067" style="width:0;height:1.5pt" o:hralign="center" o:hrstd="t" o:hr="t" fillcolor="#a0a0a0" stroked="f"/>
        </w:pict>
      </w:r>
    </w:p>
    <w:p w14:paraId="5DF898C5" w14:textId="77777777" w:rsidR="00917435" w:rsidRPr="00917435" w:rsidRDefault="00917435" w:rsidP="00917435">
      <w:pPr>
        <w:rPr>
          <w:lang w:val="pt-BR"/>
        </w:rPr>
      </w:pPr>
      <w:r w:rsidRPr="00917435">
        <w:rPr>
          <w:b/>
          <w:bCs/>
          <w:lang w:val="pt-BR"/>
        </w:rPr>
        <w:t>Resumo da ópera:</w:t>
      </w:r>
      <w:r w:rsidRPr="00917435">
        <w:rPr>
          <w:lang w:val="pt-BR"/>
        </w:rPr>
        <w:t xml:space="preserve"> A estratégia de mitigação diz que, se o cenário regulatório ficar feio, o projeto é </w:t>
      </w:r>
      <w:r w:rsidRPr="00917435">
        <w:rPr>
          <w:b/>
          <w:bCs/>
          <w:lang w:val="pt-BR"/>
        </w:rPr>
        <w:t>flexível</w:t>
      </w:r>
      <w:r w:rsidRPr="00917435">
        <w:rPr>
          <w:lang w:val="pt-BR"/>
        </w:rPr>
        <w:t xml:space="preserve"> para mudar de parceiro, está </w:t>
      </w:r>
      <w:r w:rsidRPr="00917435">
        <w:rPr>
          <w:b/>
          <w:bCs/>
          <w:lang w:val="pt-BR"/>
        </w:rPr>
        <w:t>espalhado</w:t>
      </w:r>
      <w:r w:rsidRPr="00917435">
        <w:rPr>
          <w:lang w:val="pt-BR"/>
        </w:rPr>
        <w:t xml:space="preserve"> pelo mundo para não ser derrubado de uma vez e é </w:t>
      </w:r>
      <w:r w:rsidRPr="00917435">
        <w:rPr>
          <w:b/>
          <w:bCs/>
          <w:lang w:val="pt-BR"/>
        </w:rPr>
        <w:t>inteligente</w:t>
      </w:r>
      <w:r w:rsidRPr="00917435">
        <w:rPr>
          <w:lang w:val="pt-BR"/>
        </w:rPr>
        <w:t xml:space="preserve"> o suficiente para seguir as regras automaticamente.</w:t>
      </w:r>
    </w:p>
    <w:p w14:paraId="7067FCBD" w14:textId="77777777" w:rsidR="00917435" w:rsidRDefault="00917435">
      <w:pPr>
        <w:rPr>
          <w:lang w:val="pt-BR"/>
        </w:rPr>
      </w:pPr>
    </w:p>
    <w:p w14:paraId="3FDD7123" w14:textId="77777777" w:rsidR="00917435" w:rsidRPr="00917435" w:rsidRDefault="00917435">
      <w:pPr>
        <w:rPr>
          <w:lang w:val="pt-BR"/>
        </w:rPr>
      </w:pPr>
    </w:p>
    <w:p w14:paraId="3CF62B43" w14:textId="77777777" w:rsidR="00851A6E" w:rsidRPr="0047464B" w:rsidRDefault="00000000">
      <w:pPr>
        <w:pStyle w:val="Heading2"/>
        <w:rPr>
          <w:lang w:val="pt-BR"/>
        </w:rPr>
      </w:pPr>
      <w:bookmarkStart w:id="32" w:name="epílogo-criando-a-nova-história"/>
      <w:bookmarkEnd w:id="31"/>
      <w:r w:rsidRPr="0047464B">
        <w:rPr>
          <w:lang w:val="pt-BR"/>
        </w:rPr>
        <w:lastRenderedPageBreak/>
        <w:t>Epílogo: Criando a Nova História</w:t>
      </w:r>
    </w:p>
    <w:p w14:paraId="4AE679BD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lang w:val="pt-BR"/>
        </w:rPr>
        <w:t>Estamos diante de uma oportunidade geracional. O mundo está migrando para ativos digitais, mas as contas domésticas ainda são pagas em moedas locais.</w:t>
      </w:r>
    </w:p>
    <w:p w14:paraId="06D91DAF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O FLUXUS é a ponte.</w:t>
      </w:r>
    </w:p>
    <w:p w14:paraId="525463C4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Nós não estamos tentando ser um banco melhor. Estamos tornando o banco desnecessário para que um pai possa enviar sustento para sua família sem ser assaltado por taxas. Estamos construindo a infraestrutura para que uma costureira em Bangladesh possa vender para Paris, que um desenvolvedor em Nairobi possa receber seu salário de São Francisco, e que um investidor em Lisboa possa ganhar yield previsível financiando a liquidez do mundo.</w:t>
      </w:r>
    </w:p>
    <w:p w14:paraId="0A8441F4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b/>
          <w:bCs/>
          <w:lang w:val="pt-BR"/>
        </w:rPr>
        <w:t>Em 2026, o mercado validou nossa tese:</w:t>
      </w:r>
      <w:r w:rsidRPr="0047464B">
        <w:rPr>
          <w:lang w:val="pt-BR"/>
        </w:rPr>
        <w:t xml:space="preserve"> - Stablecoins atingiram </w:t>
      </w:r>
      <w:r w:rsidRPr="0047464B">
        <w:rPr>
          <w:b/>
          <w:bCs/>
          <w:lang w:val="pt-BR"/>
        </w:rPr>
        <w:t>US$ 317 bilhões</w:t>
      </w:r>
      <w:r w:rsidRPr="0047464B">
        <w:rPr>
          <w:lang w:val="pt-BR"/>
        </w:rPr>
        <w:t xml:space="preserve"> em market cap; - Cartões lastreados em stablecoins cresceram </w:t>
      </w:r>
      <w:r w:rsidRPr="0047464B">
        <w:rPr>
          <w:b/>
          <w:bCs/>
          <w:lang w:val="pt-BR"/>
        </w:rPr>
        <w:t>106%</w:t>
      </w:r>
      <w:r w:rsidRPr="0047464B">
        <w:rPr>
          <w:lang w:val="pt-BR"/>
        </w:rPr>
        <w:t xml:space="preserve"> e atingiram </w:t>
      </w:r>
      <w:r w:rsidRPr="0047464B">
        <w:rPr>
          <w:b/>
          <w:bCs/>
          <w:lang w:val="pt-BR"/>
        </w:rPr>
        <w:t>US$ 18 bilhões</w:t>
      </w:r>
      <w:r w:rsidRPr="0047464B">
        <w:rPr>
          <w:lang w:val="pt-BR"/>
        </w:rPr>
        <w:t xml:space="preserve"> em volume; - Mastercard pagou </w:t>
      </w:r>
      <w:r w:rsidRPr="0047464B">
        <w:rPr>
          <w:b/>
          <w:bCs/>
          <w:lang w:val="pt-BR"/>
        </w:rPr>
        <w:t>US$ 1,8 bilhão</w:t>
      </w:r>
      <w:r w:rsidRPr="0047464B">
        <w:rPr>
          <w:lang w:val="pt-BR"/>
        </w:rPr>
        <w:t xml:space="preserve"> pela BVNK; - Stripe pagou </w:t>
      </w:r>
      <w:r w:rsidRPr="0047464B">
        <w:rPr>
          <w:b/>
          <w:bCs/>
          <w:lang w:val="pt-BR"/>
        </w:rPr>
        <w:t>US$ 1,1 bilhão</w:t>
      </w:r>
      <w:r w:rsidRPr="0047464B">
        <w:rPr>
          <w:lang w:val="pt-BR"/>
        </w:rPr>
        <w:t xml:space="preserve"> pela Bridge; - Rain foi avaliada em </w:t>
      </w:r>
      <w:r w:rsidRPr="0047464B">
        <w:rPr>
          <w:b/>
          <w:bCs/>
          <w:lang w:val="pt-BR"/>
        </w:rPr>
        <w:t>US$ 1,95 bilhão</w:t>
      </w:r>
      <w:r w:rsidRPr="0047464B">
        <w:rPr>
          <w:lang w:val="pt-BR"/>
        </w:rPr>
        <w:t xml:space="preserve">; - O TAM de pagamentos cross-border endereçável por stablecoins é de </w:t>
      </w:r>
      <w:r w:rsidRPr="0047464B">
        <w:rPr>
          <w:b/>
          <w:bCs/>
          <w:lang w:val="pt-BR"/>
        </w:rPr>
        <w:t>US$ 17,9 trilhões</w:t>
      </w:r>
      <w:r w:rsidRPr="0047464B">
        <w:rPr>
          <w:lang w:val="pt-BR"/>
        </w:rPr>
        <w:t>.</w:t>
      </w:r>
    </w:p>
    <w:p w14:paraId="0EE2E8C3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 xml:space="preserve">Ao investir no FLUXUS, você não está apenas comprando equity de uma empresa de tecnologia; você está investindo na </w:t>
      </w:r>
      <w:r w:rsidRPr="0047464B">
        <w:rPr>
          <w:b/>
          <w:bCs/>
          <w:lang w:val="pt-BR"/>
        </w:rPr>
        <w:t>nova infraestrutura financeira da humanidade</w:t>
      </w:r>
      <w:r w:rsidRPr="0047464B">
        <w:rPr>
          <w:lang w:val="pt-BR"/>
        </w:rPr>
        <w:t>.</w:t>
      </w:r>
    </w:p>
    <w:p w14:paraId="32084061" w14:textId="77777777" w:rsidR="00851A6E" w:rsidRPr="0047464B" w:rsidRDefault="00000000">
      <w:pPr>
        <w:pStyle w:val="BodyText"/>
        <w:rPr>
          <w:lang w:val="pt-BR"/>
        </w:rPr>
      </w:pPr>
      <w:r w:rsidRPr="0047464B">
        <w:rPr>
          <w:lang w:val="pt-BR"/>
        </w:rPr>
        <w:t>Bem-vindo ao Futuro. Bem-vindo ao FLUXUS.</w:t>
      </w:r>
    </w:p>
    <w:p w14:paraId="019AA448" w14:textId="77777777" w:rsidR="00851A6E" w:rsidRDefault="00000000">
      <w:r>
        <w:pict w14:anchorId="05D9A235">
          <v:rect id="_x0000_i1059" style="width:0;height:1.5pt" o:hralign="center" o:hrstd="t" o:hr="t"/>
        </w:pict>
      </w:r>
    </w:p>
    <w:p w14:paraId="249D05DF" w14:textId="77777777" w:rsidR="00851A6E" w:rsidRPr="0047464B" w:rsidRDefault="00000000">
      <w:pPr>
        <w:pStyle w:val="FirstParagraph"/>
        <w:rPr>
          <w:lang w:val="pt-BR"/>
        </w:rPr>
      </w:pPr>
      <w:r w:rsidRPr="0047464B">
        <w:rPr>
          <w:i/>
          <w:iCs/>
          <w:lang w:val="pt-BR"/>
        </w:rPr>
        <w:t>Documento elaborado em abril de 2026 com base em dados de mercado atualizados de FXC Intelligence, Artemis Research, CoinDesk, Forbes, Fortune, BVP Atlas e relatórios setoriais de 2026.</w:t>
      </w:r>
      <w:bookmarkEnd w:id="30"/>
      <w:bookmarkEnd w:id="32"/>
    </w:p>
    <w:sectPr w:rsidR="00851A6E" w:rsidRPr="0047464B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F561D" w14:textId="77777777" w:rsidR="00F252A7" w:rsidRDefault="00F252A7">
      <w:pPr>
        <w:spacing w:line="240" w:lineRule="auto"/>
      </w:pPr>
      <w:r>
        <w:separator/>
      </w:r>
    </w:p>
  </w:endnote>
  <w:endnote w:type="continuationSeparator" w:id="0">
    <w:p w14:paraId="16B9B5FE" w14:textId="77777777" w:rsidR="00F252A7" w:rsidRDefault="00F252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SimSun"/>
    <w:panose1 w:val="00000000000000000000"/>
    <w:charset w:val="86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SimSun"/>
    <w:panose1 w:val="00000000000000000000"/>
    <w:charset w:val="86"/>
    <w:family w:val="roman"/>
    <w:notTrueType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E0B12" w14:textId="77777777" w:rsidR="003054F1" w:rsidRDefault="003054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4CF90" w14:textId="77777777" w:rsidR="005F6CBF" w:rsidRPr="005F6CBF" w:rsidRDefault="003054F1" w:rsidP="003054F1">
    <w:pPr>
      <w:pStyle w:val="Footer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A2253" w14:textId="77777777" w:rsidR="003054F1" w:rsidRDefault="003054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67B8F" w14:textId="77777777" w:rsidR="00F252A7" w:rsidRDefault="00F252A7">
      <w:r>
        <w:separator/>
      </w:r>
    </w:p>
  </w:footnote>
  <w:footnote w:type="continuationSeparator" w:id="0">
    <w:p w14:paraId="38C1613A" w14:textId="77777777" w:rsidR="00F252A7" w:rsidRDefault="00F25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A54B5" w14:textId="77777777" w:rsidR="003054F1" w:rsidRDefault="003054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9992C" w14:textId="77777777" w:rsidR="003054F1" w:rsidRDefault="003054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6CCB7" w14:textId="77777777" w:rsidR="003054F1" w:rsidRDefault="003054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D454137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297CC12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3DBA3DC6"/>
    <w:multiLevelType w:val="multilevel"/>
    <w:tmpl w:val="0A58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06A2F"/>
    <w:multiLevelType w:val="multilevel"/>
    <w:tmpl w:val="C33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531AD"/>
    <w:multiLevelType w:val="multilevel"/>
    <w:tmpl w:val="CC0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1829901438">
    <w:abstractNumId w:val="2"/>
  </w:num>
  <w:num w:numId="12" w16cid:durableId="391470106">
    <w:abstractNumId w:val="3"/>
  </w:num>
  <w:num w:numId="13" w16cid:durableId="1205294711">
    <w:abstractNumId w:val="3"/>
  </w:num>
  <w:num w:numId="14" w16cid:durableId="2059553006">
    <w:abstractNumId w:val="3"/>
  </w:num>
  <w:num w:numId="15" w16cid:durableId="1195146434">
    <w:abstractNumId w:val="3"/>
  </w:num>
  <w:num w:numId="16" w16cid:durableId="1539512646">
    <w:abstractNumId w:val="6"/>
  </w:num>
  <w:num w:numId="17" w16cid:durableId="731081643">
    <w:abstractNumId w:val="7"/>
  </w:num>
  <w:num w:numId="18" w16cid:durableId="9149692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364D64"/>
    <w:rsid w:val="0047464B"/>
    <w:rsid w:val="004825C6"/>
    <w:rsid w:val="0051628A"/>
    <w:rsid w:val="005464E3"/>
    <w:rsid w:val="005F6CBF"/>
    <w:rsid w:val="00643110"/>
    <w:rsid w:val="00746C97"/>
    <w:rsid w:val="00851A6E"/>
    <w:rsid w:val="008708D9"/>
    <w:rsid w:val="00905F70"/>
    <w:rsid w:val="00917435"/>
    <w:rsid w:val="00977478"/>
    <w:rsid w:val="00AF517C"/>
    <w:rsid w:val="00BF08D0"/>
    <w:rsid w:val="00CF7597"/>
    <w:rsid w:val="00D90F1F"/>
    <w:rsid w:val="00EC61BB"/>
    <w:rsid w:val="00F252A7"/>
    <w:rsid w:val="00F93A26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5AD49"/>
  <w15:docId w15:val="{C56742A7-270E-451A-9B7E-2AA66482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77478"/>
    <w:pPr>
      <w:spacing w:after="0" w:line="360" w:lineRule="auto"/>
    </w:pPr>
    <w:rPr>
      <w:rFonts w:ascii="Arial" w:eastAsia="SimSun" w:hAnsi="Arial" w:cs="Times New Roman (正文 CS 字体)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8708D9"/>
    <w:pPr>
      <w:keepNext/>
      <w:keepLines/>
      <w:outlineLvl w:val="0"/>
    </w:pPr>
    <w:rPr>
      <w:rFonts w:eastAsia="SimHei" w:cs="Times New Roman (标题 CS)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8708D9"/>
    <w:pPr>
      <w:keepNext/>
      <w:keepLines/>
      <w:outlineLvl w:val="1"/>
    </w:pPr>
    <w:rPr>
      <w:rFonts w:eastAsia="SimHei" w:cs="Times New Roman (标题 CS)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8708D9"/>
    <w:pPr>
      <w:keepNext/>
      <w:keepLines/>
      <w:outlineLvl w:val="2"/>
    </w:pPr>
    <w:rPr>
      <w:rFonts w:eastAsia="SimHei" w:cs="Times New Roman (标题 CS)"/>
      <w:sz w:val="26"/>
      <w:szCs w:val="28"/>
    </w:r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EC61BB"/>
    <w:pPr>
      <w:outlineLvl w:val="3"/>
    </w:pPr>
  </w:style>
  <w:style w:type="paragraph" w:styleId="Heading5">
    <w:name w:val="heading 5"/>
    <w:basedOn w:val="Heading4"/>
    <w:next w:val="BodyText"/>
    <w:link w:val="Heading5Char"/>
    <w:uiPriority w:val="9"/>
    <w:unhideWhenUsed/>
    <w:qFormat/>
    <w:rsid w:val="00EC61BB"/>
    <w:pPr>
      <w:outlineLvl w:val="4"/>
    </w:pPr>
  </w:style>
  <w:style w:type="paragraph" w:styleId="Heading6">
    <w:name w:val="heading 6"/>
    <w:basedOn w:val="Heading5"/>
    <w:next w:val="BodyText"/>
    <w:link w:val="Heading6Char"/>
    <w:uiPriority w:val="9"/>
    <w:unhideWhenUsed/>
    <w:qFormat/>
    <w:rsid w:val="00EC61BB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EC61BB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EC61BB"/>
    <w:pPr>
      <w:outlineLvl w:val="7"/>
    </w:pPr>
  </w:style>
  <w:style w:type="paragraph" w:styleId="Heading9">
    <w:name w:val="heading 9"/>
    <w:basedOn w:val="Heading8"/>
    <w:next w:val="BodyText"/>
    <w:link w:val="Heading9Char"/>
    <w:uiPriority w:val="9"/>
    <w:unhideWhenUsed/>
    <w:qFormat/>
    <w:rsid w:val="00EC61BB"/>
    <w:pPr>
      <w:outlineLvl w:val="8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CF7597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F517C"/>
    <w:pPr>
      <w:contextualSpacing/>
      <w:jc w:val="center"/>
    </w:pPr>
    <w:rPr>
      <w:rFonts w:eastAsia="SimHei" w:cs="Times New Roman (标题 CS)"/>
      <w:sz w:val="3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7C"/>
    <w:rPr>
      <w:rFonts w:ascii="Arial" w:eastAsia="SimHei" w:hAnsi="Arial" w:cs="Times New Roman (标题 CS)"/>
      <w:sz w:val="3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8708D9"/>
    <w:rPr>
      <w:rFonts w:ascii="Arial" w:eastAsia="SimHei" w:hAnsi="Arial" w:cs="Times New Roman (标题 CS)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D9"/>
    <w:rPr>
      <w:rFonts w:ascii="Arial" w:eastAsia="SimHei" w:hAnsi="Arial" w:cs="Times New Roman (标题 CS)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D9"/>
    <w:rPr>
      <w:rFonts w:ascii="Arial" w:eastAsia="SimHei" w:hAnsi="Arial" w:cs="Times New Roman (标题 CS)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rsid w:val="00EC61BB"/>
    <w:rPr>
      <w:rFonts w:ascii="Arial" w:eastAsia="SimHei" w:hAnsi="Arial" w:cs="Times New Roman (标题 CS)"/>
      <w:color w:val="0F4761" w:themeColor="accent1" w:themeShade="BF"/>
      <w:sz w:val="26"/>
      <w:szCs w:val="2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Caption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TableGrid">
    <w:name w:val="Table Grid"/>
    <w:basedOn w:val="TableNormal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BodyText"/>
    <w:rsid w:val="0051628A"/>
    <w:pPr>
      <w:ind w:firstLineChars="200" w:firstLine="420"/>
    </w:pPr>
  </w:style>
  <w:style w:type="paragraph" w:styleId="Header">
    <w:name w:val="header"/>
    <w:basedOn w:val="Normal"/>
    <w:link w:val="HeaderChar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5F6CBF"/>
    <w:rPr>
      <w:rFonts w:ascii="Arial" w:eastAsia="SimSun" w:hAnsi="Arial" w:cs="Times New Roman (正文 CS 字体)"/>
      <w:sz w:val="18"/>
      <w:szCs w:val="18"/>
    </w:rPr>
  </w:style>
  <w:style w:type="paragraph" w:styleId="Footer">
    <w:name w:val="footer"/>
    <w:basedOn w:val="Normal"/>
    <w:link w:val="FooterChar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F6CBF"/>
    <w:rPr>
      <w:rFonts w:ascii="Arial" w:eastAsia="SimSun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15</Pages>
  <Words>3348</Words>
  <Characters>19088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Rogerio Cezar</cp:lastModifiedBy>
  <cp:revision>2</cp:revision>
  <dcterms:created xsi:type="dcterms:W3CDTF">2026-04-26T08:12:00Z</dcterms:created>
  <dcterms:modified xsi:type="dcterms:W3CDTF">2026-04-26T09:09:00Z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vpvlb2ulb3dru88a1g-19dc8cc3-a312-8891-8000-09eeb28ffe33-20260426081207","ReservedCode1":"","ContentPropagator":"001191110108MACG2KBH8F20000","PropagateID":"d5vpvlb2ulb3dru88a1g-19dc8cc3-a312-8891-8000-09eeb28ffe33-20260426081207","ReservedCode2":""}</vt:lpwstr>
  </property>
</Properties>
</file>