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17E" w14:textId="77777777" w:rsidR="00BA612E" w:rsidRPr="00585653" w:rsidRDefault="00000000">
      <w:pPr>
        <w:pStyle w:val="Heading1"/>
        <w:rPr>
          <w:lang w:val="pt-BR"/>
        </w:rPr>
      </w:pPr>
      <w:bookmarkStart w:id="0" w:name="Xef55ea8c1eed69d828cc19b7bbbe51e60c96aa3"/>
      <w:r w:rsidRPr="00585653">
        <w:rPr>
          <w:lang w:val="pt-BR"/>
        </w:rPr>
        <w:t>FLUXUS NEXUS — AUDITORIA TÉCNICA 360° E VISÃO OPERACIONAL AMPLIADA</w:t>
      </w:r>
    </w:p>
    <w:p w14:paraId="3FE9059C" w14:textId="77777777" w:rsidR="00BA612E" w:rsidRPr="00585653" w:rsidRDefault="00000000">
      <w:pPr>
        <w:pStyle w:val="FirstParagraph"/>
        <w:rPr>
          <w:lang w:val="pt-BR"/>
        </w:rPr>
      </w:pPr>
      <w:r w:rsidRPr="00585653">
        <w:rPr>
          <w:b/>
          <w:bCs/>
          <w:lang w:val="pt-BR"/>
        </w:rPr>
        <w:t>Versão:</w:t>
      </w:r>
      <w:r w:rsidRPr="00585653">
        <w:rPr>
          <w:lang w:val="pt-BR"/>
        </w:rPr>
        <w:t xml:space="preserve"> 3.0 | </w:t>
      </w:r>
      <w:r w:rsidRPr="00585653">
        <w:rPr>
          <w:b/>
          <w:bCs/>
          <w:lang w:val="pt-BR"/>
        </w:rPr>
        <w:t>Status:</w:t>
      </w:r>
      <w:r w:rsidRPr="00585653">
        <w:rPr>
          <w:lang w:val="pt-BR"/>
        </w:rPr>
        <w:t xml:space="preserve"> Auditoria Independente + Expansão de Escopo</w:t>
      </w:r>
      <w:r w:rsidRPr="00585653">
        <w:rPr>
          <w:lang w:val="pt-BR"/>
        </w:rPr>
        <w:br/>
      </w:r>
      <w:r w:rsidRPr="00585653">
        <w:rPr>
          <w:b/>
          <w:bCs/>
          <w:lang w:val="pt-BR"/>
        </w:rPr>
        <w:t>Data:</w:t>
      </w:r>
      <w:r w:rsidRPr="00585653">
        <w:rPr>
          <w:lang w:val="pt-BR"/>
        </w:rPr>
        <w:t xml:space="preserve"> Abril 2026 | </w:t>
      </w:r>
      <w:r w:rsidRPr="00585653">
        <w:rPr>
          <w:b/>
          <w:bCs/>
          <w:lang w:val="pt-BR"/>
        </w:rPr>
        <w:t>Classificação:</w:t>
      </w:r>
      <w:r w:rsidRPr="00585653">
        <w:rPr>
          <w:lang w:val="pt-BR"/>
        </w:rPr>
        <w:t xml:space="preserve"> Confidencial — Board &amp; Investidores Anjo</w:t>
      </w:r>
      <w:r w:rsidRPr="00585653">
        <w:rPr>
          <w:lang w:val="pt-BR"/>
        </w:rPr>
        <w:br/>
      </w:r>
      <w:r w:rsidRPr="00585653">
        <w:rPr>
          <w:b/>
          <w:bCs/>
          <w:lang w:val="pt-BR"/>
        </w:rPr>
        <w:t>Origem:</w:t>
      </w:r>
      <w:r w:rsidRPr="00585653">
        <w:rPr>
          <w:lang w:val="pt-BR"/>
        </w:rPr>
        <w:t xml:space="preserve"> Consolidação de 12 documentos técnicos do ecossistema FLUXUS + análise de gaps regulatórios, fiscais e operacionais</w:t>
      </w:r>
    </w:p>
    <w:p w14:paraId="69890ECE" w14:textId="77777777" w:rsidR="00BA612E" w:rsidRDefault="00000000">
      <w:r>
        <w:pict w14:anchorId="13A36F71">
          <v:rect id="_x0000_i1025" style="width:0;height:1.5pt" o:hralign="center" o:hrstd="t" o:hr="t"/>
        </w:pict>
      </w:r>
    </w:p>
    <w:p w14:paraId="4A09EC92" w14:textId="77777777" w:rsidR="00BA612E" w:rsidRPr="00585653" w:rsidRDefault="00000000">
      <w:pPr>
        <w:pStyle w:val="Heading1"/>
        <w:rPr>
          <w:lang w:val="pt-BR"/>
        </w:rPr>
      </w:pPr>
      <w:bookmarkStart w:id="1" w:name="parte-i-executivo-da-auditoria"/>
      <w:bookmarkEnd w:id="0"/>
      <w:r w:rsidRPr="00585653">
        <w:rPr>
          <w:lang w:val="pt-BR"/>
        </w:rPr>
        <w:t>PARTE I: EXECUTIVO DA AUDITORIA</w:t>
      </w:r>
    </w:p>
    <w:p w14:paraId="79C580EA" w14:textId="77777777" w:rsidR="00BA612E" w:rsidRPr="00585653" w:rsidRDefault="00000000">
      <w:pPr>
        <w:pStyle w:val="Heading2"/>
        <w:rPr>
          <w:lang w:val="pt-BR"/>
        </w:rPr>
      </w:pPr>
      <w:bookmarkStart w:id="2" w:name="X44b862ee1401f26f85ba9d904109d78f4c7c834"/>
      <w:r w:rsidRPr="00585653">
        <w:rPr>
          <w:lang w:val="pt-BR"/>
        </w:rPr>
        <w:t>1.1 Diagnóstico Sintético dos 12 Documentos Auditados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"/>
        <w:gridCol w:w="1651"/>
        <w:gridCol w:w="1200"/>
        <w:gridCol w:w="2703"/>
        <w:gridCol w:w="2852"/>
      </w:tblGrid>
      <w:tr w:rsidR="00BA612E" w14:paraId="7C7408EA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2" w:type="dxa"/>
          </w:tcPr>
          <w:p w14:paraId="28EF9615" w14:textId="77777777" w:rsidR="00BA612E" w:rsidRDefault="00000000">
            <w:pPr>
              <w:pStyle w:val="Compact"/>
            </w:pPr>
            <w:r>
              <w:t>#</w:t>
            </w:r>
          </w:p>
        </w:tc>
        <w:tc>
          <w:tcPr>
            <w:tcW w:w="1476" w:type="dxa"/>
          </w:tcPr>
          <w:p w14:paraId="0A5D6DE3" w14:textId="77777777" w:rsidR="00BA612E" w:rsidRDefault="00000000">
            <w:pPr>
              <w:pStyle w:val="Compact"/>
            </w:pPr>
            <w:r>
              <w:t>Documento</w:t>
            </w:r>
          </w:p>
        </w:tc>
        <w:tc>
          <w:tcPr>
            <w:tcW w:w="1073" w:type="dxa"/>
          </w:tcPr>
          <w:p w14:paraId="3D4D512A" w14:textId="77777777" w:rsidR="00BA612E" w:rsidRDefault="00000000">
            <w:pPr>
              <w:pStyle w:val="Compact"/>
            </w:pPr>
            <w:r>
              <w:t>Status</w:t>
            </w:r>
          </w:p>
        </w:tc>
        <w:tc>
          <w:tcPr>
            <w:tcW w:w="2416" w:type="dxa"/>
          </w:tcPr>
          <w:p w14:paraId="5A2F9ED5" w14:textId="77777777" w:rsidR="00BA612E" w:rsidRDefault="00000000">
            <w:pPr>
              <w:pStyle w:val="Compact"/>
            </w:pPr>
            <w:r>
              <w:t>Pontuação (1-10)</w:t>
            </w:r>
          </w:p>
        </w:tc>
        <w:tc>
          <w:tcPr>
            <w:tcW w:w="2550" w:type="dxa"/>
          </w:tcPr>
          <w:p w14:paraId="6FED44C4" w14:textId="77777777" w:rsidR="00BA612E" w:rsidRDefault="00000000">
            <w:pPr>
              <w:pStyle w:val="Compact"/>
            </w:pPr>
            <w:r>
              <w:t>Observação Crítica</w:t>
            </w:r>
          </w:p>
        </w:tc>
      </w:tr>
      <w:tr w:rsidR="00BA612E" w:rsidRPr="00585653" w14:paraId="743325B4" w14:textId="77777777">
        <w:tc>
          <w:tcPr>
            <w:tcW w:w="402" w:type="dxa"/>
          </w:tcPr>
          <w:p w14:paraId="0A86E0A3" w14:textId="77777777" w:rsidR="00BA612E" w:rsidRDefault="00000000">
            <w:pPr>
              <w:pStyle w:val="Compact"/>
            </w:pPr>
            <w:r>
              <w:t>1</w:t>
            </w:r>
          </w:p>
        </w:tc>
        <w:tc>
          <w:tcPr>
            <w:tcW w:w="1476" w:type="dxa"/>
          </w:tcPr>
          <w:p w14:paraId="736488C8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TECH_360_OPERATIONAL_SETUPS.md</w:t>
            </w:r>
          </w:p>
        </w:tc>
        <w:tc>
          <w:tcPr>
            <w:tcW w:w="1073" w:type="dxa"/>
          </w:tcPr>
          <w:p w14:paraId="72E04A01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2183F131" w14:textId="77777777" w:rsidR="00BA612E" w:rsidRDefault="00000000">
            <w:pPr>
              <w:pStyle w:val="Compact"/>
            </w:pPr>
            <w:r>
              <w:t>7/10</w:t>
            </w:r>
          </w:p>
        </w:tc>
        <w:tc>
          <w:tcPr>
            <w:tcW w:w="2550" w:type="dxa"/>
          </w:tcPr>
          <w:p w14:paraId="5DC89CC5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Boa matriz de custos, mas falta DRE detalhado e cenários fiscais por jurisdição</w:t>
            </w:r>
          </w:p>
        </w:tc>
      </w:tr>
      <w:tr w:rsidR="00BA612E" w:rsidRPr="00585653" w14:paraId="132FF323" w14:textId="77777777">
        <w:tc>
          <w:tcPr>
            <w:tcW w:w="402" w:type="dxa"/>
          </w:tcPr>
          <w:p w14:paraId="693A590F" w14:textId="77777777" w:rsidR="00BA612E" w:rsidRDefault="00000000">
            <w:pPr>
              <w:pStyle w:val="Compact"/>
            </w:pPr>
            <w:r>
              <w:t>2</w:t>
            </w:r>
          </w:p>
        </w:tc>
        <w:tc>
          <w:tcPr>
            <w:tcW w:w="1476" w:type="dxa"/>
          </w:tcPr>
          <w:p w14:paraId="7E777939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TECH_API_LOGIN_TOKENIZATION.md</w:t>
            </w:r>
          </w:p>
        </w:tc>
        <w:tc>
          <w:tcPr>
            <w:tcW w:w="1073" w:type="dxa"/>
          </w:tcPr>
          <w:p w14:paraId="48728BAC" w14:textId="77777777" w:rsidR="00BA612E" w:rsidRDefault="00000000">
            <w:pPr>
              <w:pStyle w:val="Compact"/>
            </w:pPr>
            <w:r>
              <w:t>⚠️ Parcial</w:t>
            </w:r>
          </w:p>
        </w:tc>
        <w:tc>
          <w:tcPr>
            <w:tcW w:w="2416" w:type="dxa"/>
          </w:tcPr>
          <w:p w14:paraId="6D652B02" w14:textId="77777777" w:rsidR="00BA612E" w:rsidRDefault="00000000">
            <w:pPr>
              <w:pStyle w:val="Compact"/>
            </w:pPr>
            <w:r>
              <w:t>6/10</w:t>
            </w:r>
          </w:p>
        </w:tc>
        <w:tc>
          <w:tcPr>
            <w:tcW w:w="2550" w:type="dxa"/>
          </w:tcPr>
          <w:p w14:paraId="5D2FF0A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APIs bem desenhadas, mas sem especificação de rate limits, retry policies e disaster recovery</w:t>
            </w:r>
          </w:p>
        </w:tc>
      </w:tr>
      <w:tr w:rsidR="00BA612E" w:rsidRPr="00585653" w14:paraId="4CB2088B" w14:textId="77777777">
        <w:tc>
          <w:tcPr>
            <w:tcW w:w="402" w:type="dxa"/>
          </w:tcPr>
          <w:p w14:paraId="318F4F98" w14:textId="77777777" w:rsidR="00BA612E" w:rsidRDefault="00000000">
            <w:pPr>
              <w:pStyle w:val="Compact"/>
            </w:pPr>
            <w:r>
              <w:t>3</w:t>
            </w:r>
          </w:p>
        </w:tc>
        <w:tc>
          <w:tcPr>
            <w:tcW w:w="1476" w:type="dxa"/>
          </w:tcPr>
          <w:p w14:paraId="61ED57CD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TECH_FLUXUS_BLUEPRINT.md</w:t>
            </w:r>
          </w:p>
        </w:tc>
        <w:tc>
          <w:tcPr>
            <w:tcW w:w="1073" w:type="dxa"/>
          </w:tcPr>
          <w:p w14:paraId="694E4EA7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7C2C4E2E" w14:textId="77777777" w:rsidR="00BA612E" w:rsidRDefault="00000000">
            <w:pPr>
              <w:pStyle w:val="Compact"/>
            </w:pPr>
            <w:r>
              <w:t>8/10</w:t>
            </w:r>
          </w:p>
        </w:tc>
        <w:tc>
          <w:tcPr>
            <w:tcW w:w="2550" w:type="dxa"/>
          </w:tcPr>
          <w:p w14:paraId="4AC04208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UX/Onboarding rico, mas excessivamente repetitivo e com “síncrono” exaustivo; falta arquitetura de dados</w:t>
            </w:r>
          </w:p>
        </w:tc>
      </w:tr>
      <w:tr w:rsidR="00BA612E" w:rsidRPr="00585653" w14:paraId="0DDDE49C" w14:textId="77777777">
        <w:tc>
          <w:tcPr>
            <w:tcW w:w="402" w:type="dxa"/>
          </w:tcPr>
          <w:p w14:paraId="64FE9BF4" w14:textId="77777777" w:rsidR="00BA612E" w:rsidRDefault="00000000">
            <w:pPr>
              <w:pStyle w:val="Compact"/>
            </w:pPr>
            <w:r>
              <w:t>4</w:t>
            </w:r>
          </w:p>
        </w:tc>
        <w:tc>
          <w:tcPr>
            <w:tcW w:w="1476" w:type="dxa"/>
          </w:tcPr>
          <w:p w14:paraId="16B1C938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TECH_FLUXUS_PRICING_CANON.md</w:t>
            </w:r>
          </w:p>
        </w:tc>
        <w:tc>
          <w:tcPr>
            <w:tcW w:w="1073" w:type="dxa"/>
          </w:tcPr>
          <w:p w14:paraId="3D811A33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1CD6DA7D" w14:textId="77777777" w:rsidR="00BA612E" w:rsidRDefault="00000000">
            <w:pPr>
              <w:pStyle w:val="Compact"/>
            </w:pPr>
            <w:r>
              <w:t>8/10</w:t>
            </w:r>
          </w:p>
        </w:tc>
        <w:tc>
          <w:tcPr>
            <w:tcW w:w="2550" w:type="dxa"/>
          </w:tcPr>
          <w:p w14:paraId="7988BD95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 xml:space="preserve">Política Dominância/Tiered sólida; falta simulação de stress em </w:t>
            </w:r>
            <w:r w:rsidRPr="00585653">
              <w:rPr>
                <w:lang w:val="pt-BR"/>
              </w:rPr>
              <w:lastRenderedPageBreak/>
              <w:t>volatilidade cambial extrema</w:t>
            </w:r>
          </w:p>
        </w:tc>
      </w:tr>
      <w:tr w:rsidR="00BA612E" w:rsidRPr="00585653" w14:paraId="5D2573DB" w14:textId="77777777">
        <w:tc>
          <w:tcPr>
            <w:tcW w:w="402" w:type="dxa"/>
          </w:tcPr>
          <w:p w14:paraId="1497E24E" w14:textId="77777777" w:rsidR="00BA612E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476" w:type="dxa"/>
          </w:tcPr>
          <w:p w14:paraId="21D19591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TECH_FLUXUS_REMITTANCE_CANON.md</w:t>
            </w:r>
          </w:p>
        </w:tc>
        <w:tc>
          <w:tcPr>
            <w:tcW w:w="1073" w:type="dxa"/>
          </w:tcPr>
          <w:p w14:paraId="00639D3E" w14:textId="77777777" w:rsidR="00BA612E" w:rsidRDefault="00000000">
            <w:pPr>
              <w:pStyle w:val="Compact"/>
            </w:pPr>
            <w:r>
              <w:t>⚠️ Legado</w:t>
            </w:r>
          </w:p>
        </w:tc>
        <w:tc>
          <w:tcPr>
            <w:tcW w:w="2416" w:type="dxa"/>
          </w:tcPr>
          <w:p w14:paraId="08940488" w14:textId="77777777" w:rsidR="00BA612E" w:rsidRDefault="00000000">
            <w:pPr>
              <w:pStyle w:val="Compact"/>
            </w:pPr>
            <w:r>
              <w:t>5/10</w:t>
            </w:r>
          </w:p>
        </w:tc>
        <w:tc>
          <w:tcPr>
            <w:tcW w:w="2550" w:type="dxa"/>
          </w:tcPr>
          <w:p w14:paraId="317E80F1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Documento legado (v1.0); deve ser arquivado e não referenciado em produção</w:t>
            </w:r>
          </w:p>
        </w:tc>
      </w:tr>
      <w:tr w:rsidR="00BA612E" w:rsidRPr="00585653" w14:paraId="1210B7B0" w14:textId="77777777">
        <w:tc>
          <w:tcPr>
            <w:tcW w:w="402" w:type="dxa"/>
          </w:tcPr>
          <w:p w14:paraId="00DA931C" w14:textId="77777777" w:rsidR="00BA612E" w:rsidRDefault="00000000">
            <w:pPr>
              <w:pStyle w:val="Compact"/>
            </w:pPr>
            <w:r>
              <w:t>6</w:t>
            </w:r>
          </w:p>
        </w:tc>
        <w:tc>
          <w:tcPr>
            <w:tcW w:w="1476" w:type="dxa"/>
          </w:tcPr>
          <w:p w14:paraId="5C4A3C3D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TECH_GLOBAL_PIX_ARCHITECTURE.md</w:t>
            </w:r>
          </w:p>
        </w:tc>
        <w:tc>
          <w:tcPr>
            <w:tcW w:w="1073" w:type="dxa"/>
          </w:tcPr>
          <w:p w14:paraId="26F5CA4D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3E5EBE9E" w14:textId="77777777" w:rsidR="00BA612E" w:rsidRDefault="00000000">
            <w:pPr>
              <w:pStyle w:val="Compact"/>
            </w:pPr>
            <w:r>
              <w:t>7/10</w:t>
            </w:r>
          </w:p>
        </w:tc>
        <w:tc>
          <w:tcPr>
            <w:tcW w:w="2550" w:type="dxa"/>
          </w:tcPr>
          <w:p w14:paraId="53C39AA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Arquitetura de liquidação boa, mas sem plano de contingência para falha de rails</w:t>
            </w:r>
          </w:p>
        </w:tc>
      </w:tr>
      <w:tr w:rsidR="00BA612E" w:rsidRPr="00585653" w14:paraId="71067FA4" w14:textId="77777777">
        <w:tc>
          <w:tcPr>
            <w:tcW w:w="402" w:type="dxa"/>
          </w:tcPr>
          <w:p w14:paraId="26638533" w14:textId="77777777" w:rsidR="00BA612E" w:rsidRDefault="00000000">
            <w:pPr>
              <w:pStyle w:val="Compact"/>
            </w:pPr>
            <w:r>
              <w:t>7</w:t>
            </w:r>
          </w:p>
        </w:tc>
        <w:tc>
          <w:tcPr>
            <w:tcW w:w="1476" w:type="dxa"/>
          </w:tcPr>
          <w:p w14:paraId="52F9BA16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TECH_LIQUIDATION_BARRIERS.md</w:t>
            </w:r>
          </w:p>
        </w:tc>
        <w:tc>
          <w:tcPr>
            <w:tcW w:w="1073" w:type="dxa"/>
          </w:tcPr>
          <w:p w14:paraId="5164BF8C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21154ABB" w14:textId="77777777" w:rsidR="00BA612E" w:rsidRDefault="00000000">
            <w:pPr>
              <w:pStyle w:val="Compact"/>
            </w:pPr>
            <w:r>
              <w:t>7/10</w:t>
            </w:r>
          </w:p>
        </w:tc>
        <w:tc>
          <w:tcPr>
            <w:tcW w:w="2550" w:type="dxa"/>
          </w:tcPr>
          <w:p w14:paraId="48E0BED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Mapeamento geográfico útil; falta análise de sanções OFAC e compliance AML transnacional</w:t>
            </w:r>
          </w:p>
        </w:tc>
      </w:tr>
      <w:tr w:rsidR="00BA612E" w:rsidRPr="00585653" w14:paraId="670A8362" w14:textId="77777777">
        <w:tc>
          <w:tcPr>
            <w:tcW w:w="402" w:type="dxa"/>
          </w:tcPr>
          <w:p w14:paraId="215BBD9A" w14:textId="77777777" w:rsidR="00BA612E" w:rsidRDefault="00000000">
            <w:pPr>
              <w:pStyle w:val="Compact"/>
            </w:pPr>
            <w:r>
              <w:t>8</w:t>
            </w:r>
          </w:p>
        </w:tc>
        <w:tc>
          <w:tcPr>
            <w:tcW w:w="1476" w:type="dxa"/>
          </w:tcPr>
          <w:p w14:paraId="57857CB5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TECH_MATCHING_ENGINE_PROTOCOL.md</w:t>
            </w:r>
          </w:p>
        </w:tc>
        <w:tc>
          <w:tcPr>
            <w:tcW w:w="1073" w:type="dxa"/>
          </w:tcPr>
          <w:p w14:paraId="370E1BB3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334963BE" w14:textId="77777777" w:rsidR="00BA612E" w:rsidRDefault="00000000">
            <w:pPr>
              <w:pStyle w:val="Compact"/>
            </w:pPr>
            <w:r>
              <w:t>9/10</w:t>
            </w:r>
          </w:p>
        </w:tc>
        <w:tc>
          <w:tcPr>
            <w:tcW w:w="2550" w:type="dxa"/>
          </w:tcPr>
          <w:p w14:paraId="21842EF7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Motor de matching excelente; IP central bem protegido; falta apenas simulação de ataques Sybil</w:t>
            </w:r>
          </w:p>
        </w:tc>
      </w:tr>
      <w:tr w:rsidR="00BA612E" w:rsidRPr="00585653" w14:paraId="7D19F023" w14:textId="77777777">
        <w:tc>
          <w:tcPr>
            <w:tcW w:w="402" w:type="dxa"/>
          </w:tcPr>
          <w:p w14:paraId="195F35A6" w14:textId="77777777" w:rsidR="00BA612E" w:rsidRDefault="00000000">
            <w:pPr>
              <w:pStyle w:val="Compact"/>
            </w:pPr>
            <w:r>
              <w:t>9</w:t>
            </w:r>
          </w:p>
        </w:tc>
        <w:tc>
          <w:tcPr>
            <w:tcW w:w="1476" w:type="dxa"/>
          </w:tcPr>
          <w:p w14:paraId="7499DC1F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TECH_QR_CODE_SPEC.md</w:t>
            </w:r>
          </w:p>
        </w:tc>
        <w:tc>
          <w:tcPr>
            <w:tcW w:w="1073" w:type="dxa"/>
          </w:tcPr>
          <w:p w14:paraId="4D9E81A7" w14:textId="77777777" w:rsidR="00BA612E" w:rsidRDefault="00000000">
            <w:pPr>
              <w:pStyle w:val="Compact"/>
            </w:pPr>
            <w:r>
              <w:t>⚠️ Parcial</w:t>
            </w:r>
          </w:p>
        </w:tc>
        <w:tc>
          <w:tcPr>
            <w:tcW w:w="2416" w:type="dxa"/>
          </w:tcPr>
          <w:p w14:paraId="54E0CF30" w14:textId="77777777" w:rsidR="00BA612E" w:rsidRDefault="00000000">
            <w:pPr>
              <w:pStyle w:val="Compact"/>
            </w:pPr>
            <w:r>
              <w:t>6/10</w:t>
            </w:r>
          </w:p>
        </w:tc>
        <w:tc>
          <w:tcPr>
            <w:tcW w:w="2550" w:type="dxa"/>
          </w:tcPr>
          <w:p w14:paraId="4F795760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QR dinâmico bem concebido, mas sem especificação de segurança (replay attacks, spoofing)</w:t>
            </w:r>
          </w:p>
        </w:tc>
      </w:tr>
      <w:tr w:rsidR="00BA612E" w:rsidRPr="00585653" w14:paraId="051D7B79" w14:textId="77777777">
        <w:tc>
          <w:tcPr>
            <w:tcW w:w="402" w:type="dxa"/>
          </w:tcPr>
          <w:p w14:paraId="671E6EFD" w14:textId="77777777" w:rsidR="00BA612E" w:rsidRDefault="00000000">
            <w:pPr>
              <w:pStyle w:val="Compact"/>
            </w:pPr>
            <w:r>
              <w:t>10</w:t>
            </w:r>
          </w:p>
        </w:tc>
        <w:tc>
          <w:tcPr>
            <w:tcW w:w="1476" w:type="dxa"/>
          </w:tcPr>
          <w:p w14:paraId="1594DEEB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TECH_REMIT_FLOW_ARCHIT</w:t>
            </w:r>
            <w:r>
              <w:rPr>
                <w:rStyle w:val="VerbatimChar"/>
              </w:rPr>
              <w:lastRenderedPageBreak/>
              <w:t>ECTURE.md</w:t>
            </w:r>
          </w:p>
        </w:tc>
        <w:tc>
          <w:tcPr>
            <w:tcW w:w="1073" w:type="dxa"/>
          </w:tcPr>
          <w:p w14:paraId="0B388C48" w14:textId="77777777" w:rsidR="00BA612E" w:rsidRDefault="00000000">
            <w:pPr>
              <w:pStyle w:val="Compact"/>
            </w:pPr>
            <w:r>
              <w:lastRenderedPageBreak/>
              <w:t xml:space="preserve">✅ </w:t>
            </w:r>
            <w:r>
              <w:lastRenderedPageBreak/>
              <w:t>Coberto</w:t>
            </w:r>
          </w:p>
        </w:tc>
        <w:tc>
          <w:tcPr>
            <w:tcW w:w="2416" w:type="dxa"/>
          </w:tcPr>
          <w:p w14:paraId="136A4E65" w14:textId="77777777" w:rsidR="00BA612E" w:rsidRDefault="00000000">
            <w:pPr>
              <w:pStyle w:val="Compact"/>
            </w:pPr>
            <w:r>
              <w:lastRenderedPageBreak/>
              <w:t>7/10</w:t>
            </w:r>
          </w:p>
        </w:tc>
        <w:tc>
          <w:tcPr>
            <w:tcW w:w="2550" w:type="dxa"/>
          </w:tcPr>
          <w:p w14:paraId="704E40EB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 xml:space="preserve">Fluxo de ledger claro; falta especificação de </w:t>
            </w:r>
            <w:r w:rsidRPr="00585653">
              <w:rPr>
                <w:lang w:val="pt-BR"/>
              </w:rPr>
              <w:lastRenderedPageBreak/>
              <w:t>backup e retenção de dados (LGPD/GDPR)</w:t>
            </w:r>
          </w:p>
        </w:tc>
      </w:tr>
      <w:tr w:rsidR="00BA612E" w:rsidRPr="00585653" w14:paraId="28D77C0B" w14:textId="77777777">
        <w:tc>
          <w:tcPr>
            <w:tcW w:w="402" w:type="dxa"/>
          </w:tcPr>
          <w:p w14:paraId="57168D6C" w14:textId="77777777" w:rsidR="00BA612E" w:rsidRDefault="00000000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1476" w:type="dxa"/>
          </w:tcPr>
          <w:p w14:paraId="173C587B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TECH_STATE_MACHINE_REVERSAL.md</w:t>
            </w:r>
          </w:p>
        </w:tc>
        <w:tc>
          <w:tcPr>
            <w:tcW w:w="1073" w:type="dxa"/>
          </w:tcPr>
          <w:p w14:paraId="011B1DE9" w14:textId="77777777" w:rsidR="00BA612E" w:rsidRDefault="00000000">
            <w:pPr>
              <w:pStyle w:val="Compact"/>
            </w:pPr>
            <w:r>
              <w:t>✅ Coberto</w:t>
            </w:r>
          </w:p>
        </w:tc>
        <w:tc>
          <w:tcPr>
            <w:tcW w:w="2416" w:type="dxa"/>
          </w:tcPr>
          <w:p w14:paraId="0857221B" w14:textId="77777777" w:rsidR="00BA612E" w:rsidRDefault="00000000">
            <w:pPr>
              <w:pStyle w:val="Compact"/>
            </w:pPr>
            <w:r>
              <w:t>8/10</w:t>
            </w:r>
          </w:p>
        </w:tc>
        <w:tc>
          <w:tcPr>
            <w:tcW w:w="2550" w:type="dxa"/>
          </w:tcPr>
          <w:p w14:paraId="11C40A9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Máquina de estados robusta; harmonização de SLAs (15 min vs 300s) bem documentada</w:t>
            </w:r>
          </w:p>
        </w:tc>
      </w:tr>
      <w:tr w:rsidR="00BA612E" w:rsidRPr="00585653" w14:paraId="3EEAC247" w14:textId="77777777">
        <w:tc>
          <w:tcPr>
            <w:tcW w:w="402" w:type="dxa"/>
          </w:tcPr>
          <w:p w14:paraId="6DBE75C4" w14:textId="77777777" w:rsidR="00BA612E" w:rsidRDefault="00000000">
            <w:pPr>
              <w:pStyle w:val="Compact"/>
            </w:pPr>
            <w:r>
              <w:t>12</w:t>
            </w:r>
          </w:p>
        </w:tc>
        <w:tc>
          <w:tcPr>
            <w:tcW w:w="1476" w:type="dxa"/>
          </w:tcPr>
          <w:p w14:paraId="3EB8D880" w14:textId="77777777" w:rsidR="00BA612E" w:rsidRDefault="00000000">
            <w:pPr>
              <w:pStyle w:val="Compact"/>
            </w:pPr>
            <w:r>
              <w:rPr>
                <w:rStyle w:val="VerbatimChar"/>
              </w:rPr>
              <w:t>TECH_VASP_RELOAD_BRIDGE.md</w:t>
            </w:r>
          </w:p>
        </w:tc>
        <w:tc>
          <w:tcPr>
            <w:tcW w:w="1073" w:type="dxa"/>
          </w:tcPr>
          <w:p w14:paraId="54568522" w14:textId="77777777" w:rsidR="00BA612E" w:rsidRDefault="00000000">
            <w:pPr>
              <w:pStyle w:val="Compact"/>
            </w:pPr>
            <w:r>
              <w:t>⚠️ Parcial</w:t>
            </w:r>
          </w:p>
        </w:tc>
        <w:tc>
          <w:tcPr>
            <w:tcW w:w="2416" w:type="dxa"/>
          </w:tcPr>
          <w:p w14:paraId="163E5301" w14:textId="77777777" w:rsidR="00BA612E" w:rsidRDefault="00000000">
            <w:pPr>
              <w:pStyle w:val="Compact"/>
            </w:pPr>
            <w:r>
              <w:t>6/10</w:t>
            </w:r>
          </w:p>
        </w:tc>
        <w:tc>
          <w:tcPr>
            <w:tcW w:w="2550" w:type="dxa"/>
          </w:tcPr>
          <w:p w14:paraId="7003052F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Bridge de recarga mapeada, mas sem fallback para falha de VASP e sem matriz de risco de contraparte</w:t>
            </w:r>
          </w:p>
        </w:tc>
      </w:tr>
    </w:tbl>
    <w:p w14:paraId="4F2BEE57" w14:textId="77777777" w:rsidR="00BA612E" w:rsidRPr="00585653" w:rsidRDefault="00000000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Média Geral da Base Técnica:</w:t>
      </w:r>
      <w:r w:rsidRPr="00585653">
        <w:rPr>
          <w:lang w:val="pt-BR"/>
        </w:rPr>
        <w:t xml:space="preserve"> 7,0/10 — </w:t>
      </w:r>
      <w:r w:rsidRPr="00585653">
        <w:rPr>
          <w:b/>
          <w:bCs/>
          <w:lang w:val="pt-BR"/>
        </w:rPr>
        <w:t>Boa, mas com lacunas críticas em compliance, fiscal e resiliência operacional.</w:t>
      </w:r>
    </w:p>
    <w:p w14:paraId="6363638F" w14:textId="77777777" w:rsidR="00BA612E" w:rsidRDefault="00000000">
      <w:r>
        <w:pict w14:anchorId="7FF6F9F2">
          <v:rect id="_x0000_i1026" style="width:0;height:1.5pt" o:hralign="center" o:hrstd="t" o:hr="t"/>
        </w:pict>
      </w:r>
    </w:p>
    <w:p w14:paraId="76EF4AA0" w14:textId="77777777" w:rsidR="00BA612E" w:rsidRPr="00585653" w:rsidRDefault="00000000">
      <w:pPr>
        <w:pStyle w:val="Heading1"/>
        <w:rPr>
          <w:lang w:val="pt-BR"/>
        </w:rPr>
      </w:pPr>
      <w:bookmarkStart w:id="3" w:name="X444edf5f3405bca7942f74579d92e3d95a8d520"/>
      <w:bookmarkEnd w:id="1"/>
      <w:bookmarkEnd w:id="2"/>
      <w:r w:rsidRPr="00585653">
        <w:rPr>
          <w:lang w:val="pt-BR"/>
        </w:rPr>
        <w:t>PARTE II: PONTOS FORTES (O QUE ESTÁ BEM CONSTRUÍDO)</w:t>
      </w:r>
    </w:p>
    <w:p w14:paraId="550EC89F" w14:textId="77777777" w:rsidR="00BA612E" w:rsidRDefault="00000000">
      <w:pPr>
        <w:pStyle w:val="Heading2"/>
      </w:pPr>
      <w:bookmarkStart w:id="4" w:name="arquitetura-tecnológica"/>
      <w:r>
        <w:t>2.1 Arquitetura Tecnológica</w:t>
      </w:r>
    </w:p>
    <w:p w14:paraId="33335634" w14:textId="77777777" w:rsidR="00BA612E" w:rsidRPr="00585653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585653">
        <w:rPr>
          <w:b/>
          <w:bCs/>
          <w:lang w:val="pt-BR"/>
        </w:rPr>
        <w:t>Dual-Stack Blockchain (Solana + Polygon):</w:t>
      </w:r>
      <w:r w:rsidRPr="00585653">
        <w:rPr>
          <w:lang w:val="pt-BR"/>
        </w:rPr>
        <w:t xml:space="preserve"> Decisão inteligente que equilibra custo/velocidade (Solana para varejo) com compatibilidade institucional (Polygon para B2B e integração Drex).</w:t>
      </w:r>
    </w:p>
    <w:p w14:paraId="537EC595" w14:textId="77777777" w:rsidR="00BA612E" w:rsidRDefault="00000000">
      <w:pPr>
        <w:pStyle w:val="Compact"/>
        <w:numPr>
          <w:ilvl w:val="0"/>
          <w:numId w:val="12"/>
        </w:numPr>
      </w:pPr>
      <w:r w:rsidRPr="00585653">
        <w:rPr>
          <w:b/>
          <w:bCs/>
          <w:lang w:val="pt-BR"/>
        </w:rPr>
        <w:t>Micro-hash Protocol:</w:t>
      </w:r>
      <w:r w:rsidRPr="00585653">
        <w:rPr>
          <w:lang w:val="pt-BR"/>
        </w:rPr>
        <w:t xml:space="preserve"> Inovação proprietária genuína que resolve conciliação atômica entre rails heterogêneos (on-chain ↔ fiat local). </w:t>
      </w:r>
      <w:r>
        <w:t>Este é um ativo de IP defensível.</w:t>
      </w:r>
    </w:p>
    <w:p w14:paraId="416EC3EA" w14:textId="77777777" w:rsidR="00BA612E" w:rsidRDefault="00000000">
      <w:pPr>
        <w:pStyle w:val="Compact"/>
        <w:numPr>
          <w:ilvl w:val="0"/>
          <w:numId w:val="12"/>
        </w:numPr>
      </w:pPr>
      <w:r w:rsidRPr="00585653">
        <w:rPr>
          <w:b/>
          <w:bCs/>
          <w:lang w:val="pt-BR"/>
        </w:rPr>
        <w:t>Matching Engine com Blind Queue:</w:t>
      </w:r>
      <w:r w:rsidRPr="00585653">
        <w:rPr>
          <w:lang w:val="pt-BR"/>
        </w:rPr>
        <w:t xml:space="preserve"> O leilão cego de 5 segundos com commit-reveal elimina sniping e conluio entre LPs. </w:t>
      </w:r>
      <w:r>
        <w:t>Mecanismo econômico bem desenhado.</w:t>
      </w:r>
    </w:p>
    <w:p w14:paraId="515EB93B" w14:textId="77777777" w:rsidR="00BA612E" w:rsidRPr="00585653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Embedded Wallets (Privy) + Paymaster:</w:t>
      </w:r>
      <w:r w:rsidRPr="00585653">
        <w:rPr>
          <w:lang w:val="pt-BR"/>
        </w:rPr>
        <w:t xml:space="preserve"> Abstração total de blockchain para o usuário final. Experiência “Apple-like” validada pelo mercado em 2026.</w:t>
      </w:r>
    </w:p>
    <w:p w14:paraId="39F4E261" w14:textId="77777777" w:rsidR="00BA612E" w:rsidRDefault="00000000">
      <w:pPr>
        <w:pStyle w:val="Compact"/>
        <w:numPr>
          <w:ilvl w:val="0"/>
          <w:numId w:val="12"/>
        </w:numPr>
      </w:pPr>
      <w:r w:rsidRPr="00585653">
        <w:rPr>
          <w:b/>
          <w:bCs/>
          <w:lang w:val="pt-BR"/>
        </w:rPr>
        <w:t>State Machine com Atomic Lock:</w:t>
      </w:r>
      <w:r w:rsidRPr="00585653">
        <w:rPr>
          <w:lang w:val="pt-BR"/>
        </w:rPr>
        <w:t xml:space="preserve"> O contrato </w:t>
      </w:r>
      <w:r w:rsidRPr="00585653">
        <w:rPr>
          <w:rStyle w:val="VerbatimChar"/>
          <w:lang w:val="pt-BR"/>
        </w:rPr>
        <w:t>FluxusNexus.sol</w:t>
      </w:r>
      <w:r w:rsidRPr="00585653">
        <w:rPr>
          <w:lang w:val="pt-BR"/>
        </w:rPr>
        <w:t xml:space="preserve"> garante que nenhum capital se movimente parcialmente. </w:t>
      </w:r>
      <w:r>
        <w:t>Rollback atômico em caso de timeout.</w:t>
      </w:r>
    </w:p>
    <w:p w14:paraId="029D63D5" w14:textId="77777777" w:rsidR="00BA612E" w:rsidRDefault="00000000">
      <w:pPr>
        <w:pStyle w:val="Heading2"/>
      </w:pPr>
      <w:bookmarkStart w:id="5" w:name="modelo-de-negócio"/>
      <w:bookmarkEnd w:id="4"/>
      <w:r>
        <w:t>2.2 Modelo de Negócio</w:t>
      </w:r>
    </w:p>
    <w:p w14:paraId="6B0B8585" w14:textId="77777777" w:rsidR="00BA612E" w:rsidRPr="00585653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585653">
        <w:rPr>
          <w:b/>
          <w:bCs/>
          <w:lang w:val="pt-BR"/>
        </w:rPr>
        <w:t>Crowdsourced Liquidity:</w:t>
      </w:r>
      <w:r w:rsidRPr="00585653">
        <w:rPr>
          <w:lang w:val="pt-BR"/>
        </w:rPr>
        <w:t xml:space="preserve"> Elimina necessidade de prefunding bilionário (diferencial vs Wise/Revolut).</w:t>
      </w:r>
    </w:p>
    <w:p w14:paraId="340E206D" w14:textId="77777777" w:rsidR="00BA612E" w:rsidRPr="00585653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585653">
        <w:rPr>
          <w:b/>
          <w:bCs/>
          <w:lang w:val="pt-BR"/>
        </w:rPr>
        <w:t>Pricing Tiered/Dominância:</w:t>
      </w:r>
      <w:r w:rsidRPr="00585653">
        <w:rPr>
          <w:lang w:val="pt-BR"/>
        </w:rPr>
        <w:t xml:space="preserve"> Estrutura de preços flexível que preserva margem no atacado e compete no varejo.</w:t>
      </w:r>
    </w:p>
    <w:p w14:paraId="1CFECFBD" w14:textId="77777777" w:rsidR="00BA612E" w:rsidRPr="00585653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585653">
        <w:rPr>
          <w:b/>
          <w:bCs/>
          <w:lang w:val="pt-BR"/>
        </w:rPr>
        <w:t>Reputação On-Chain:</w:t>
      </w:r>
      <w:r w:rsidRPr="00585653">
        <w:rPr>
          <w:lang w:val="pt-BR"/>
        </w:rPr>
        <w:t xml:space="preserve"> Sistema de scoring (0-1000) com tiers (Bronze a Platinum) que alinha incentivos e qualidade de serviço.</w:t>
      </w:r>
    </w:p>
    <w:p w14:paraId="76744CD7" w14:textId="77777777" w:rsidR="00BA612E" w:rsidRPr="00585653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585653">
        <w:rPr>
          <w:b/>
          <w:bCs/>
          <w:lang w:val="pt-BR"/>
        </w:rPr>
        <w:t>Shadow-Crypto Layer:</w:t>
      </w:r>
      <w:r w:rsidRPr="00585653">
        <w:rPr>
          <w:lang w:val="pt-BR"/>
        </w:rPr>
        <w:t xml:space="preserve"> O usuário nunca vê “USDT” ou “Polygon”. Isso remove a barreira psicológica de adoção.</w:t>
      </w:r>
    </w:p>
    <w:p w14:paraId="66B4C35F" w14:textId="77777777" w:rsidR="00BA612E" w:rsidRDefault="00000000">
      <w:pPr>
        <w:pStyle w:val="Heading2"/>
      </w:pPr>
      <w:bookmarkStart w:id="6" w:name="governança-e-auditoria"/>
      <w:bookmarkEnd w:id="5"/>
      <w:r>
        <w:t>2.3 Governança e Auditoria</w:t>
      </w:r>
    </w:p>
    <w:p w14:paraId="3FB809AD" w14:textId="77777777" w:rsidR="00BA612E" w:rsidRPr="00585653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585653">
        <w:rPr>
          <w:b/>
          <w:bCs/>
          <w:lang w:val="pt-BR"/>
        </w:rPr>
        <w:t>Macrohash + Minihash:</w:t>
      </w:r>
      <w:r w:rsidRPr="00585653">
        <w:rPr>
          <w:lang w:val="pt-BR"/>
        </w:rPr>
        <w:t xml:space="preserve"> Estrutura de auditoria de dois níveis que permite auditoria externa sem acesso a dados privados.</w:t>
      </w:r>
    </w:p>
    <w:p w14:paraId="1257F67C" w14:textId="77777777" w:rsidR="00BA612E" w:rsidRDefault="00000000">
      <w:pPr>
        <w:pStyle w:val="Compact"/>
        <w:numPr>
          <w:ilvl w:val="0"/>
          <w:numId w:val="14"/>
        </w:numPr>
      </w:pPr>
      <w:r w:rsidRPr="00585653">
        <w:rPr>
          <w:b/>
          <w:bCs/>
          <w:lang w:val="pt-BR"/>
        </w:rPr>
        <w:t>Multi-Sig Admin:</w:t>
      </w:r>
      <w:r w:rsidRPr="00585653">
        <w:rPr>
          <w:lang w:val="pt-BR"/>
        </w:rPr>
        <w:t xml:space="preserve"> Alterações de spread exigem 2/3 assinaturas. </w:t>
      </w:r>
      <w:r>
        <w:t>Proteção contra mudanças unilaterais.</w:t>
      </w:r>
    </w:p>
    <w:p w14:paraId="5397B535" w14:textId="77777777" w:rsidR="00BA612E" w:rsidRPr="00585653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585653">
        <w:rPr>
          <w:b/>
          <w:bCs/>
          <w:lang w:val="pt-BR"/>
        </w:rPr>
        <w:t>Transparência Radical:</w:t>
      </w:r>
      <w:r w:rsidRPr="00585653">
        <w:rPr>
          <w:lang w:val="pt-BR"/>
        </w:rPr>
        <w:t xml:space="preserve"> Dashboard de governança com ledger público e relatórios de conformidade em tempo real.</w:t>
      </w:r>
    </w:p>
    <w:p w14:paraId="7E0F9B00" w14:textId="77777777" w:rsidR="00BA612E" w:rsidRDefault="00000000">
      <w:r>
        <w:pict w14:anchorId="40DFA616">
          <v:rect id="_x0000_i1027" style="width:0;height:1.5pt" o:hralign="center" o:hrstd="t" o:hr="t"/>
        </w:pict>
      </w:r>
    </w:p>
    <w:p w14:paraId="37BA4CA8" w14:textId="77777777" w:rsidR="00BA612E" w:rsidRPr="00585653" w:rsidRDefault="00000000">
      <w:pPr>
        <w:pStyle w:val="Heading1"/>
        <w:rPr>
          <w:lang w:val="pt-BR"/>
        </w:rPr>
      </w:pPr>
      <w:bookmarkStart w:id="7" w:name="X094e488e40520c46b00dac3826b6cdeda64a3f0"/>
      <w:bookmarkEnd w:id="3"/>
      <w:bookmarkEnd w:id="6"/>
      <w:r w:rsidRPr="00585653">
        <w:rPr>
          <w:lang w:val="pt-BR"/>
        </w:rPr>
        <w:t>PARTE III: LACUNAS CRÍTICAS IDENTIFICADAS (O QUE PRECISA DE VALIDAÇÃO)</w:t>
      </w:r>
    </w:p>
    <w:p w14:paraId="011B940A" w14:textId="77777777" w:rsidR="00BA612E" w:rsidRDefault="00000000">
      <w:pPr>
        <w:pStyle w:val="Heading2"/>
      </w:pPr>
      <w:bookmarkStart w:id="8" w:name="regulação-e-compliance-gaps-severos"/>
      <w:r>
        <w:t>3.1 Regulação e Compliance — GAPS SEVEROS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3"/>
        <w:gridCol w:w="1988"/>
        <w:gridCol w:w="1988"/>
        <w:gridCol w:w="3977"/>
      </w:tblGrid>
      <w:tr w:rsidR="00BA612E" w14:paraId="22404033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8" w:type="dxa"/>
          </w:tcPr>
          <w:p w14:paraId="1A0AF04B" w14:textId="77777777" w:rsidR="00BA612E" w:rsidRDefault="00000000">
            <w:pPr>
              <w:pStyle w:val="Compact"/>
            </w:pPr>
            <w:r>
              <w:t>Gap</w:t>
            </w:r>
          </w:p>
        </w:tc>
        <w:tc>
          <w:tcPr>
            <w:tcW w:w="1777" w:type="dxa"/>
          </w:tcPr>
          <w:p w14:paraId="30B12A9D" w14:textId="77777777" w:rsidR="00BA612E" w:rsidRDefault="00000000">
            <w:pPr>
              <w:pStyle w:val="Compact"/>
            </w:pPr>
            <w:r>
              <w:t>Severidade</w:t>
            </w:r>
          </w:p>
        </w:tc>
        <w:tc>
          <w:tcPr>
            <w:tcW w:w="1777" w:type="dxa"/>
          </w:tcPr>
          <w:p w14:paraId="17BCA550" w14:textId="77777777" w:rsidR="00BA612E" w:rsidRDefault="00000000">
            <w:pPr>
              <w:pStyle w:val="Compact"/>
            </w:pPr>
            <w:r>
              <w:t>Descrição</w:t>
            </w:r>
          </w:p>
        </w:tc>
        <w:tc>
          <w:tcPr>
            <w:tcW w:w="3555" w:type="dxa"/>
          </w:tcPr>
          <w:p w14:paraId="3B1EA8D8" w14:textId="77777777" w:rsidR="00BA612E" w:rsidRDefault="00000000">
            <w:pPr>
              <w:pStyle w:val="Compact"/>
            </w:pPr>
            <w:r>
              <w:t>Risco se Não Mitigado</w:t>
            </w:r>
          </w:p>
        </w:tc>
      </w:tr>
      <w:tr w:rsidR="00BA612E" w:rsidRPr="00585653" w14:paraId="16D9B22D" w14:textId="77777777">
        <w:tc>
          <w:tcPr>
            <w:tcW w:w="808" w:type="dxa"/>
          </w:tcPr>
          <w:p w14:paraId="15EB9888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 xml:space="preserve">Falta de </w:t>
            </w:r>
            <w:r w:rsidRPr="00585653">
              <w:rPr>
                <w:b/>
                <w:bCs/>
                <w:lang w:val="pt-BR"/>
              </w:rPr>
              <w:lastRenderedPageBreak/>
              <w:t>Framework AML/KYC Transnacional</w:t>
            </w:r>
          </w:p>
        </w:tc>
        <w:tc>
          <w:tcPr>
            <w:tcW w:w="1777" w:type="dxa"/>
          </w:tcPr>
          <w:p w14:paraId="0A474F22" w14:textId="77777777" w:rsidR="00BA612E" w:rsidRDefault="00000000">
            <w:pPr>
              <w:pStyle w:val="Compact"/>
            </w:pPr>
            <w:r>
              <w:lastRenderedPageBreak/>
              <w:t>🔴 Crítico</w:t>
            </w:r>
          </w:p>
        </w:tc>
        <w:tc>
          <w:tcPr>
            <w:tcW w:w="1777" w:type="dxa"/>
          </w:tcPr>
          <w:p w14:paraId="6CB387E4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 xml:space="preserve">SumSub cobre KYC básico, </w:t>
            </w:r>
            <w:r w:rsidRPr="00585653">
              <w:rPr>
                <w:lang w:val="pt-BR"/>
              </w:rPr>
              <w:lastRenderedPageBreak/>
              <w:t>mas não há especificação de: (a) screening de listas de sanções (OFAC, UN, EU), (b) monitoramento de transações em tempo real (transaction monitoring), (c) reporte automático de operações suspeitas (SAR/ROPS)</w:t>
            </w:r>
          </w:p>
        </w:tc>
        <w:tc>
          <w:tcPr>
            <w:tcW w:w="3555" w:type="dxa"/>
          </w:tcPr>
          <w:p w14:paraId="3E712D0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lastRenderedPageBreak/>
              <w:t xml:space="preserve">Bloqueio regulatório, multas, perda </w:t>
            </w:r>
            <w:r w:rsidRPr="00585653">
              <w:rPr>
                <w:lang w:val="pt-BR"/>
              </w:rPr>
              <w:lastRenderedPageBreak/>
              <w:t>de parceiros bancários</w:t>
            </w:r>
          </w:p>
        </w:tc>
      </w:tr>
      <w:tr w:rsidR="00BA612E" w:rsidRPr="00585653" w14:paraId="499BFF66" w14:textId="77777777">
        <w:tc>
          <w:tcPr>
            <w:tcW w:w="808" w:type="dxa"/>
          </w:tcPr>
          <w:p w14:paraId="38951E2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lastRenderedPageBreak/>
              <w:t>Ausência de Travel Rule (FATF R.16)</w:t>
            </w:r>
          </w:p>
        </w:tc>
        <w:tc>
          <w:tcPr>
            <w:tcW w:w="1777" w:type="dxa"/>
          </w:tcPr>
          <w:p w14:paraId="4BB25B51" w14:textId="77777777" w:rsidR="00BA612E" w:rsidRDefault="00000000">
            <w:pPr>
              <w:pStyle w:val="Compact"/>
            </w:pPr>
            <w:r>
              <w:t>🔴 Crítico</w:t>
            </w:r>
          </w:p>
        </w:tc>
        <w:tc>
          <w:tcPr>
            <w:tcW w:w="1777" w:type="dxa"/>
          </w:tcPr>
          <w:p w14:paraId="1465FF28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Documento menciona IVMS101, mas não há especificação técnica de como dados de origem/destino são trocados entre VASPs</w:t>
            </w:r>
          </w:p>
        </w:tc>
        <w:tc>
          <w:tcPr>
            <w:tcW w:w="3555" w:type="dxa"/>
          </w:tcPr>
          <w:p w14:paraId="27FA5502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Penalidades em jurisdições G20, proibição de operação</w:t>
            </w:r>
          </w:p>
        </w:tc>
      </w:tr>
      <w:tr w:rsidR="00BA612E" w:rsidRPr="00585653" w14:paraId="3C18C1A8" w14:textId="77777777">
        <w:tc>
          <w:tcPr>
            <w:tcW w:w="808" w:type="dxa"/>
          </w:tcPr>
          <w:p w14:paraId="00A1C573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 xml:space="preserve">Sem </w:t>
            </w:r>
            <w:r w:rsidRPr="00585653">
              <w:rPr>
                <w:b/>
                <w:bCs/>
                <w:lang w:val="pt-BR"/>
              </w:rPr>
              <w:lastRenderedPageBreak/>
              <w:t>Plano de Licenciamento por Jurisdição</w:t>
            </w:r>
          </w:p>
        </w:tc>
        <w:tc>
          <w:tcPr>
            <w:tcW w:w="1777" w:type="dxa"/>
          </w:tcPr>
          <w:p w14:paraId="592074A3" w14:textId="77777777" w:rsidR="00BA612E" w:rsidRDefault="00000000">
            <w:pPr>
              <w:pStyle w:val="Compact"/>
            </w:pPr>
            <w:r>
              <w:lastRenderedPageBreak/>
              <w:t>🟡 Alto</w:t>
            </w:r>
          </w:p>
        </w:tc>
        <w:tc>
          <w:tcPr>
            <w:tcW w:w="1777" w:type="dxa"/>
          </w:tcPr>
          <w:p w14:paraId="4D278355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 xml:space="preserve">O modelo </w:t>
            </w:r>
            <w:r w:rsidRPr="00585653">
              <w:rPr>
                <w:lang w:val="pt-BR"/>
              </w:rPr>
              <w:lastRenderedPageBreak/>
              <w:t>“agnostic to license” é arriscado. Cada país exige análise de: (a) MSB license (USA FinCEN), (b) EMI license (UE), (c) SPI/SCP (Brasil BCB), (d) VASP registration (MiCA, Coreia, Japão)</w:t>
            </w:r>
          </w:p>
        </w:tc>
        <w:tc>
          <w:tcPr>
            <w:tcW w:w="3555" w:type="dxa"/>
          </w:tcPr>
          <w:p w14:paraId="7FE62B51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lastRenderedPageBreak/>
              <w:t>Operação ilegal em mercados-</w:t>
            </w:r>
            <w:r w:rsidRPr="00585653">
              <w:rPr>
                <w:lang w:val="pt-BR"/>
              </w:rPr>
              <w:lastRenderedPageBreak/>
              <w:t>chave</w:t>
            </w:r>
          </w:p>
        </w:tc>
      </w:tr>
      <w:tr w:rsidR="00BA612E" w:rsidRPr="00585653" w14:paraId="39B4A903" w14:textId="77777777">
        <w:tc>
          <w:tcPr>
            <w:tcW w:w="808" w:type="dxa"/>
          </w:tcPr>
          <w:p w14:paraId="1CCA0DFE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lastRenderedPageBreak/>
              <w:t>Falta de Análise de Sanções (OFAC)</w:t>
            </w:r>
          </w:p>
        </w:tc>
        <w:tc>
          <w:tcPr>
            <w:tcW w:w="1777" w:type="dxa"/>
          </w:tcPr>
          <w:p w14:paraId="0E879973" w14:textId="77777777" w:rsidR="00BA612E" w:rsidRDefault="00000000">
            <w:pPr>
              <w:pStyle w:val="Compact"/>
            </w:pPr>
            <w:r>
              <w:t>🔴 Crítico</w:t>
            </w:r>
          </w:p>
        </w:tc>
        <w:tc>
          <w:tcPr>
            <w:tcW w:w="1777" w:type="dxa"/>
          </w:tcPr>
          <w:p w14:paraId="031691E5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menção a screening de países sancionados (Irã, Coreia do Norte, Síria, Rússia) ou entidades SDN</w:t>
            </w:r>
          </w:p>
        </w:tc>
        <w:tc>
          <w:tcPr>
            <w:tcW w:w="3555" w:type="dxa"/>
          </w:tcPr>
          <w:p w14:paraId="13E7ABC0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Sanções secundárias dos EUA, congelamento de ativos</w:t>
            </w:r>
          </w:p>
        </w:tc>
      </w:tr>
      <w:tr w:rsidR="00BA612E" w:rsidRPr="00585653" w14:paraId="67204C06" w14:textId="77777777">
        <w:tc>
          <w:tcPr>
            <w:tcW w:w="808" w:type="dxa"/>
          </w:tcPr>
          <w:p w14:paraId="62C4B4C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 xml:space="preserve">Sem Framework de Proteção de </w:t>
            </w:r>
            <w:r w:rsidRPr="00585653">
              <w:rPr>
                <w:b/>
                <w:bCs/>
                <w:lang w:val="pt-BR"/>
              </w:rPr>
              <w:lastRenderedPageBreak/>
              <w:t>Dados (LGPD/GDPR)</w:t>
            </w:r>
          </w:p>
        </w:tc>
        <w:tc>
          <w:tcPr>
            <w:tcW w:w="1777" w:type="dxa"/>
          </w:tcPr>
          <w:p w14:paraId="2F580438" w14:textId="77777777" w:rsidR="00BA612E" w:rsidRDefault="00000000">
            <w:pPr>
              <w:pStyle w:val="Compact"/>
            </w:pPr>
            <w:r>
              <w:lastRenderedPageBreak/>
              <w:t>🟡 Alto</w:t>
            </w:r>
          </w:p>
        </w:tc>
        <w:tc>
          <w:tcPr>
            <w:tcW w:w="1777" w:type="dxa"/>
          </w:tcPr>
          <w:p w14:paraId="5EA6AE9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 xml:space="preserve">Não há especificação de: (a) consentimento explícito granular, (b) direito ao </w:t>
            </w:r>
            <w:r w:rsidRPr="00585653">
              <w:rPr>
                <w:lang w:val="pt-BR"/>
              </w:rPr>
              <w:lastRenderedPageBreak/>
              <w:t>esquecimento, (c) DPO, (d) transferência internacional de dados</w:t>
            </w:r>
          </w:p>
        </w:tc>
        <w:tc>
          <w:tcPr>
            <w:tcW w:w="3555" w:type="dxa"/>
          </w:tcPr>
          <w:p w14:paraId="3B848CF4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lastRenderedPageBreak/>
              <w:t>Multas de até 2% do faturamento (GDPR) ou R$ 50 mi (LGPD)</w:t>
            </w:r>
          </w:p>
        </w:tc>
      </w:tr>
      <w:tr w:rsidR="00BA612E" w:rsidRPr="00585653" w14:paraId="1A2E9FB2" w14:textId="77777777">
        <w:tc>
          <w:tcPr>
            <w:tcW w:w="808" w:type="dxa"/>
          </w:tcPr>
          <w:p w14:paraId="5D1164C9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Ausência de Política de Reserva Bancária</w:t>
            </w:r>
          </w:p>
        </w:tc>
        <w:tc>
          <w:tcPr>
            <w:tcW w:w="1777" w:type="dxa"/>
          </w:tcPr>
          <w:p w14:paraId="7F544E5B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1777" w:type="dxa"/>
          </w:tcPr>
          <w:p w14:paraId="604EE301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menção a requisitos de capital mínimo, reservas de liquidez ou segregação de fundos de clientes vs. fundos operacionais</w:t>
            </w:r>
          </w:p>
        </w:tc>
        <w:tc>
          <w:tcPr>
            <w:tcW w:w="3555" w:type="dxa"/>
          </w:tcPr>
          <w:p w14:paraId="4D679792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Falência técnica, insolvência, corrida bancária</w:t>
            </w:r>
          </w:p>
        </w:tc>
      </w:tr>
    </w:tbl>
    <w:p w14:paraId="09B13979" w14:textId="77777777" w:rsidR="00BA612E" w:rsidRDefault="00000000">
      <w:pPr>
        <w:pStyle w:val="Heading2"/>
      </w:pPr>
      <w:bookmarkStart w:id="9" w:name="fiscal-e-tributário-gaps-severos"/>
      <w:bookmarkEnd w:id="8"/>
      <w:r>
        <w:t>3.2 Fiscal e Tributário — GAPS SEVEROS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0"/>
        <w:gridCol w:w="2706"/>
        <w:gridCol w:w="2706"/>
        <w:gridCol w:w="2214"/>
      </w:tblGrid>
      <w:tr w:rsidR="00BA612E" w14:paraId="27F05059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0" w:type="dxa"/>
          </w:tcPr>
          <w:p w14:paraId="6EF68735" w14:textId="77777777" w:rsidR="00BA612E" w:rsidRDefault="00000000">
            <w:pPr>
              <w:pStyle w:val="Compact"/>
            </w:pPr>
            <w:r>
              <w:t>Gap</w:t>
            </w:r>
          </w:p>
        </w:tc>
        <w:tc>
          <w:tcPr>
            <w:tcW w:w="2420" w:type="dxa"/>
          </w:tcPr>
          <w:p w14:paraId="02ADFB90" w14:textId="77777777" w:rsidR="00BA612E" w:rsidRDefault="00000000">
            <w:pPr>
              <w:pStyle w:val="Compact"/>
            </w:pPr>
            <w:r>
              <w:t>Severidade</w:t>
            </w:r>
          </w:p>
        </w:tc>
        <w:tc>
          <w:tcPr>
            <w:tcW w:w="2420" w:type="dxa"/>
          </w:tcPr>
          <w:p w14:paraId="679867CD" w14:textId="77777777" w:rsidR="00BA612E" w:rsidRDefault="00000000">
            <w:pPr>
              <w:pStyle w:val="Compact"/>
            </w:pPr>
            <w:r>
              <w:t>Descrição</w:t>
            </w:r>
          </w:p>
        </w:tc>
        <w:tc>
          <w:tcPr>
            <w:tcW w:w="1980" w:type="dxa"/>
          </w:tcPr>
          <w:p w14:paraId="5CD30EEC" w14:textId="77777777" w:rsidR="00BA612E" w:rsidRDefault="00000000">
            <w:pPr>
              <w:pStyle w:val="Compact"/>
            </w:pPr>
            <w:r>
              <w:t>Impacto</w:t>
            </w:r>
          </w:p>
        </w:tc>
      </w:tr>
      <w:tr w:rsidR="00BA612E" w:rsidRPr="00585653" w14:paraId="537D65A2" w14:textId="77777777">
        <w:tc>
          <w:tcPr>
            <w:tcW w:w="1100" w:type="dxa"/>
          </w:tcPr>
          <w:p w14:paraId="49472D4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Sem Modelagem Tributária por Jurisdição</w:t>
            </w:r>
          </w:p>
        </w:tc>
        <w:tc>
          <w:tcPr>
            <w:tcW w:w="2420" w:type="dxa"/>
          </w:tcPr>
          <w:p w14:paraId="4AA14A3F" w14:textId="77777777" w:rsidR="00BA612E" w:rsidRDefault="00000000">
            <w:pPr>
              <w:pStyle w:val="Compact"/>
            </w:pPr>
            <w:r>
              <w:t>🔴 Crítico</w:t>
            </w:r>
          </w:p>
        </w:tc>
        <w:tc>
          <w:tcPr>
            <w:tcW w:w="2420" w:type="dxa"/>
          </w:tcPr>
          <w:p w14:paraId="28AA2EF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especificação de: (a) IRRF sobre ganho de capital do LP, (b) IOF sobre remessas (mencionado mas não detalhado), (c) ISS sobre serviço de orquestração, (d) VAT/GST em países com taxação de serviços digitais</w:t>
            </w:r>
          </w:p>
        </w:tc>
        <w:tc>
          <w:tcPr>
            <w:tcW w:w="1980" w:type="dxa"/>
          </w:tcPr>
          <w:p w14:paraId="23D8E95D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Autuações fiscais, bloqueio de operação</w:t>
            </w:r>
          </w:p>
        </w:tc>
      </w:tr>
      <w:tr w:rsidR="00BA612E" w14:paraId="2689825C" w14:textId="77777777">
        <w:tc>
          <w:tcPr>
            <w:tcW w:w="1100" w:type="dxa"/>
          </w:tcPr>
          <w:p w14:paraId="0CB0D152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lastRenderedPageBreak/>
              <w:t>Falta de DRE Fiscal Detalhado</w:t>
            </w:r>
          </w:p>
        </w:tc>
        <w:tc>
          <w:tcPr>
            <w:tcW w:w="2420" w:type="dxa"/>
          </w:tcPr>
          <w:p w14:paraId="765AE59E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2420" w:type="dxa"/>
          </w:tcPr>
          <w:p w14:paraId="1827CC65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O DRE do Ano 1 é macro. Não há: (a) projeção de imposto de renda, (b) projeção de contribuições sociais, (c) cenário de transfer pricing para transações entre entidades do grupo</w:t>
            </w:r>
          </w:p>
        </w:tc>
        <w:tc>
          <w:tcPr>
            <w:tcW w:w="1980" w:type="dxa"/>
          </w:tcPr>
          <w:p w14:paraId="49D90B0B" w14:textId="77777777" w:rsidR="00BA612E" w:rsidRDefault="00000000">
            <w:pPr>
              <w:pStyle w:val="Compact"/>
            </w:pPr>
            <w:r>
              <w:t>Substituição tributária, multas</w:t>
            </w:r>
          </w:p>
        </w:tc>
      </w:tr>
      <w:tr w:rsidR="00BA612E" w:rsidRPr="00585653" w14:paraId="5A05D1B9" w14:textId="77777777">
        <w:tc>
          <w:tcPr>
            <w:tcW w:w="1100" w:type="dxa"/>
          </w:tcPr>
          <w:p w14:paraId="045AC357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Sem Estrutura de Holding e SPVs</w:t>
            </w:r>
          </w:p>
        </w:tc>
        <w:tc>
          <w:tcPr>
            <w:tcW w:w="2420" w:type="dxa"/>
          </w:tcPr>
          <w:p w14:paraId="290491C3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2420" w:type="dxa"/>
          </w:tcPr>
          <w:p w14:paraId="2F589F50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menção a estrutura societária: onde a holding fica (Cayman, Delaware, Curaçao?), onde as operações ficam, como é feita a repatriação de lucros</w:t>
            </w:r>
          </w:p>
        </w:tc>
        <w:tc>
          <w:tcPr>
            <w:tcW w:w="1980" w:type="dxa"/>
          </w:tcPr>
          <w:p w14:paraId="75E47FC0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Eficiência fiscal comprometida, risco de CFC rules</w:t>
            </w:r>
          </w:p>
        </w:tc>
      </w:tr>
      <w:tr w:rsidR="00BA612E" w:rsidRPr="00585653" w14:paraId="308BA145" w14:textId="77777777">
        <w:tc>
          <w:tcPr>
            <w:tcW w:w="1100" w:type="dxa"/>
          </w:tcPr>
          <w:p w14:paraId="2C4B927B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Falta de Plano de Precificação de Transferência</w:t>
            </w:r>
          </w:p>
        </w:tc>
        <w:tc>
          <w:tcPr>
            <w:tcW w:w="2420" w:type="dxa"/>
          </w:tcPr>
          <w:p w14:paraId="6A3F3E37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2420" w:type="dxa"/>
          </w:tcPr>
          <w:p w14:paraId="1742B367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Se o FLUXUS tiver entidades em múltiplas jurisdições, os serviços entre elas (ex: plataforma em Delaware + VASP no Brasil) precisam de precificação de mercado</w:t>
            </w:r>
          </w:p>
        </w:tc>
        <w:tc>
          <w:tcPr>
            <w:tcW w:w="1980" w:type="dxa"/>
          </w:tcPr>
          <w:p w14:paraId="74E92DB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Ajustes de transfer pricing, multas de até 150% do valor omitido</w:t>
            </w:r>
          </w:p>
        </w:tc>
      </w:tr>
    </w:tbl>
    <w:p w14:paraId="77B69B2C" w14:textId="77777777" w:rsidR="00BA612E" w:rsidRDefault="00000000">
      <w:pPr>
        <w:pStyle w:val="Heading2"/>
      </w:pPr>
      <w:bookmarkStart w:id="10" w:name="operações-e-resiliência-gaps-moderados"/>
      <w:bookmarkEnd w:id="9"/>
      <w:r>
        <w:t>3.3 Operações e Resiliência — GAPS MODERADOS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0"/>
        <w:gridCol w:w="3608"/>
        <w:gridCol w:w="3608"/>
      </w:tblGrid>
      <w:tr w:rsidR="00BA612E" w14:paraId="545E4EDB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14:paraId="336BCF49" w14:textId="77777777" w:rsidR="00BA612E" w:rsidRDefault="00000000">
            <w:pPr>
              <w:pStyle w:val="Compact"/>
            </w:pPr>
            <w:r>
              <w:t>Gap</w:t>
            </w:r>
          </w:p>
        </w:tc>
        <w:tc>
          <w:tcPr>
            <w:tcW w:w="3226" w:type="dxa"/>
          </w:tcPr>
          <w:p w14:paraId="49FBF75D" w14:textId="77777777" w:rsidR="00BA612E" w:rsidRDefault="00000000">
            <w:pPr>
              <w:pStyle w:val="Compact"/>
            </w:pPr>
            <w:r>
              <w:t>Severidade</w:t>
            </w:r>
          </w:p>
        </w:tc>
        <w:tc>
          <w:tcPr>
            <w:tcW w:w="3226" w:type="dxa"/>
          </w:tcPr>
          <w:p w14:paraId="624D8E70" w14:textId="77777777" w:rsidR="00BA612E" w:rsidRDefault="00000000">
            <w:pPr>
              <w:pStyle w:val="Compact"/>
            </w:pPr>
            <w:r>
              <w:t>Descrição</w:t>
            </w:r>
          </w:p>
        </w:tc>
      </w:tr>
      <w:tr w:rsidR="00BA612E" w:rsidRPr="00585653" w14:paraId="1D9979E0" w14:textId="77777777">
        <w:tc>
          <w:tcPr>
            <w:tcW w:w="1466" w:type="dxa"/>
          </w:tcPr>
          <w:p w14:paraId="4103FE2D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lastRenderedPageBreak/>
              <w:t>Sem Plano de Disaster Recovery (DR)</w:t>
            </w:r>
          </w:p>
        </w:tc>
        <w:tc>
          <w:tcPr>
            <w:tcW w:w="3226" w:type="dxa"/>
          </w:tcPr>
          <w:p w14:paraId="513ADD49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3226" w:type="dxa"/>
          </w:tcPr>
          <w:p w14:paraId="5A482AA9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especificação de: (a) RPO/RTO, (b) backup multi-região, (c) failover de matching engine</w:t>
            </w:r>
          </w:p>
        </w:tc>
      </w:tr>
      <w:tr w:rsidR="00BA612E" w:rsidRPr="00585653" w14:paraId="5910B914" w14:textId="77777777">
        <w:tc>
          <w:tcPr>
            <w:tcW w:w="1466" w:type="dxa"/>
          </w:tcPr>
          <w:p w14:paraId="23E5501B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Falta de Rate Limiting e DDoS Protection</w:t>
            </w:r>
          </w:p>
        </w:tc>
        <w:tc>
          <w:tcPr>
            <w:tcW w:w="3226" w:type="dxa"/>
          </w:tcPr>
          <w:p w14:paraId="2F3EEB75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3226" w:type="dxa"/>
          </w:tcPr>
          <w:p w14:paraId="1BDBC491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APIs documentadas sem limites de requisição, sem WAF, sem proteção contra bots</w:t>
            </w:r>
          </w:p>
        </w:tc>
      </w:tr>
      <w:tr w:rsidR="00BA612E" w:rsidRPr="00585653" w14:paraId="74CAB051" w14:textId="77777777">
        <w:tc>
          <w:tcPr>
            <w:tcW w:w="1466" w:type="dxa"/>
          </w:tcPr>
          <w:p w14:paraId="71991C43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Sem Simulação de Ataques Sybil</w:t>
            </w:r>
          </w:p>
        </w:tc>
        <w:tc>
          <w:tcPr>
            <w:tcW w:w="3226" w:type="dxa"/>
          </w:tcPr>
          <w:p w14:paraId="19DE3B0A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3226" w:type="dxa"/>
          </w:tcPr>
          <w:p w14:paraId="7D8BBC7B" w14:textId="77777777" w:rsidR="00BA612E" w:rsidRPr="00585653" w:rsidRDefault="00000000">
            <w:pPr>
              <w:pStyle w:val="Compact"/>
              <w:rPr>
                <w:lang w:val="pt-BR"/>
              </w:rPr>
            </w:pPr>
            <w:r>
              <w:t xml:space="preserve">Matching engine assume LPs honestos. </w:t>
            </w:r>
            <w:r w:rsidRPr="00585653">
              <w:rPr>
                <w:lang w:val="pt-BR"/>
              </w:rPr>
              <w:t>Não há mecanismo de prova de identidade forte para LPs além do KYC básico</w:t>
            </w:r>
          </w:p>
        </w:tc>
      </w:tr>
      <w:tr w:rsidR="00BA612E" w:rsidRPr="00585653" w14:paraId="6F30A24A" w14:textId="77777777">
        <w:tc>
          <w:tcPr>
            <w:tcW w:w="1466" w:type="dxa"/>
          </w:tcPr>
          <w:p w14:paraId="1EDB1A8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Ausência de Fallback de VASP</w:t>
            </w:r>
          </w:p>
        </w:tc>
        <w:tc>
          <w:tcPr>
            <w:tcW w:w="3226" w:type="dxa"/>
          </w:tcPr>
          <w:p w14:paraId="56954D56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3226" w:type="dxa"/>
          </w:tcPr>
          <w:p w14:paraId="38C4C119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Se a VASP parceira (ex: Rain, Reap) falhar, não há plano B documentado para liquidação</w:t>
            </w:r>
          </w:p>
        </w:tc>
      </w:tr>
      <w:tr w:rsidR="00BA612E" w:rsidRPr="00585653" w14:paraId="0B2E5DB2" w14:textId="77777777">
        <w:tc>
          <w:tcPr>
            <w:tcW w:w="1466" w:type="dxa"/>
          </w:tcPr>
          <w:p w14:paraId="37CED24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Falta de Métricas de Capital Efficiency</w:t>
            </w:r>
          </w:p>
        </w:tc>
        <w:tc>
          <w:tcPr>
            <w:tcW w:w="3226" w:type="dxa"/>
          </w:tcPr>
          <w:p w14:paraId="14663FD2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3226" w:type="dxa"/>
          </w:tcPr>
          <w:p w14:paraId="31AB141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KPIs de: (a) NPL (non-performing loans) para microcrédito, (b) churn rate de LPs, (c) CAC/LTV por corredor</w:t>
            </w:r>
          </w:p>
        </w:tc>
      </w:tr>
      <w:tr w:rsidR="00BA612E" w:rsidRPr="00585653" w14:paraId="59251ED0" w14:textId="77777777">
        <w:tc>
          <w:tcPr>
            <w:tcW w:w="1466" w:type="dxa"/>
          </w:tcPr>
          <w:p w14:paraId="0CCD3701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Sem Especificação de Retenção de Dados</w:t>
            </w:r>
          </w:p>
        </w:tc>
        <w:tc>
          <w:tcPr>
            <w:tcW w:w="3226" w:type="dxa"/>
          </w:tcPr>
          <w:p w14:paraId="37C3E3D3" w14:textId="77777777" w:rsidR="00BA612E" w:rsidRDefault="00000000">
            <w:pPr>
              <w:pStyle w:val="Compact"/>
            </w:pPr>
            <w:r>
              <w:t>🟡 Alto</w:t>
            </w:r>
          </w:p>
        </w:tc>
        <w:tc>
          <w:tcPr>
            <w:tcW w:w="3226" w:type="dxa"/>
          </w:tcPr>
          <w:p w14:paraId="7107F3E9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política de retenção (5 anos? 10 anos?), nem arquivamento, nem deleção automática pós-prazo</w:t>
            </w:r>
          </w:p>
        </w:tc>
      </w:tr>
    </w:tbl>
    <w:p w14:paraId="001C046F" w14:textId="77777777" w:rsidR="00BA612E" w:rsidRDefault="00000000">
      <w:pPr>
        <w:pStyle w:val="Heading2"/>
      </w:pPr>
      <w:bookmarkStart w:id="11" w:name="tecnologia-e-engenharia-gaps-menores"/>
      <w:bookmarkEnd w:id="10"/>
      <w:r>
        <w:t>3.4 Tecnologia e Engenharia — GAPS MENORES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0"/>
        <w:gridCol w:w="3608"/>
        <w:gridCol w:w="3608"/>
      </w:tblGrid>
      <w:tr w:rsidR="00BA612E" w14:paraId="6336D333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14:paraId="4DE2B4E5" w14:textId="77777777" w:rsidR="00BA612E" w:rsidRDefault="00000000">
            <w:pPr>
              <w:pStyle w:val="Compact"/>
            </w:pPr>
            <w:r>
              <w:t>Gap</w:t>
            </w:r>
          </w:p>
        </w:tc>
        <w:tc>
          <w:tcPr>
            <w:tcW w:w="3226" w:type="dxa"/>
          </w:tcPr>
          <w:p w14:paraId="0D42933B" w14:textId="77777777" w:rsidR="00BA612E" w:rsidRDefault="00000000">
            <w:pPr>
              <w:pStyle w:val="Compact"/>
            </w:pPr>
            <w:r>
              <w:t>Severidade</w:t>
            </w:r>
          </w:p>
        </w:tc>
        <w:tc>
          <w:tcPr>
            <w:tcW w:w="3226" w:type="dxa"/>
          </w:tcPr>
          <w:p w14:paraId="4E16FEB9" w14:textId="77777777" w:rsidR="00BA612E" w:rsidRDefault="00000000">
            <w:pPr>
              <w:pStyle w:val="Compact"/>
            </w:pPr>
            <w:r>
              <w:t>Descrição</w:t>
            </w:r>
          </w:p>
        </w:tc>
      </w:tr>
      <w:tr w:rsidR="00BA612E" w:rsidRPr="00585653" w14:paraId="73EDB6B6" w14:textId="77777777">
        <w:tc>
          <w:tcPr>
            <w:tcW w:w="1466" w:type="dxa"/>
          </w:tcPr>
          <w:p w14:paraId="49513D1E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 xml:space="preserve">Falta de </w:t>
            </w:r>
            <w:r w:rsidRPr="00585653">
              <w:rPr>
                <w:b/>
                <w:bCs/>
                <w:lang w:val="pt-BR"/>
              </w:rPr>
              <w:lastRenderedPageBreak/>
              <w:t>Especificação de Observabilidade</w:t>
            </w:r>
          </w:p>
        </w:tc>
        <w:tc>
          <w:tcPr>
            <w:tcW w:w="3226" w:type="dxa"/>
          </w:tcPr>
          <w:p w14:paraId="4CA28FD3" w14:textId="77777777" w:rsidR="00BA612E" w:rsidRDefault="00000000">
            <w:pPr>
              <w:pStyle w:val="Compact"/>
            </w:pPr>
            <w:r>
              <w:lastRenderedPageBreak/>
              <w:t>🟢 Médio</w:t>
            </w:r>
          </w:p>
        </w:tc>
        <w:tc>
          <w:tcPr>
            <w:tcW w:w="3226" w:type="dxa"/>
          </w:tcPr>
          <w:p w14:paraId="13746906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 xml:space="preserve">Não há menção a: Datadog, </w:t>
            </w:r>
            <w:r w:rsidRPr="00585653">
              <w:rPr>
                <w:lang w:val="pt-BR"/>
              </w:rPr>
              <w:lastRenderedPageBreak/>
              <w:t>New Relic, Grafana, tracing distribuído, alerting</w:t>
            </w:r>
          </w:p>
        </w:tc>
      </w:tr>
      <w:tr w:rsidR="00BA612E" w:rsidRPr="00585653" w14:paraId="17896C35" w14:textId="77777777">
        <w:tc>
          <w:tcPr>
            <w:tcW w:w="1466" w:type="dxa"/>
          </w:tcPr>
          <w:p w14:paraId="0187526A" w14:textId="77777777" w:rsidR="00BA612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Sem Documentação de Migrations</w:t>
            </w:r>
          </w:p>
        </w:tc>
        <w:tc>
          <w:tcPr>
            <w:tcW w:w="3226" w:type="dxa"/>
          </w:tcPr>
          <w:p w14:paraId="3F716E5F" w14:textId="77777777" w:rsidR="00BA612E" w:rsidRDefault="00000000">
            <w:pPr>
              <w:pStyle w:val="Compact"/>
            </w:pPr>
            <w:r>
              <w:t>🟢 Médio</w:t>
            </w:r>
          </w:p>
        </w:tc>
        <w:tc>
          <w:tcPr>
            <w:tcW w:w="3226" w:type="dxa"/>
          </w:tcPr>
          <w:p w14:paraId="7DA3FF63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Banco de dados (PostgreSQL) mencionado sem estratégia de migrations, seeding ou versionamento de schema</w:t>
            </w:r>
          </w:p>
        </w:tc>
      </w:tr>
      <w:tr w:rsidR="00BA612E" w:rsidRPr="00585653" w14:paraId="76179D5F" w14:textId="77777777">
        <w:tc>
          <w:tcPr>
            <w:tcW w:w="1466" w:type="dxa"/>
          </w:tcPr>
          <w:p w14:paraId="0E08EED2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Falta de Especificação de CI/CD</w:t>
            </w:r>
          </w:p>
        </w:tc>
        <w:tc>
          <w:tcPr>
            <w:tcW w:w="3226" w:type="dxa"/>
          </w:tcPr>
          <w:p w14:paraId="07BE9F4C" w14:textId="77777777" w:rsidR="00BA612E" w:rsidRDefault="00000000">
            <w:pPr>
              <w:pStyle w:val="Compact"/>
            </w:pPr>
            <w:r>
              <w:t>🟢 Médio</w:t>
            </w:r>
          </w:p>
        </w:tc>
        <w:tc>
          <w:tcPr>
            <w:tcW w:w="3226" w:type="dxa"/>
          </w:tcPr>
          <w:p w14:paraId="36F1D225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pipeline de deploy, ambientes (dev/staging/prod), nem estratégia de feature flags</w:t>
            </w:r>
          </w:p>
        </w:tc>
      </w:tr>
      <w:tr w:rsidR="00BA612E" w:rsidRPr="00585653" w14:paraId="1C4DD02F" w14:textId="77777777">
        <w:tc>
          <w:tcPr>
            <w:tcW w:w="1466" w:type="dxa"/>
          </w:tcPr>
          <w:p w14:paraId="02FD2DBE" w14:textId="77777777" w:rsidR="00BA612E" w:rsidRDefault="00000000">
            <w:pPr>
              <w:pStyle w:val="Compact"/>
            </w:pPr>
            <w:r>
              <w:rPr>
                <w:b/>
                <w:bCs/>
              </w:rPr>
              <w:t>Sem Especificação de Testes</w:t>
            </w:r>
          </w:p>
        </w:tc>
        <w:tc>
          <w:tcPr>
            <w:tcW w:w="3226" w:type="dxa"/>
          </w:tcPr>
          <w:p w14:paraId="45D0789D" w14:textId="77777777" w:rsidR="00BA612E" w:rsidRDefault="00000000">
            <w:pPr>
              <w:pStyle w:val="Compact"/>
            </w:pPr>
            <w:r>
              <w:t>🟢 Médio</w:t>
            </w:r>
          </w:p>
        </w:tc>
        <w:tc>
          <w:tcPr>
            <w:tcW w:w="3226" w:type="dxa"/>
          </w:tcPr>
          <w:p w14:paraId="69AFE76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Não há menção a testes unitários, integração, E2E, nem fuzzing nos smart contracts</w:t>
            </w:r>
          </w:p>
        </w:tc>
      </w:tr>
    </w:tbl>
    <w:p w14:paraId="70386C85" w14:textId="77777777" w:rsidR="00BA612E" w:rsidRDefault="00000000">
      <w:r>
        <w:pict w14:anchorId="5EF3667E">
          <v:rect id="_x0000_i1028" style="width:0;height:1.5pt" o:hralign="center" o:hrstd="t" o:hr="t"/>
        </w:pict>
      </w:r>
    </w:p>
    <w:p w14:paraId="3FA8152A" w14:textId="77777777" w:rsidR="00BA612E" w:rsidRPr="00585653" w:rsidRDefault="00000000">
      <w:pPr>
        <w:pStyle w:val="Heading1"/>
        <w:rPr>
          <w:lang w:val="pt-BR"/>
        </w:rPr>
      </w:pPr>
      <w:bookmarkStart w:id="12" w:name="X37cab7e0af2d2a9fac6b06f57a9dcf2d227afec"/>
      <w:bookmarkEnd w:id="7"/>
      <w:bookmarkEnd w:id="11"/>
      <w:r w:rsidRPr="00585653">
        <w:rPr>
          <w:lang w:val="pt-BR"/>
        </w:rPr>
        <w:t>PARTE IV: DOCUMENTO ÚNICO — VISÃO OPERACIONAL AMPLIADA</w:t>
      </w:r>
    </w:p>
    <w:p w14:paraId="2E40C6FF" w14:textId="77777777" w:rsidR="00BA612E" w:rsidRPr="00585653" w:rsidRDefault="00000000">
      <w:pPr>
        <w:pStyle w:val="Heading2"/>
        <w:rPr>
          <w:lang w:val="pt-BR"/>
        </w:rPr>
      </w:pPr>
      <w:bookmarkStart w:id="13" w:name="estrutura-do-documento-único"/>
      <w:r w:rsidRPr="00585653">
        <w:rPr>
          <w:lang w:val="pt-BR"/>
        </w:rPr>
        <w:t>4.1 Estrutura do Documento Único</w:t>
      </w:r>
    </w:p>
    <w:p w14:paraId="061EFD35" w14:textId="77777777" w:rsidR="00BA612E" w:rsidRPr="00585653" w:rsidRDefault="00000000">
      <w:pPr>
        <w:pStyle w:val="FirstParagraph"/>
        <w:rPr>
          <w:lang w:val="pt-BR"/>
        </w:rPr>
      </w:pPr>
      <w:r w:rsidRPr="00585653">
        <w:rPr>
          <w:lang w:val="pt-BR"/>
        </w:rPr>
        <w:t xml:space="preserve">O documento a seguir consolida </w:t>
      </w:r>
      <w:r w:rsidRPr="00585653">
        <w:rPr>
          <w:b/>
          <w:bCs/>
          <w:lang w:val="pt-BR"/>
        </w:rPr>
        <w:t>toda a plataforma FLUXUS</w:t>
      </w:r>
      <w:r w:rsidRPr="00585653">
        <w:rPr>
          <w:lang w:val="pt-BR"/>
        </w:rPr>
        <w:t xml:space="preserve"> em uma visão operacional de 360°, organizada em </w:t>
      </w:r>
      <w:r w:rsidRPr="00585653">
        <w:rPr>
          <w:b/>
          <w:bCs/>
          <w:lang w:val="pt-BR"/>
        </w:rPr>
        <w:t>10 Capítulos</w:t>
      </w:r>
      <w:r w:rsidRPr="00585653">
        <w:rPr>
          <w:lang w:val="pt-BR"/>
        </w:rPr>
        <w:t xml:space="preserve"> e </w:t>
      </w:r>
      <w:r w:rsidRPr="00585653">
        <w:rPr>
          <w:b/>
          <w:bCs/>
          <w:lang w:val="pt-BR"/>
        </w:rPr>
        <w:t>50 Páginas</w:t>
      </w:r>
      <w:r w:rsidRPr="00585653">
        <w:rPr>
          <w:lang w:val="pt-BR"/>
        </w:rPr>
        <w:t>. Cada página indica: (a) o que deve conter, (b) as tecnologias envolvidas, (c) os artefatos de entrega, e (d) as validações necessárias.</w:t>
      </w:r>
    </w:p>
    <w:p w14:paraId="6DE48230" w14:textId="77777777" w:rsidR="00BA612E" w:rsidRDefault="00000000">
      <w:r>
        <w:pict w14:anchorId="3AAFDB12">
          <v:rect id="_x0000_i1029" style="width:0;height:1.5pt" o:hralign="center" o:hrstd="t" o:hr="t"/>
        </w:pict>
      </w:r>
    </w:p>
    <w:p w14:paraId="72636485" w14:textId="77777777" w:rsidR="00BA612E" w:rsidRPr="00585653" w:rsidRDefault="00000000">
      <w:pPr>
        <w:pStyle w:val="Heading2"/>
        <w:rPr>
          <w:lang w:val="pt-BR"/>
        </w:rPr>
      </w:pPr>
      <w:bookmarkStart w:id="14" w:name="Xe79d4ffc6bc5e18df49a3b46a2c5d8c16637156"/>
      <w:bookmarkEnd w:id="13"/>
      <w:r w:rsidRPr="00585653">
        <w:rPr>
          <w:lang w:val="pt-BR"/>
        </w:rPr>
        <w:lastRenderedPageBreak/>
        <w:t>CAPÍTULO 1: ESTRATÉGIA, REGULAÇÃO E GOVERNANÇA CORPORATIVA</w:t>
      </w:r>
    </w:p>
    <w:p w14:paraId="6A143089" w14:textId="77777777" w:rsidR="00BA612E" w:rsidRDefault="00000000">
      <w:pPr>
        <w:pStyle w:val="Heading3"/>
      </w:pPr>
      <w:bookmarkStart w:id="15" w:name="X5e726d237de1e4c060b1955819eeca5d42d3cce"/>
      <w:r>
        <w:t>Página 1.1: Estrutura Societária e Holding</w:t>
      </w:r>
    </w:p>
    <w:p w14:paraId="2396D91A" w14:textId="77777777" w:rsidR="00BA612E" w:rsidRPr="00585653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Diagrama da estrutura de holding (Delaware C-Corp + SPVs operacionais), justificativa fiscal, mapa de repatriação de lucros, análise de CFC rules.</w:t>
      </w:r>
    </w:p>
    <w:p w14:paraId="6D139269" w14:textId="77777777" w:rsidR="00BA612E" w:rsidRPr="00585653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N/A (jurídico/fiscal).</w:t>
      </w:r>
    </w:p>
    <w:p w14:paraId="22E4A96D" w14:textId="77777777" w:rsidR="00BA612E" w:rsidRPr="00585653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Estatutos sociais, (b) Opinião de counsel em 3 jurisdições, (c) Matriz de withholding tax.</w:t>
      </w:r>
    </w:p>
    <w:p w14:paraId="39448800" w14:textId="77777777" w:rsidR="00BA612E" w:rsidRPr="00585653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por escritório Big-4 (KPMG/Deloitte) e counsel internacional (White &amp; Case ou similar).</w:t>
      </w:r>
    </w:p>
    <w:p w14:paraId="152233D5" w14:textId="77777777" w:rsidR="00BA612E" w:rsidRPr="00585653" w:rsidRDefault="00000000">
      <w:pPr>
        <w:pStyle w:val="Heading3"/>
        <w:rPr>
          <w:lang w:val="pt-BR"/>
        </w:rPr>
      </w:pPr>
      <w:bookmarkStart w:id="16" w:name="X658e2f4fd509d3a0e6ddd79158528279aeee101"/>
      <w:bookmarkEnd w:id="15"/>
      <w:r w:rsidRPr="00585653">
        <w:rPr>
          <w:lang w:val="pt-BR"/>
        </w:rPr>
        <w:t>Página 1.2: Mapa Regulatório Global (Licensing Roadmap)</w:t>
      </w:r>
    </w:p>
    <w:p w14:paraId="5C2B1EF6" w14:textId="77777777" w:rsidR="00BA612E" w:rsidRPr="00585653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Matriz de licenças necessárias por país (MSB, EMI, VASP, SPI, CASP), cronograma de aplicações, custos estimados, dependências críticas.</w:t>
      </w:r>
    </w:p>
    <w:p w14:paraId="7D4FA020" w14:textId="77777777" w:rsidR="00BA612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Tecnologias:</w:t>
      </w:r>
      <w:r>
        <w:t xml:space="preserve"> N/A.</w:t>
      </w:r>
    </w:p>
    <w:p w14:paraId="72BEE6E1" w14:textId="77777777" w:rsidR="00BA612E" w:rsidRPr="00585653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Matriz de licenças, (b) Cronograma Gantt, (c) Budget regulatório (US$ 500k–2M por país).</w:t>
      </w:r>
    </w:p>
    <w:p w14:paraId="20AC3E4D" w14:textId="77777777" w:rsidR="00BA612E" w:rsidRPr="00585653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Consultoria regulatória local em cada mercado-alvo (ex: BCB no Brasil, FinCEN nos EUA, BaFin na Alemanha).</w:t>
      </w:r>
    </w:p>
    <w:p w14:paraId="0ADECD7E" w14:textId="77777777" w:rsidR="00BA612E" w:rsidRPr="00585653" w:rsidRDefault="00000000">
      <w:pPr>
        <w:pStyle w:val="Heading3"/>
        <w:rPr>
          <w:lang w:val="pt-BR"/>
        </w:rPr>
      </w:pPr>
      <w:bookmarkStart w:id="17" w:name="Xf3a364df848e65951e729dc7d47add0a1df3364"/>
      <w:bookmarkEnd w:id="16"/>
      <w:r w:rsidRPr="00585653">
        <w:rPr>
          <w:lang w:val="pt-BR"/>
        </w:rPr>
        <w:t>Página 1.3: Framework AML/KYC/CTF Transnacional</w:t>
      </w:r>
    </w:p>
    <w:p w14:paraId="207E131F" w14:textId="77777777" w:rsidR="00BA612E" w:rsidRPr="00585653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Política de AML em 3 níveis (cliente, LP, VASP), (b) Transaction Monitoring com regras de detecção (structuring, layering, integration), (c) SAR/ROPS automático, (d) Screening de sanções (OFAC, UN, EU, HMT) em tempo real.</w:t>
      </w:r>
    </w:p>
    <w:p w14:paraId="1FB05685" w14:textId="77777777" w:rsidR="00BA612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Tecnologias:</w:t>
      </w:r>
      <w:r>
        <w:t xml:space="preserve"> SumSub (KYC) + Chainalysis KYT (transaction monitoring) + ComplyAdvantage (screening) + Privy (identidade).</w:t>
      </w:r>
    </w:p>
    <w:p w14:paraId="4AF3E004" w14:textId="77777777" w:rsidR="00BA612E" w:rsidRPr="00585653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Política de AML escrita, (b) Matriz de risco de produto, (c) Relatório de auditoria independente (anual).</w:t>
      </w:r>
    </w:p>
    <w:p w14:paraId="08E5E009" w14:textId="77777777" w:rsidR="00BA612E" w:rsidRPr="00585653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Validação:</w:t>
      </w:r>
      <w:r w:rsidRPr="00585653">
        <w:rPr>
          <w:lang w:val="pt-BR"/>
        </w:rPr>
        <w:t xml:space="preserve"> Auditoria por firma especializada (ex: Promontory, Deloitte Financial Advisory).</w:t>
      </w:r>
    </w:p>
    <w:p w14:paraId="75D05FEE" w14:textId="77777777" w:rsidR="00BA612E" w:rsidRPr="00585653" w:rsidRDefault="00000000">
      <w:pPr>
        <w:pStyle w:val="Heading3"/>
        <w:rPr>
          <w:lang w:val="pt-BR"/>
        </w:rPr>
      </w:pPr>
      <w:bookmarkStart w:id="18" w:name="Xccb65b8333975a66e3a72adb59a4272a5eb3225"/>
      <w:bookmarkEnd w:id="17"/>
      <w:r w:rsidRPr="00585653">
        <w:rPr>
          <w:lang w:val="pt-BR"/>
        </w:rPr>
        <w:t>Página 1.4: Travel Rule (FATF Recomendação 16)</w:t>
      </w:r>
    </w:p>
    <w:p w14:paraId="55FD232C" w14:textId="77777777" w:rsidR="00BA612E" w:rsidRPr="00585653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Especificação técnica de troca de dados entre VASPs (IVMS101), fluxo de dados PII criptografados, fallback para VASPs não-interoperáveis, registro de compliance.</w:t>
      </w:r>
    </w:p>
    <w:p w14:paraId="6B3B369C" w14:textId="77777777" w:rsidR="00BA612E" w:rsidRPr="00585653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IVMS101 + Notabene / Sygna Bridge (soluções Travel Rule) + GPG/ECIES para criptografia.</w:t>
      </w:r>
    </w:p>
    <w:p w14:paraId="59AAE087" w14:textId="77777777" w:rsidR="00BA612E" w:rsidRPr="00585653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Especificação técnica de integração, (b) MOUs com VASPs parceiros, (c) Relatório de conformidade FATF.</w:t>
      </w:r>
    </w:p>
    <w:p w14:paraId="0B747D94" w14:textId="77777777" w:rsidR="00BA612E" w:rsidRPr="00585653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Testes de interoperabilidade com 3+ VASPs em jurisdições diferentes.</w:t>
      </w:r>
    </w:p>
    <w:p w14:paraId="0F0244C6" w14:textId="77777777" w:rsidR="00BA612E" w:rsidRPr="00585653" w:rsidRDefault="00000000">
      <w:pPr>
        <w:pStyle w:val="Heading3"/>
        <w:rPr>
          <w:lang w:val="pt-BR"/>
        </w:rPr>
      </w:pPr>
      <w:bookmarkStart w:id="19" w:name="X74706407bde17ef507944aa2215987842cf3d09"/>
      <w:bookmarkEnd w:id="18"/>
      <w:r w:rsidRPr="00585653">
        <w:rPr>
          <w:lang w:val="pt-BR"/>
        </w:rPr>
        <w:t>Página 1.5: Proteção de Dados (LGPD/GDPR/CCPA)</w:t>
      </w:r>
    </w:p>
    <w:p w14:paraId="651527A2" w14:textId="77777777" w:rsidR="00BA612E" w:rsidRPr="00585653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Consentimento granular por finalidade, (b) Direito ao esquecimento (deleção de dados on-chain e off-chain), (c) DPO nomeado, (d) Registro de operações de tratamento (ROPA), (e) Cláusulas contratuais padrão para transferência internacional.</w:t>
      </w:r>
    </w:p>
    <w:p w14:paraId="779E6B88" w14:textId="77777777" w:rsidR="00BA612E" w:rsidRPr="00585653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OneTrust / BigID (gestão de privacidade) + PostgreSQL (anonimização) + The Graph (dados on-chain públicos).</w:t>
      </w:r>
    </w:p>
    <w:p w14:paraId="13904003" w14:textId="77777777" w:rsidR="00BA612E" w:rsidRPr="00585653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Política de privacidade multi-jurisdição, (b) DPIA (Data Protection Impact Assessment), (c) Registro de incidentes.</w:t>
      </w:r>
    </w:p>
    <w:p w14:paraId="1FF47375" w14:textId="77777777" w:rsidR="00BA612E" w:rsidRPr="00585653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por autoridade de proteção de dados (ANPD no Brasil, ICO no UK) ou counsel especializado.</w:t>
      </w:r>
    </w:p>
    <w:p w14:paraId="7FFE041A" w14:textId="77777777" w:rsidR="00BA612E" w:rsidRPr="00585653" w:rsidRDefault="00000000">
      <w:pPr>
        <w:pStyle w:val="Heading3"/>
        <w:rPr>
          <w:lang w:val="pt-BR"/>
        </w:rPr>
      </w:pPr>
      <w:bookmarkStart w:id="20" w:name="Xd82fedea929fe53afc71190ed2d5d68a063a957"/>
      <w:bookmarkEnd w:id="19"/>
      <w:r w:rsidRPr="00585653">
        <w:rPr>
          <w:lang w:val="pt-BR"/>
        </w:rPr>
        <w:t>Página 1.6: Política de Sanções e Compliance Geográfico</w:t>
      </w:r>
    </w:p>
    <w:p w14:paraId="4EF046EA" w14:textId="77777777" w:rsidR="00BA612E" w:rsidRPr="00585653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Lista de países proibidos (OFAC), (b) Lista de entidades SDN, (c) Geofencing por IP e documento, (d) Política de “de-risking” de corredores de alto risco.</w:t>
      </w:r>
    </w:p>
    <w:p w14:paraId="72DD6761" w14:textId="77777777" w:rsidR="00BA612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Tecnologias:</w:t>
      </w:r>
      <w:r>
        <w:t xml:space="preserve"> MaxMind (geolocalização) + ComplyAdvantage (screening) + Cloudflare (geoblocking).</w:t>
      </w:r>
    </w:p>
    <w:p w14:paraId="32D3F56A" w14:textId="77777777" w:rsidR="00BA612E" w:rsidRPr="00585653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Artefatos:</w:t>
      </w:r>
      <w:r w:rsidRPr="00585653">
        <w:rPr>
          <w:lang w:val="pt-BR"/>
        </w:rPr>
        <w:t xml:space="preserve"> (a) Política de sanções escrita, (b) Relatório mensal de screening, (c) Procedimento de escalamento.</w:t>
      </w:r>
    </w:p>
    <w:p w14:paraId="087AC30C" w14:textId="77777777" w:rsidR="00BA612E" w:rsidRPr="00585653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semestral por counsel de compliance internacional.</w:t>
      </w:r>
    </w:p>
    <w:p w14:paraId="6899472C" w14:textId="77777777" w:rsidR="00BA612E" w:rsidRDefault="00000000">
      <w:r>
        <w:pict w14:anchorId="07741F94">
          <v:rect id="_x0000_i1030" style="width:0;height:1.5pt" o:hralign="center" o:hrstd="t" o:hr="t"/>
        </w:pict>
      </w:r>
    </w:p>
    <w:p w14:paraId="5B4C5C71" w14:textId="77777777" w:rsidR="00BA612E" w:rsidRPr="00585653" w:rsidRDefault="00000000">
      <w:pPr>
        <w:pStyle w:val="Heading2"/>
        <w:rPr>
          <w:lang w:val="pt-BR"/>
        </w:rPr>
      </w:pPr>
      <w:bookmarkStart w:id="21" w:name="Xcec3ec731940e0a8896b5eed641054d0ee87bfe"/>
      <w:bookmarkEnd w:id="14"/>
      <w:bookmarkEnd w:id="20"/>
      <w:r w:rsidRPr="00585653">
        <w:rPr>
          <w:lang w:val="pt-BR"/>
        </w:rPr>
        <w:t>CAPÍTULO 2: ARQUITETURA TÉCNICA E INFRAESTRUTURA</w:t>
      </w:r>
    </w:p>
    <w:p w14:paraId="1B8345C0" w14:textId="77777777" w:rsidR="00BA612E" w:rsidRPr="00585653" w:rsidRDefault="00000000">
      <w:pPr>
        <w:pStyle w:val="Heading3"/>
        <w:rPr>
          <w:lang w:val="pt-BR"/>
        </w:rPr>
      </w:pPr>
      <w:bookmarkStart w:id="22" w:name="X958d8e34ea42306777d799aa9e5fe85c4c01ed4"/>
      <w:r w:rsidRPr="00585653">
        <w:rPr>
          <w:lang w:val="pt-BR"/>
        </w:rPr>
        <w:t>Página 2.1: Diagrama de Arquitetura de Sistemas (C4 Model)</w:t>
      </w:r>
    </w:p>
    <w:p w14:paraId="1617A368" w14:textId="77777777" w:rsidR="00BA612E" w:rsidRPr="0058565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Contexto (sistemas externos), (b) Containers (apps, APIs, workers), (c) Componentes (matching engine, ledger, escrow), (d) Código (smart contracts).</w:t>
      </w:r>
    </w:p>
    <w:p w14:paraId="23E4794A" w14:textId="77777777" w:rsidR="00BA612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Tecnologias:</w:t>
      </w:r>
      <w:r>
        <w:t xml:space="preserve"> Draw.io / Structurizr + Solidity/Anchor + FastAPI + PostgreSQL + Redis + Celery.</w:t>
      </w:r>
    </w:p>
    <w:p w14:paraId="0F0DE1AE" w14:textId="77777777" w:rsidR="00BA612E" w:rsidRPr="0058565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Diagramas C4, (b) ADRs (Architecture Decision Records), (c) Matriz de dependências.</w:t>
      </w:r>
    </w:p>
    <w:p w14:paraId="229782DD" w14:textId="77777777" w:rsidR="00BA612E" w:rsidRPr="0058565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por arquiteto de software sênior externo.</w:t>
      </w:r>
    </w:p>
    <w:p w14:paraId="29842A09" w14:textId="77777777" w:rsidR="00BA612E" w:rsidRDefault="00000000">
      <w:pPr>
        <w:pStyle w:val="Heading3"/>
      </w:pPr>
      <w:bookmarkStart w:id="23" w:name="X2b21ae88be583571f1bce16dd4adc50d346c391"/>
      <w:bookmarkEnd w:id="22"/>
      <w:r>
        <w:t>Página 2.2: Dual-Stack Blockchain — Solana vs Polygon</w:t>
      </w:r>
    </w:p>
    <w:p w14:paraId="4E4D5543" w14:textId="77777777" w:rsidR="00BA612E" w:rsidRPr="00585653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Matriz de decisão atualizada, (b) Custos de gas projetados para 1M tx/mês, (c) Estratégia de bridge cross-chain, (d) Roadmap de integração com Drex (Real Digital).</w:t>
      </w:r>
    </w:p>
    <w:p w14:paraId="07CCDBD0" w14:textId="77777777" w:rsidR="00BA612E" w:rsidRPr="00585653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Solana (Sealevel) + Polygon PoS + LayerZero/Wormhole (interoperabilidade) + Fireblocks (custódia).</w:t>
      </w:r>
    </w:p>
    <w:p w14:paraId="59196053" w14:textId="77777777" w:rsidR="00BA612E" w:rsidRPr="00585653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Benchmark de performance, (b) Simulação de custos, (c) Plano de contingência para congestionamento.</w:t>
      </w:r>
    </w:p>
    <w:p w14:paraId="3D913EF9" w14:textId="77777777" w:rsidR="00BA612E" w:rsidRPr="00585653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Testes de carga com 10k TPS simulados.</w:t>
      </w:r>
    </w:p>
    <w:p w14:paraId="0829A2BD" w14:textId="77777777" w:rsidR="00BA612E" w:rsidRDefault="00000000">
      <w:pPr>
        <w:pStyle w:val="Heading3"/>
      </w:pPr>
      <w:bookmarkStart w:id="24" w:name="X1818c0f560c27bca2449e4737def58e38006777"/>
      <w:bookmarkEnd w:id="23"/>
      <w:r>
        <w:t>Página 2.3: Smart Contracts — Especificação Formal</w:t>
      </w:r>
    </w:p>
    <w:p w14:paraId="4054DCB1" w14:textId="77777777" w:rsidR="00BA612E" w:rsidRPr="00585653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Especificação formal dos contratos (FluxusNexus, FluxusCollateralVault, FluxusReputationRegistry), (b) Invariantes matemáticas, (c) Funções de emergência (pause, upgrade).</w:t>
      </w:r>
    </w:p>
    <w:p w14:paraId="12A33657" w14:textId="77777777" w:rsidR="00BA612E" w:rsidRPr="00585653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Solidity + CertiK/OpenZeppelin (auditoria) + Foundry (testes) + Slither (análise estática).</w:t>
      </w:r>
    </w:p>
    <w:p w14:paraId="1A685863" w14:textId="77777777" w:rsidR="00BA612E" w:rsidRPr="00585653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Artefatos:</w:t>
      </w:r>
      <w:r w:rsidRPr="00585653">
        <w:rPr>
          <w:lang w:val="pt-BR"/>
        </w:rPr>
        <w:t xml:space="preserve"> (a) Código-fonte, (b) Relatório de auditoria externa, (c) Bug bounty program, (d) Certificado de segurança.</w:t>
      </w:r>
    </w:p>
    <w:p w14:paraId="30138AF5" w14:textId="77777777" w:rsidR="00BA612E" w:rsidRPr="00585653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por 2 firmas independentes (CertiK + Trail of Bits).</w:t>
      </w:r>
    </w:p>
    <w:p w14:paraId="78C6AD4C" w14:textId="77777777" w:rsidR="00BA612E" w:rsidRPr="00585653" w:rsidRDefault="00000000">
      <w:pPr>
        <w:pStyle w:val="Heading3"/>
        <w:rPr>
          <w:lang w:val="pt-BR"/>
        </w:rPr>
      </w:pPr>
      <w:bookmarkStart w:id="25" w:name="X976ef5a859cc047d1bfd1877e9c62a059d866c8"/>
      <w:bookmarkEnd w:id="24"/>
      <w:r w:rsidRPr="00585653">
        <w:rPr>
          <w:lang w:val="pt-BR"/>
        </w:rPr>
        <w:t>Página 2.4: Custódia e Segurança de Ativos</w:t>
      </w:r>
    </w:p>
    <w:p w14:paraId="78F323B5" w14:textId="77777777" w:rsidR="00BA612E" w:rsidRPr="00585653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Arquitetura MPC (Fireblocks), (b) Segregação de cofres (usuário, LP, plataforma, stability fund), (c) Política de assinatura multi-nível, (d) Seguro de custódia (Nexus Mutual/Coincover).</w:t>
      </w:r>
    </w:p>
    <w:p w14:paraId="22ADD490" w14:textId="77777777" w:rsidR="00BA612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Tecnologias:</w:t>
      </w:r>
      <w:r>
        <w:t xml:space="preserve"> Fireblocks MPC + Gnosis Safe + Hardware Security Modules (HSM).</w:t>
      </w:r>
    </w:p>
    <w:p w14:paraId="01C04AE5" w14:textId="77777777" w:rsidR="00BA612E" w:rsidRPr="00585653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Política de custódia, (b) Certificado de seguro, (c) Relatório de pentest.</w:t>
      </w:r>
    </w:p>
    <w:p w14:paraId="4905D79B" w14:textId="77777777" w:rsidR="00BA612E" w:rsidRPr="00585653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Pentest anual por firma especializada (ex: NCC Group).</w:t>
      </w:r>
    </w:p>
    <w:p w14:paraId="002D39CB" w14:textId="77777777" w:rsidR="00BA612E" w:rsidRPr="00585653" w:rsidRDefault="00000000">
      <w:pPr>
        <w:pStyle w:val="Heading3"/>
        <w:rPr>
          <w:lang w:val="pt-BR"/>
        </w:rPr>
      </w:pPr>
      <w:bookmarkStart w:id="26" w:name="Xe7b46e91f99da65f4ff85220f1b5eb42cd80af1"/>
      <w:bookmarkEnd w:id="25"/>
      <w:r w:rsidRPr="00585653">
        <w:rPr>
          <w:lang w:val="pt-BR"/>
        </w:rPr>
        <w:t>Página 2.5: Infraestrutura Cloud e Disaster Recovery</w:t>
      </w:r>
    </w:p>
    <w:p w14:paraId="620EDB1D" w14:textId="77777777" w:rsidR="00BA612E" w:rsidRPr="00585653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Topologia multi-cloud (AWS primário + Azure/GCP failover), (b) RPO &lt; 1 minuto, RTO &lt; 5 minutos, (c) Backup criptografado em 3 regiões, (d) Plano de recuperação de desastres (DRP).</w:t>
      </w:r>
    </w:p>
    <w:p w14:paraId="6EF8D47B" w14:textId="77777777" w:rsidR="00BA612E" w:rsidRPr="00585653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AWS (EKS, RDS, S3) + Terraform (IaC) + Veeam/Velero (backup) + Cloudflare (DNS failover).</w:t>
      </w:r>
    </w:p>
    <w:p w14:paraId="5AFC5EF4" w14:textId="77777777" w:rsidR="00BA612E" w:rsidRPr="00585653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DRP documentado, (b) Teste de failover semestral, (c) Relatório de disponibilidade (99.95% SLA).</w:t>
      </w:r>
    </w:p>
    <w:p w14:paraId="1ED3A29D" w14:textId="77777777" w:rsidR="00BA612E" w:rsidRPr="00585653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Simulação de disaster recovery a cada 6 meses.</w:t>
      </w:r>
    </w:p>
    <w:p w14:paraId="3812310F" w14:textId="77777777" w:rsidR="00BA612E" w:rsidRDefault="00000000">
      <w:r>
        <w:pict w14:anchorId="0CEC22AC">
          <v:rect id="_x0000_i1031" style="width:0;height:1.5pt" o:hralign="center" o:hrstd="t" o:hr="t"/>
        </w:pict>
      </w:r>
    </w:p>
    <w:p w14:paraId="2CF0E5FD" w14:textId="77777777" w:rsidR="00BA612E" w:rsidRPr="00585653" w:rsidRDefault="00000000">
      <w:pPr>
        <w:pStyle w:val="Heading2"/>
        <w:rPr>
          <w:lang w:val="pt-BR"/>
        </w:rPr>
      </w:pPr>
      <w:bookmarkStart w:id="27" w:name="Xb6b9de6e50aa9a16ec35ea76310f8f5b530ab6d"/>
      <w:bookmarkEnd w:id="21"/>
      <w:bookmarkEnd w:id="26"/>
      <w:r w:rsidRPr="00585653">
        <w:rPr>
          <w:lang w:val="pt-BR"/>
        </w:rPr>
        <w:t>CAPÍTULO 3: ONBOARDING, IDENTIDADE E EXPERIÊNCIA DO USUÁRIO</w:t>
      </w:r>
    </w:p>
    <w:p w14:paraId="30B3F713" w14:textId="77777777" w:rsidR="00BA612E" w:rsidRPr="00585653" w:rsidRDefault="00000000">
      <w:pPr>
        <w:pStyle w:val="Heading3"/>
        <w:rPr>
          <w:lang w:val="pt-BR"/>
        </w:rPr>
      </w:pPr>
      <w:bookmarkStart w:id="28" w:name="Xf93181f0ca9ceda8a59fce76536a3ff6e2a96b9"/>
      <w:r w:rsidRPr="00585653">
        <w:rPr>
          <w:lang w:val="pt-BR"/>
        </w:rPr>
        <w:t>Página 3.1: Jornada do Sender — Onboarding Completo</w:t>
      </w:r>
    </w:p>
    <w:p w14:paraId="031A576B" w14:textId="77777777" w:rsidR="00BA612E" w:rsidRPr="00585653" w:rsidRDefault="00000000">
      <w:pPr>
        <w:pStyle w:val="Compact"/>
        <w:numPr>
          <w:ilvl w:val="0"/>
          <w:numId w:val="26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Fluxo de registro (Privy + Social Login), (b) KYC em 3 níveis (básico, intermediário, avançado), (c) Limites dinâmicos por tier, (d) Friction mapping.</w:t>
      </w:r>
    </w:p>
    <w:p w14:paraId="24984A3D" w14:textId="77777777" w:rsidR="00BA612E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Tecnologias:</w:t>
      </w:r>
      <w:r>
        <w:t xml:space="preserve"> Privy (embedded wallets) + SumSub (KYC) + Redis (sessões) + PostgreSQL (perfis).</w:t>
      </w:r>
    </w:p>
    <w:p w14:paraId="0164B9A4" w14:textId="77777777" w:rsidR="00BA612E" w:rsidRPr="00585653" w:rsidRDefault="00000000">
      <w:pPr>
        <w:pStyle w:val="Compact"/>
        <w:numPr>
          <w:ilvl w:val="0"/>
          <w:numId w:val="26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Fluxograma de UX, (b) Matriz de limites por tier, (c) Taxa de conversão por etapa.</w:t>
      </w:r>
    </w:p>
    <w:p w14:paraId="10328AE5" w14:textId="77777777" w:rsidR="00BA612E" w:rsidRPr="00585653" w:rsidRDefault="00000000">
      <w:pPr>
        <w:pStyle w:val="Compact"/>
        <w:numPr>
          <w:ilvl w:val="0"/>
          <w:numId w:val="26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Testes de usabilidade (UX Research) com 50 usuários por mercado.</w:t>
      </w:r>
    </w:p>
    <w:p w14:paraId="7E071D26" w14:textId="77777777" w:rsidR="00BA612E" w:rsidRPr="00585653" w:rsidRDefault="00000000">
      <w:pPr>
        <w:pStyle w:val="Heading3"/>
        <w:rPr>
          <w:lang w:val="pt-BR"/>
        </w:rPr>
      </w:pPr>
      <w:bookmarkStart w:id="29" w:name="Xb56ebd0dca62769d831b854dc445c2654a400e6"/>
      <w:bookmarkEnd w:id="28"/>
      <w:r w:rsidRPr="00585653">
        <w:rPr>
          <w:lang w:val="pt-BR"/>
        </w:rPr>
        <w:t>Página 3.2: Jornada do Liquidity Provider (LP)</w:t>
      </w:r>
    </w:p>
    <w:p w14:paraId="71F63BB7" w14:textId="77777777" w:rsidR="00BA612E" w:rsidRPr="00585653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Onboarding de LP com KYB (Know Your Business), (b) Depósito de colateral, (c) Configuração de Auto-Bid, (d) Dashboard de performance.</w:t>
      </w:r>
    </w:p>
    <w:p w14:paraId="0E5DDC49" w14:textId="77777777" w:rsidR="00BA612E" w:rsidRPr="00585653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SumSub KYB + Fireblocks (depósito de colateral) + FastAPI + WebSockets.</w:t>
      </w:r>
    </w:p>
    <w:p w14:paraId="41D89949" w14:textId="77777777" w:rsidR="00BA612E" w:rsidRPr="00585653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Fluxo de onboarding LP, (b) Contrato de liquidez, (c) Simulador de yield.</w:t>
      </w:r>
    </w:p>
    <w:p w14:paraId="2D7D6B46" w14:textId="77777777" w:rsidR="00BA612E" w:rsidRPr="00585653" w:rsidRDefault="00000000">
      <w:pPr>
        <w:pStyle w:val="Compact"/>
        <w:numPr>
          <w:ilvl w:val="0"/>
          <w:numId w:val="27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Entrevistas com 20 LPs potenciais por corredor.</w:t>
      </w:r>
    </w:p>
    <w:p w14:paraId="3F892988" w14:textId="77777777" w:rsidR="00BA612E" w:rsidRPr="00585653" w:rsidRDefault="00000000">
      <w:pPr>
        <w:pStyle w:val="Heading3"/>
        <w:rPr>
          <w:lang w:val="pt-BR"/>
        </w:rPr>
      </w:pPr>
      <w:bookmarkStart w:id="30" w:name="X3e986d6f3aae149d28e51f18afb4f520d2913c5"/>
      <w:bookmarkEnd w:id="29"/>
      <w:r w:rsidRPr="00585653">
        <w:rPr>
          <w:lang w:val="pt-BR"/>
        </w:rPr>
        <w:t>Página 3.3: Jornada do Recebedor (Recipient)</w:t>
      </w:r>
    </w:p>
    <w:p w14:paraId="0C0B1CBA" w14:textId="77777777" w:rsidR="00BA612E" w:rsidRPr="0058565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Recebimento de notificação, (b) Escolha de método de payout (PIX, cartão, mobile money, P2P cash), (c) Dashboard de saldo, (d) Histórico de transações.</w:t>
      </w:r>
    </w:p>
    <w:p w14:paraId="2159C8A4" w14:textId="77777777" w:rsidR="00BA612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Tecnologias:</w:t>
      </w:r>
      <w:r>
        <w:t xml:space="preserve"> Firebase Cloud Messaging (push) + WhatsApp Business API + React Native / Flutter.</w:t>
      </w:r>
    </w:p>
    <w:p w14:paraId="0C72F07B" w14:textId="77777777" w:rsidR="00BA612E" w:rsidRPr="0058565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Protótipos de alta fidelidade, (b) Testes A/B de notificações, (c) NPS por corredor.</w:t>
      </w:r>
    </w:p>
    <w:p w14:paraId="30805B4D" w14:textId="77777777" w:rsidR="00BA612E" w:rsidRPr="0058565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Pesquisa de satisfação pós-transação.</w:t>
      </w:r>
    </w:p>
    <w:p w14:paraId="473B70CA" w14:textId="77777777" w:rsidR="00BA612E" w:rsidRPr="00585653" w:rsidRDefault="00000000">
      <w:pPr>
        <w:pStyle w:val="Heading3"/>
        <w:rPr>
          <w:lang w:val="pt-BR"/>
        </w:rPr>
      </w:pPr>
      <w:bookmarkStart w:id="31" w:name="X30acdf863a4c0b2beed40fa11caaa40edc6e935"/>
      <w:bookmarkEnd w:id="30"/>
      <w:r w:rsidRPr="00585653">
        <w:rPr>
          <w:lang w:val="pt-BR"/>
        </w:rPr>
        <w:t>Página 3.4: Design System e Componentes de UI</w:t>
      </w:r>
    </w:p>
    <w:p w14:paraId="4E62CABA" w14:textId="77777777" w:rsidR="00BA612E" w:rsidRPr="00585653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Design tokens (cores, tipografia, espaçamento), (b) Biblioteca de componentes (React/Vue), (c) Acessibilidade (WCAG 2.1 AA), (d) Dark mode.</w:t>
      </w:r>
    </w:p>
    <w:p w14:paraId="3F081724" w14:textId="77777777" w:rsidR="00BA612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Tecnologias:</w:t>
      </w:r>
      <w:r>
        <w:t xml:space="preserve"> Figma + Storybook + Tailwind CSS + React.</w:t>
      </w:r>
    </w:p>
    <w:p w14:paraId="346C8430" w14:textId="77777777" w:rsidR="00BA612E" w:rsidRPr="00585653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Artefatos:</w:t>
      </w:r>
      <w:r w:rsidRPr="00585653">
        <w:rPr>
          <w:lang w:val="pt-BR"/>
        </w:rPr>
        <w:t xml:space="preserve"> (a) Design System documentado, (b) Biblioteca de componentes publicada, (c) Checklist de acessibilidade.</w:t>
      </w:r>
    </w:p>
    <w:p w14:paraId="4218038C" w14:textId="77777777" w:rsidR="00BA612E" w:rsidRPr="00585653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de acessibilidade automática (Lighthouse &gt; 95).</w:t>
      </w:r>
    </w:p>
    <w:p w14:paraId="2E4CF118" w14:textId="77777777" w:rsidR="00BA612E" w:rsidRDefault="00000000">
      <w:r>
        <w:pict w14:anchorId="59FAD2E9">
          <v:rect id="_x0000_i1032" style="width:0;height:1.5pt" o:hralign="center" o:hrstd="t" o:hr="t"/>
        </w:pict>
      </w:r>
    </w:p>
    <w:p w14:paraId="58C9FA63" w14:textId="77777777" w:rsidR="00BA612E" w:rsidRPr="00585653" w:rsidRDefault="00000000">
      <w:pPr>
        <w:pStyle w:val="Heading2"/>
        <w:rPr>
          <w:lang w:val="pt-BR"/>
        </w:rPr>
      </w:pPr>
      <w:bookmarkStart w:id="32" w:name="X299e9601b6f76298712d9d6167be5688f260e63"/>
      <w:bookmarkEnd w:id="27"/>
      <w:bookmarkEnd w:id="31"/>
      <w:r w:rsidRPr="00585653">
        <w:rPr>
          <w:lang w:val="pt-BR"/>
        </w:rPr>
        <w:t>CAPÍTULO 4: MOTOR DE REMESSAS, MATCHING E LIQUIDAÇÃO</w:t>
      </w:r>
    </w:p>
    <w:p w14:paraId="57978B8B" w14:textId="77777777" w:rsidR="00BA612E" w:rsidRPr="00585653" w:rsidRDefault="00000000">
      <w:pPr>
        <w:pStyle w:val="Heading3"/>
        <w:rPr>
          <w:lang w:val="pt-BR"/>
        </w:rPr>
      </w:pPr>
      <w:bookmarkStart w:id="33" w:name="X72d17965953a634918a8ec29c55eb90f4e951f2"/>
      <w:r w:rsidRPr="00585653">
        <w:rPr>
          <w:lang w:val="pt-BR"/>
        </w:rPr>
        <w:t>Página 4.1: Especificação do Matching Engine (Antigravity)</w:t>
      </w:r>
    </w:p>
    <w:p w14:paraId="6BD13CB1" w14:textId="77777777" w:rsidR="00BA612E" w:rsidRPr="00585653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Algoritmo de scoring composto (spread, reputação, velocidade), (b) Blind Queue com commit-reveal, (c) Filtragem de elegibilidade, (d) Desempate e fairness.</w:t>
      </w:r>
    </w:p>
    <w:p w14:paraId="55125367" w14:textId="77777777" w:rsidR="00BA612E" w:rsidRPr="00585653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Python (FastAPI) + Redis (fila) + Celery (workers) + PostgreSQL (histórico).</w:t>
      </w:r>
    </w:p>
    <w:p w14:paraId="3B166F0F" w14:textId="77777777" w:rsidR="00BA612E" w:rsidRPr="00585653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Pseudocódigo do algoritmo, (b) Simulação Monte Carlo, (c) Relatório de fairness.</w:t>
      </w:r>
    </w:p>
    <w:p w14:paraId="66AF67B7" w14:textId="77777777" w:rsidR="00BA612E" w:rsidRPr="00585653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Simulação com 1M ordens sintéticas; verificação de ausência de viés.</w:t>
      </w:r>
    </w:p>
    <w:p w14:paraId="722ACC71" w14:textId="77777777" w:rsidR="00BA612E" w:rsidRPr="00585653" w:rsidRDefault="00000000">
      <w:pPr>
        <w:pStyle w:val="Heading3"/>
        <w:rPr>
          <w:lang w:val="pt-BR"/>
        </w:rPr>
      </w:pPr>
      <w:bookmarkStart w:id="34" w:name="Xb35fbf5fdbeaad6991ced56297b55a8a90d29b6"/>
      <w:bookmarkEnd w:id="33"/>
      <w:r w:rsidRPr="00585653">
        <w:rPr>
          <w:lang w:val="pt-BR"/>
        </w:rPr>
        <w:t>Página 4.2: Protocolo de Micro-hash e Conciliação Atômica</w:t>
      </w:r>
    </w:p>
    <w:p w14:paraId="6EF1F9A4" w14:textId="77777777" w:rsidR="00BA612E" w:rsidRPr="00585653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Geração determinística do hash, (b) Fluxo de reconciliação L0→L5, (c) Prevenção de double-spending, (d) Integração com PIX/SEPA/ACH.</w:t>
      </w:r>
    </w:p>
    <w:p w14:paraId="54030CAD" w14:textId="77777777" w:rsidR="00BA612E" w:rsidRPr="00585653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Keccak256 + SHA-256 + The Graph (indexação) + APIs bancárias.</w:t>
      </w:r>
    </w:p>
    <w:p w14:paraId="140A2BAE" w14:textId="77777777" w:rsidR="00BA612E" w:rsidRPr="00585653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Especificação formal do protocolo, (b) Prova de conceito, (c) Relatório de auditoria de conciliação.</w:t>
      </w:r>
    </w:p>
    <w:p w14:paraId="653A7C17" w14:textId="77777777" w:rsidR="00BA612E" w:rsidRPr="00585653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 de stress com 100k transações concorrentes; taxa de match 100%.</w:t>
      </w:r>
    </w:p>
    <w:p w14:paraId="0FB75BF2" w14:textId="77777777" w:rsidR="00BA612E" w:rsidRPr="00585653" w:rsidRDefault="00000000">
      <w:pPr>
        <w:pStyle w:val="Heading3"/>
        <w:rPr>
          <w:lang w:val="pt-BR"/>
        </w:rPr>
      </w:pPr>
      <w:bookmarkStart w:id="35" w:name="X02e22c4ff0b44d881e04b664d0ae7fe57208af1"/>
      <w:bookmarkEnd w:id="34"/>
      <w:r w:rsidRPr="00585653">
        <w:rPr>
          <w:lang w:val="pt-BR"/>
        </w:rPr>
        <w:lastRenderedPageBreak/>
        <w:t>Página 4.3: Liquidação Global — Rails por Região</w:t>
      </w:r>
    </w:p>
    <w:p w14:paraId="084F0160" w14:textId="77777777" w:rsidR="00BA612E" w:rsidRPr="00585653" w:rsidRDefault="00000000">
      <w:pPr>
        <w:pStyle w:val="Compact"/>
        <w:numPr>
          <w:ilvl w:val="0"/>
          <w:numId w:val="32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PIX (Brasil), (b) UPI (Índia), (c) SEPA (Europa), (d) FedNow/ACH (EUA), (e) M-Pesa (África), (f) Push-to-Card (global), (g) P2P Cash.</w:t>
      </w:r>
    </w:p>
    <w:p w14:paraId="59F464AA" w14:textId="77777777" w:rsidR="00BA612E" w:rsidRPr="00585653" w:rsidRDefault="00000000">
      <w:pPr>
        <w:pStyle w:val="Compact"/>
        <w:numPr>
          <w:ilvl w:val="0"/>
          <w:numId w:val="32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APIs de Bancos Centrais + Visa Direct + Mastercard Send + parceiros locais.</w:t>
      </w:r>
    </w:p>
    <w:p w14:paraId="0FC6AEB8" w14:textId="77777777" w:rsidR="00BA612E" w:rsidRPr="00585653" w:rsidRDefault="00000000">
      <w:pPr>
        <w:pStyle w:val="Compact"/>
        <w:numPr>
          <w:ilvl w:val="0"/>
          <w:numId w:val="32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Matriz de rails por país, (b) SLAs por rail, (c) Planos de fallback.</w:t>
      </w:r>
    </w:p>
    <w:p w14:paraId="54297DF8" w14:textId="77777777" w:rsidR="00BA612E" w:rsidRPr="00585653" w:rsidRDefault="00000000">
      <w:pPr>
        <w:pStyle w:val="Compact"/>
        <w:numPr>
          <w:ilvl w:val="0"/>
          <w:numId w:val="32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Testes de integração com cada rail; medição de latência P95.</w:t>
      </w:r>
    </w:p>
    <w:p w14:paraId="56D2649D" w14:textId="77777777" w:rsidR="00BA612E" w:rsidRPr="00585653" w:rsidRDefault="00000000">
      <w:pPr>
        <w:pStyle w:val="Heading3"/>
        <w:rPr>
          <w:lang w:val="pt-BR"/>
        </w:rPr>
      </w:pPr>
      <w:bookmarkStart w:id="36" w:name="página-4.4-máquina-de-estados-e-reversão"/>
      <w:bookmarkEnd w:id="35"/>
      <w:r w:rsidRPr="00585653">
        <w:rPr>
          <w:lang w:val="pt-BR"/>
        </w:rPr>
        <w:t>Página 4.4: Máquina de Estados e Reversão</w:t>
      </w:r>
    </w:p>
    <w:p w14:paraId="606ACCD9" w14:textId="77777777" w:rsidR="00BA612E" w:rsidRPr="00585653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Diagrama completo de estados (INITIATED → SETTLED/REVERSED), (b) Condições de timeout (15 min para PROCESSING, 300s para VALIDATING), (c) Lógica de rollback atômico, (d) Penalidades.</w:t>
      </w:r>
    </w:p>
    <w:p w14:paraId="7C419DA9" w14:textId="77777777" w:rsidR="00BA612E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Tecnologias:</w:t>
      </w:r>
      <w:r>
        <w:t xml:space="preserve"> Solidity (state machine on-chain) + Redis (state off-chain) + PostgreSQL (audit).</w:t>
      </w:r>
    </w:p>
    <w:p w14:paraId="7C4A4DC2" w14:textId="77777777" w:rsidR="00BA612E" w:rsidRPr="00585653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Diagrama de estados formal, (b) Testes unitários de cada transição, (c) Relatório de cobertura de testes (&gt;90%).</w:t>
      </w:r>
    </w:p>
    <w:p w14:paraId="499604EF" w14:textId="77777777" w:rsidR="00BA612E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Validação:</w:t>
      </w:r>
      <w:r>
        <w:t xml:space="preserve"> Fuzzing dos smart contracts; testes de boundary conditions.</w:t>
      </w:r>
    </w:p>
    <w:p w14:paraId="1B482F99" w14:textId="77777777" w:rsidR="00BA612E" w:rsidRPr="00585653" w:rsidRDefault="00000000">
      <w:pPr>
        <w:pStyle w:val="Heading3"/>
        <w:rPr>
          <w:lang w:val="pt-BR"/>
        </w:rPr>
      </w:pPr>
      <w:bookmarkStart w:id="37" w:name="X7ec52e540156ec4eb23a4c123b8852b69a17d2b"/>
      <w:bookmarkEnd w:id="36"/>
      <w:r w:rsidRPr="00585653">
        <w:rPr>
          <w:lang w:val="pt-BR"/>
        </w:rPr>
        <w:t>Página 4.5: VASP Bridge e Emissão de Cartões</w:t>
      </w:r>
    </w:p>
    <w:p w14:paraId="3B56D434" w14:textId="77777777" w:rsidR="00BA612E" w:rsidRPr="00585653" w:rsidRDefault="00000000">
      <w:pPr>
        <w:pStyle w:val="Compact"/>
        <w:numPr>
          <w:ilvl w:val="0"/>
          <w:numId w:val="34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Integração com Rain/Reap/Striga, (b) JIT funding de cartões, (c) Fallback para múltiplas VASPs, (d) Gestão de BINs e programas de cartão.</w:t>
      </w:r>
    </w:p>
    <w:p w14:paraId="0D179DA5" w14:textId="77777777" w:rsidR="00BA612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Tecnologias:</w:t>
      </w:r>
      <w:r>
        <w:t xml:space="preserve"> APIs REST das VASPs + Stripe Issuing (backup) + Webhooks.</w:t>
      </w:r>
    </w:p>
    <w:p w14:paraId="5E0772BF" w14:textId="77777777" w:rsidR="00BA612E" w:rsidRPr="00585653" w:rsidRDefault="00000000">
      <w:pPr>
        <w:pStyle w:val="Compact"/>
        <w:numPr>
          <w:ilvl w:val="0"/>
          <w:numId w:val="34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Contratos de parceria, (b) Matriz de fallback, (c) SLA de uptime por VASP.</w:t>
      </w:r>
    </w:p>
    <w:p w14:paraId="5EC9DEE1" w14:textId="77777777" w:rsidR="00BA612E" w:rsidRPr="00585653" w:rsidRDefault="00000000">
      <w:pPr>
        <w:pStyle w:val="Compact"/>
        <w:numPr>
          <w:ilvl w:val="0"/>
          <w:numId w:val="34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Testes de failover automático; medição de tempo de load (&lt; 30s).</w:t>
      </w:r>
    </w:p>
    <w:p w14:paraId="0178413F" w14:textId="77777777" w:rsidR="00BA612E" w:rsidRDefault="00000000">
      <w:r>
        <w:pict w14:anchorId="067A17DA">
          <v:rect id="_x0000_i1033" style="width:0;height:1.5pt" o:hralign="center" o:hrstd="t" o:hr="t"/>
        </w:pict>
      </w:r>
    </w:p>
    <w:p w14:paraId="7D6BC9C0" w14:textId="77777777" w:rsidR="00BA612E" w:rsidRPr="00585653" w:rsidRDefault="00000000">
      <w:pPr>
        <w:pStyle w:val="Heading2"/>
        <w:rPr>
          <w:lang w:val="pt-BR"/>
        </w:rPr>
      </w:pPr>
      <w:bookmarkStart w:id="38" w:name="Xdf1c23043b58d42ddbf5674d46c82838af7b037"/>
      <w:bookmarkEnd w:id="32"/>
      <w:bookmarkEnd w:id="37"/>
      <w:r w:rsidRPr="00585653">
        <w:rPr>
          <w:lang w:val="pt-BR"/>
        </w:rPr>
        <w:lastRenderedPageBreak/>
        <w:t>CAPÍTULO 5: PRECIFICAÇÃO, ECONOMIA E DISTRIBUIÇÃO DE RECEITAS</w:t>
      </w:r>
    </w:p>
    <w:p w14:paraId="2B27CFFA" w14:textId="77777777" w:rsidR="00BA612E" w:rsidRPr="00585653" w:rsidRDefault="00000000">
      <w:pPr>
        <w:pStyle w:val="Heading3"/>
        <w:rPr>
          <w:lang w:val="pt-BR"/>
        </w:rPr>
      </w:pPr>
      <w:bookmarkStart w:id="39" w:name="Xc3cd70a8f873eed057c5c7ee06c7a7a7d6dcca1"/>
      <w:r w:rsidRPr="00585653">
        <w:rPr>
          <w:lang w:val="pt-BR"/>
        </w:rPr>
        <w:t>Página 5.1: Canônico de Precificação (Dominância/Tiered)</w:t>
      </w:r>
    </w:p>
    <w:p w14:paraId="31626730" w14:textId="77777777" w:rsidR="00BA612E" w:rsidRPr="00585653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Tabela de spread por faixa de volume, (b) Regra de benchmark vs Wise, (c) Cálculo de CET (Custo Efetivo Total), (d) Transparência de PTAX mid-market.</w:t>
      </w:r>
    </w:p>
    <w:p w14:paraId="271D6D36" w14:textId="77777777" w:rsidR="00BA612E" w:rsidRPr="00585653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Python (motor de pricing) + APIs de câmbio (Fixer, OpenExchangeRates) + Cache Redis.</w:t>
      </w:r>
    </w:p>
    <w:p w14:paraId="2EF3831D" w14:textId="77777777" w:rsidR="00BA612E" w:rsidRPr="00585653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Tabela de pricing versionada, (b) Simulador de CET, (c) Relatório de competitividade mensal.</w:t>
      </w:r>
    </w:p>
    <w:p w14:paraId="4EF9C8D9" w14:textId="77777777" w:rsidR="00BA612E" w:rsidRPr="00585653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de pricing por terceiro (ex: Deloitte) para garantir transparência.</w:t>
      </w:r>
    </w:p>
    <w:p w14:paraId="5F9B1A73" w14:textId="77777777" w:rsidR="00BA612E" w:rsidRPr="00585653" w:rsidRDefault="00000000">
      <w:pPr>
        <w:pStyle w:val="Heading3"/>
        <w:rPr>
          <w:lang w:val="pt-BR"/>
        </w:rPr>
      </w:pPr>
      <w:bookmarkStart w:id="40" w:name="X54dc15500a1f7aaca9a60f164de701ed6d4d13a"/>
      <w:bookmarkEnd w:id="39"/>
      <w:r w:rsidRPr="00585653">
        <w:rPr>
          <w:lang w:val="pt-BR"/>
        </w:rPr>
        <w:t>Página 5.2: Repartição de Spread (LP / VASP / Plataforma)</w:t>
      </w:r>
    </w:p>
    <w:p w14:paraId="5C52A403" w14:textId="77777777" w:rsidR="00BA612E" w:rsidRPr="00585653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Divisão do “bolo” de spread (42,8% LP / 28,6% VASP / 28,6% Plataforma), (b) Distribuição atômica via Smart Contract, (c) Ajustes de cold start.</w:t>
      </w:r>
    </w:p>
    <w:p w14:paraId="696AF90E" w14:textId="77777777" w:rsidR="00BA612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Tecnologias:</w:t>
      </w:r>
      <w:r>
        <w:t xml:space="preserve"> Solidity (hardcoded distribution) + The Graph (indexação).</w:t>
      </w:r>
    </w:p>
    <w:p w14:paraId="47E1727D" w14:textId="77777777" w:rsidR="00BA612E" w:rsidRPr="00585653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Código do contrato de distribuição, (b) Simulação de DRE por ator, (c) Relatório de fairness.</w:t>
      </w:r>
    </w:p>
    <w:p w14:paraId="2EF20E89" w14:textId="77777777" w:rsidR="00BA612E" w:rsidRPr="00585653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Verificação formal de que nenhum admin pode alterar a divisão unilateralmente.</w:t>
      </w:r>
    </w:p>
    <w:p w14:paraId="1724718B" w14:textId="77777777" w:rsidR="00BA612E" w:rsidRDefault="00000000">
      <w:pPr>
        <w:pStyle w:val="Heading3"/>
      </w:pPr>
      <w:bookmarkStart w:id="41" w:name="página-5.3-modelagem-fiscal-e-tributária"/>
      <w:bookmarkEnd w:id="40"/>
      <w:r>
        <w:t>Página 5.3: Modelagem Fiscal e Tributária</w:t>
      </w:r>
    </w:p>
    <w:p w14:paraId="6C2497D1" w14:textId="77777777" w:rsidR="00BA612E" w:rsidRPr="00585653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IOF (0,38% no Brasil), (b) IRRF sobre ganho de capital do LP, (c) ISS sobre serviço de orquestração, (d) VAT/GST em serviços digitais, (e) Transfer pricing entre entidades.</w:t>
      </w:r>
    </w:p>
    <w:p w14:paraId="52E12137" w14:textId="77777777" w:rsidR="00BA612E" w:rsidRPr="00585653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ERP fiscal (ex: Thomson Reuters ONESOURCE) + APIs de cálculo tributário.</w:t>
      </w:r>
    </w:p>
    <w:p w14:paraId="21C4113A" w14:textId="77777777" w:rsidR="00BA612E" w:rsidRPr="00585653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Matriz fiscal por país, (b) DRE fiscal consolidado, (c) Parecer de transfer pricing.</w:t>
      </w:r>
    </w:p>
    <w:p w14:paraId="79D5942A" w14:textId="77777777" w:rsidR="00BA612E" w:rsidRPr="00585653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Validação:</w:t>
      </w:r>
      <w:r w:rsidRPr="00585653">
        <w:rPr>
          <w:lang w:val="pt-BR"/>
        </w:rPr>
        <w:t xml:space="preserve"> Revisão por Big-4 e counsel fiscal local.</w:t>
      </w:r>
    </w:p>
    <w:p w14:paraId="11A21502" w14:textId="77777777" w:rsidR="00BA612E" w:rsidRPr="00585653" w:rsidRDefault="00000000">
      <w:pPr>
        <w:pStyle w:val="Heading3"/>
        <w:rPr>
          <w:lang w:val="pt-BR"/>
        </w:rPr>
      </w:pPr>
      <w:bookmarkStart w:id="42" w:name="X92b1cf29fdc51d8c99017f74b5f78b96c7a9764"/>
      <w:bookmarkEnd w:id="41"/>
      <w:r w:rsidRPr="00585653">
        <w:rPr>
          <w:lang w:val="pt-BR"/>
        </w:rPr>
        <w:t>Página 5.4: Fundo de Estabilidade e Gestão de Riscos Sistêmicos</w:t>
      </w:r>
    </w:p>
    <w:p w14:paraId="120CAA0C" w14:textId="77777777" w:rsidR="00BA612E" w:rsidRPr="00585653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Alocação de 10% da Orchestration Fee para FSF, (b) Gatilhos de aumento de spread em volatilidade, (c) NNE (Net Network Exposure) em tempo real, (d) Seguro de crédito para LPs.</w:t>
      </w:r>
    </w:p>
    <w:p w14:paraId="0AE44A4E" w14:textId="77777777" w:rsidR="00BA612E" w:rsidRPr="00585653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Python (modelagem de risco) + Chainlink (oráculos de volatilidade) + Nexus Mutual (seguro).</w:t>
      </w:r>
    </w:p>
    <w:p w14:paraId="730351CC" w14:textId="77777777" w:rsidR="00BA612E" w:rsidRPr="00585653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Política de risco, (b) Modelo de stress testing, (c) Relatório de exposição diária.</w:t>
      </w:r>
    </w:p>
    <w:p w14:paraId="6165F98A" w14:textId="77777777" w:rsidR="00BA612E" w:rsidRPr="00585653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Stress test com cenário de 2008 e cenário de crash crypto (Terra/Luna).</w:t>
      </w:r>
    </w:p>
    <w:p w14:paraId="20231BD8" w14:textId="77777777" w:rsidR="00BA612E" w:rsidRDefault="00000000">
      <w:r>
        <w:pict w14:anchorId="14F1CC8E">
          <v:rect id="_x0000_i1034" style="width:0;height:1.5pt" o:hralign="center" o:hrstd="t" o:hr="t"/>
        </w:pict>
      </w:r>
    </w:p>
    <w:p w14:paraId="7DEFF8D8" w14:textId="77777777" w:rsidR="00BA612E" w:rsidRPr="00585653" w:rsidRDefault="00000000">
      <w:pPr>
        <w:pStyle w:val="Heading2"/>
        <w:rPr>
          <w:lang w:val="pt-BR"/>
        </w:rPr>
      </w:pPr>
      <w:bookmarkStart w:id="43" w:name="Xc8197615b1a3788d09ef5d761cf55c36f29e937"/>
      <w:bookmarkEnd w:id="38"/>
      <w:bookmarkEnd w:id="42"/>
      <w:r w:rsidRPr="00585653">
        <w:rPr>
          <w:lang w:val="pt-BR"/>
        </w:rPr>
        <w:t>CAPÍTULO 6: COMPLIANCE, AUDITORIA E RASTREIO INSTITUCIONAL</w:t>
      </w:r>
    </w:p>
    <w:p w14:paraId="7A2A6C54" w14:textId="77777777" w:rsidR="00BA612E" w:rsidRPr="00585653" w:rsidRDefault="00000000">
      <w:pPr>
        <w:pStyle w:val="Heading3"/>
        <w:rPr>
          <w:lang w:val="pt-BR"/>
        </w:rPr>
      </w:pPr>
      <w:bookmarkStart w:id="44" w:name="X520868a6447c913b596e19b6a682a41c6d453ce"/>
      <w:r w:rsidRPr="00585653">
        <w:rPr>
          <w:lang w:val="pt-BR"/>
        </w:rPr>
        <w:t>Página 6.1: Macrohash e Minihash — Ledger de Auditoria</w:t>
      </w:r>
    </w:p>
    <w:p w14:paraId="488AC814" w14:textId="77777777" w:rsidR="00BA612E" w:rsidRPr="00585653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Estrutura do Macrohash (âncora horária na Polygon), (b) Estrutura do Minihash (DNA de cada transação), (c) Verificação de integridade, (d) Acesso para auditores externos.</w:t>
      </w:r>
    </w:p>
    <w:p w14:paraId="0F2A80F5" w14:textId="77777777" w:rsidR="00BA612E" w:rsidRPr="00585653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Keccak256 + Polygon + IPFS (arquivamento) + API pública de auditoria.</w:t>
      </w:r>
    </w:p>
    <w:p w14:paraId="6CA1FABD" w14:textId="77777777" w:rsidR="00BA612E" w:rsidRPr="00585653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Especificação do protocolo de hash, (b) Portal de auditoria pública, (c) Relatório de integridade mensal.</w:t>
      </w:r>
    </w:p>
    <w:p w14:paraId="1D1D064B" w14:textId="77777777" w:rsidR="00BA612E" w:rsidRPr="00585653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contínua por “Big-4” ou firma especializada em blockchain (ex: Armanino).</w:t>
      </w:r>
    </w:p>
    <w:p w14:paraId="7D8738CB" w14:textId="77777777" w:rsidR="00BA612E" w:rsidRDefault="00000000">
      <w:pPr>
        <w:pStyle w:val="Heading3"/>
      </w:pPr>
      <w:bookmarkStart w:id="45" w:name="Xc3f25735b0ddae680f40b6d5f20478826915f51"/>
      <w:bookmarkEnd w:id="44"/>
      <w:r>
        <w:t>Página 6.2: Relatórios Regulatórios Automatizados</w:t>
      </w:r>
    </w:p>
    <w:p w14:paraId="479AC3E0" w14:textId="77777777" w:rsidR="00BA612E" w:rsidRPr="00585653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Relatório BACEN/COAF (Brasil), (b) Relatório FinCEN (EUA), (c) Relatório FCA/PRA (UK), (d) Relatório BCE (UE), (e) Relatório FIU (Ásia).</w:t>
      </w:r>
    </w:p>
    <w:p w14:paraId="1759333B" w14:textId="77777777" w:rsidR="00BA612E" w:rsidRPr="00585653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Tecnologias:</w:t>
      </w:r>
      <w:r w:rsidRPr="00585653">
        <w:rPr>
          <w:lang w:val="pt-BR"/>
        </w:rPr>
        <w:t xml:space="preserve"> FastAPI (geração de relatórios) + Apache Airflow (orquestração) + APIs regulatórias.</w:t>
      </w:r>
    </w:p>
    <w:p w14:paraId="540F2384" w14:textId="77777777" w:rsidR="00BA612E" w:rsidRPr="00585653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Templates de relatórios por jurisdição, (b) Cronograma de entrega, (c) Logs de submissão.</w:t>
      </w:r>
    </w:p>
    <w:p w14:paraId="63D26AEC" w14:textId="77777777" w:rsidR="00BA612E" w:rsidRPr="00585653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prévia por counsel regulatório antes de cada submissão.</w:t>
      </w:r>
    </w:p>
    <w:p w14:paraId="1A5CD620" w14:textId="77777777" w:rsidR="00BA612E" w:rsidRPr="00585653" w:rsidRDefault="00000000">
      <w:pPr>
        <w:pStyle w:val="Heading3"/>
        <w:rPr>
          <w:lang w:val="pt-BR"/>
        </w:rPr>
      </w:pPr>
      <w:bookmarkStart w:id="46" w:name="Xf1115a1e542e96c0d7c4ad54d2f99a93109fe5e"/>
      <w:bookmarkEnd w:id="45"/>
      <w:r w:rsidRPr="00585653">
        <w:rPr>
          <w:lang w:val="pt-BR"/>
        </w:rPr>
        <w:t>Página 6.3: Transaction Monitoring e Detecção de Fraude</w:t>
      </w:r>
    </w:p>
    <w:p w14:paraId="768F3CCC" w14:textId="77777777" w:rsidR="00BA612E" w:rsidRPr="00585653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Regras de detecção (velocity, structuring, round-tripping), (b) Scoring de risco por transação, (c) Alertas em tempo real, (d) Casos de investigação.</w:t>
      </w:r>
    </w:p>
    <w:p w14:paraId="701C60A2" w14:textId="77777777" w:rsidR="00BA612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Tecnologias:</w:t>
      </w:r>
      <w:r>
        <w:t xml:space="preserve"> Chainalysis KYT + ComplyAdvantage + ElasticSearch (logs) + Machine Learning (anomalias).</w:t>
      </w:r>
    </w:p>
    <w:p w14:paraId="0BB410E1" w14:textId="77777777" w:rsidR="00BA612E" w:rsidRPr="00585653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Matriz de regras de detecção, (b) Dashboard de alertas, (c) Relatório de falsos positivos.</w:t>
      </w:r>
    </w:p>
    <w:p w14:paraId="15F83C1E" w14:textId="77777777" w:rsidR="00BA612E" w:rsidRPr="00585653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Calibração trimestral de regras; meta de falsos positivos &lt; 2%.</w:t>
      </w:r>
    </w:p>
    <w:p w14:paraId="6F26FD19" w14:textId="77777777" w:rsidR="00BA612E" w:rsidRPr="00585653" w:rsidRDefault="00000000">
      <w:pPr>
        <w:pStyle w:val="Heading3"/>
        <w:rPr>
          <w:lang w:val="pt-BR"/>
        </w:rPr>
      </w:pPr>
      <w:bookmarkStart w:id="47" w:name="X99f6f732af522ccec10ba98d94615fe1188d9f7"/>
      <w:bookmarkEnd w:id="46"/>
      <w:r w:rsidRPr="00585653">
        <w:rPr>
          <w:lang w:val="pt-BR"/>
        </w:rPr>
        <w:t>Página 6.4: Auditoria Interna e Controles SOX</w:t>
      </w:r>
    </w:p>
    <w:p w14:paraId="45C89CBF" w14:textId="77777777" w:rsidR="00BA612E" w:rsidRPr="00585653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Framework de controles internos (COSO/SOX), (b) Separação de funções (dev vs prod vs compliance), (c) Logs imutáveis de acesso, (d) Revisão trimestral.</w:t>
      </w:r>
    </w:p>
    <w:p w14:paraId="3C321E2F" w14:textId="77777777" w:rsidR="00BA612E" w:rsidRPr="00585653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Splunk / ELK (logs) + HashiCorp Vault (segredos) + Okta (SSO).</w:t>
      </w:r>
    </w:p>
    <w:p w14:paraId="69BCBFE6" w14:textId="77777777" w:rsidR="00BA612E" w:rsidRPr="00585653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Relatório de controles internos, (b) Carta de certificação da administração, (c) Plano de ação de gaps.</w:t>
      </w:r>
    </w:p>
    <w:p w14:paraId="091AB7B2" w14:textId="77777777" w:rsidR="00BA612E" w:rsidRPr="00585653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externa anual (SOX Type II).</w:t>
      </w:r>
    </w:p>
    <w:p w14:paraId="6105D2AC" w14:textId="77777777" w:rsidR="00BA612E" w:rsidRDefault="00000000">
      <w:r>
        <w:pict w14:anchorId="1B412C92">
          <v:rect id="_x0000_i1035" style="width:0;height:1.5pt" o:hralign="center" o:hrstd="t" o:hr="t"/>
        </w:pict>
      </w:r>
    </w:p>
    <w:p w14:paraId="376FF45D" w14:textId="77777777" w:rsidR="00BA612E" w:rsidRPr="00585653" w:rsidRDefault="00000000">
      <w:pPr>
        <w:pStyle w:val="Heading2"/>
        <w:rPr>
          <w:lang w:val="pt-BR"/>
        </w:rPr>
      </w:pPr>
      <w:bookmarkStart w:id="48" w:name="X49851432c36941a0c9a93a53236a62c461635d8"/>
      <w:bookmarkEnd w:id="43"/>
      <w:bookmarkEnd w:id="47"/>
      <w:r w:rsidRPr="00585653">
        <w:rPr>
          <w:lang w:val="pt-BR"/>
        </w:rPr>
        <w:lastRenderedPageBreak/>
        <w:t>CAPÍTULO 7: NOVOS BRAÇOS DE NEGÓCIO (EXPANSÃO DE ESCOPO)</w:t>
      </w:r>
    </w:p>
    <w:p w14:paraId="5CFE727E" w14:textId="77777777" w:rsidR="00BA612E" w:rsidRPr="00585653" w:rsidRDefault="00000000">
      <w:pPr>
        <w:pStyle w:val="Heading3"/>
        <w:rPr>
          <w:lang w:val="pt-BR"/>
        </w:rPr>
      </w:pPr>
      <w:bookmarkStart w:id="49" w:name="Xf02d920c3a32294fdf131e4df0d7d8a31f4d208"/>
      <w:r w:rsidRPr="00585653">
        <w:rPr>
          <w:lang w:val="pt-BR"/>
        </w:rPr>
        <w:t>Página 7.1: FLUXUS Treasury — Gestão Multi-Moeda para PMEs</w:t>
      </w:r>
    </w:p>
    <w:p w14:paraId="287B3C64" w14:textId="77777777" w:rsidR="00BA612E" w:rsidRPr="00585653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Conta unificada multi-moeda, (b) Conversão sob demanda (spot + forward), (c) Redução de capital de giro em 60%, (d) API para ERPs (SAP, Oracle, NetSuite).</w:t>
      </w:r>
    </w:p>
    <w:p w14:paraId="1AC8A265" w14:textId="77777777" w:rsidR="00BA612E" w:rsidRPr="00585653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FastAPI + Oracle de preços (Chainlink) + Integrações ERP.</w:t>
      </w:r>
    </w:p>
    <w:p w14:paraId="1E0ABCE8" w14:textId="77777777" w:rsidR="00BA612E" w:rsidRPr="00585653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Especificação de API, (b) Casos de uso por setor, (c) ROI calculator.</w:t>
      </w:r>
    </w:p>
    <w:p w14:paraId="1CFDDD4F" w14:textId="77777777" w:rsidR="00BA612E" w:rsidRPr="00585653" w:rsidRDefault="00000000">
      <w:pPr>
        <w:pStyle w:val="Compact"/>
        <w:numPr>
          <w:ilvl w:val="0"/>
          <w:numId w:val="43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Piloto com 10 PMEs em 2 países.</w:t>
      </w:r>
    </w:p>
    <w:p w14:paraId="521FEF0C" w14:textId="77777777" w:rsidR="00BA612E" w:rsidRPr="00585653" w:rsidRDefault="00000000">
      <w:pPr>
        <w:pStyle w:val="Heading3"/>
        <w:rPr>
          <w:lang w:val="pt-BR"/>
        </w:rPr>
      </w:pPr>
      <w:bookmarkStart w:id="50" w:name="X036df40e575d7a0707e3bd4c3b20477da549cd4"/>
      <w:bookmarkEnd w:id="49"/>
      <w:r w:rsidRPr="00585653">
        <w:rPr>
          <w:lang w:val="pt-BR"/>
        </w:rPr>
        <w:t>Página 7.2: FLUXUS Payroll — Folha de Pagamento Global</w:t>
      </w:r>
    </w:p>
    <w:p w14:paraId="2E2286E9" w14:textId="77777777" w:rsidR="00BA612E" w:rsidRPr="00585653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Integração com Deel, Remote, Gusto, (b) Pagamento em stablecoin → liquidação local, (c) Compliance trabalhista por país, (d) Relatórios de withholdings.</w:t>
      </w:r>
    </w:p>
    <w:p w14:paraId="7D9E7387" w14:textId="77777777" w:rsidR="00BA612E" w:rsidRPr="00585653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APIs de RH + Smart Contracts + Rails de liquidação.</w:t>
      </w:r>
    </w:p>
    <w:p w14:paraId="42C30EE9" w14:textId="77777777" w:rsidR="00BA612E" w:rsidRPr="00585653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Documentação de integração, (b) Matriz de compliance trabalhista, (c) Simulador de custo vs Wise/Deel.</w:t>
      </w:r>
    </w:p>
    <w:p w14:paraId="501FC6B4" w14:textId="77777777" w:rsidR="00BA612E" w:rsidRPr="00585653" w:rsidRDefault="00000000">
      <w:pPr>
        <w:pStyle w:val="Compact"/>
        <w:numPr>
          <w:ilvl w:val="0"/>
          <w:numId w:val="44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Parceria estratégica com 1 plataforma de RH.</w:t>
      </w:r>
    </w:p>
    <w:p w14:paraId="6E16BADC" w14:textId="77777777" w:rsidR="00BA612E" w:rsidRPr="00585653" w:rsidRDefault="00000000">
      <w:pPr>
        <w:pStyle w:val="Heading3"/>
        <w:rPr>
          <w:lang w:val="pt-BR"/>
        </w:rPr>
      </w:pPr>
      <w:bookmarkStart w:id="51" w:name="X80dd55f59c8d8b551bc80516499c010c6bc207f"/>
      <w:bookmarkEnd w:id="50"/>
      <w:r w:rsidRPr="00585653">
        <w:rPr>
          <w:lang w:val="pt-BR"/>
        </w:rPr>
        <w:t>Página 7.3: FLUXUS Credit — Microcrédito e Crédito Garantido</w:t>
      </w:r>
    </w:p>
    <w:p w14:paraId="790B7118" w14:textId="77777777" w:rsidR="00BA612E" w:rsidRPr="00585653" w:rsidRDefault="00000000">
      <w:pPr>
        <w:pStyle w:val="Compact"/>
        <w:numPr>
          <w:ilvl w:val="0"/>
          <w:numId w:val="45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Scoring alternativo baseado em histórico on-chain (Minihash), (b) Microcrédito instantâneo (antecipação de 50% da remessa), (c) Empréstimos garantidos por stablecoin (LTV 70%), (d) Recuperação de crédito.</w:t>
      </w:r>
    </w:p>
    <w:p w14:paraId="46FEAA91" w14:textId="77777777" w:rsidR="00BA612E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Tecnologias:</w:t>
      </w:r>
      <w:r>
        <w:t xml:space="preserve"> Machine Learning (scoring) + Smart Contracts (garantia) + APIs de bureau de crédito local.</w:t>
      </w:r>
    </w:p>
    <w:p w14:paraId="32E25877" w14:textId="77777777" w:rsidR="00BA612E" w:rsidRPr="00585653" w:rsidRDefault="00000000">
      <w:pPr>
        <w:pStyle w:val="Compact"/>
        <w:numPr>
          <w:ilvl w:val="0"/>
          <w:numId w:val="45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Modelo de scoring, (b) Política de crédito, (c) Provisão para perdas esperadas.</w:t>
      </w:r>
    </w:p>
    <w:p w14:paraId="30689444" w14:textId="77777777" w:rsidR="00BA612E" w:rsidRPr="00585653" w:rsidRDefault="00000000">
      <w:pPr>
        <w:pStyle w:val="Compact"/>
        <w:numPr>
          <w:ilvl w:val="0"/>
          <w:numId w:val="45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 piloto com NPL &lt; 5%.</w:t>
      </w:r>
    </w:p>
    <w:p w14:paraId="370CAFAC" w14:textId="77777777" w:rsidR="00BA612E" w:rsidRPr="00585653" w:rsidRDefault="00000000">
      <w:pPr>
        <w:pStyle w:val="Heading3"/>
        <w:rPr>
          <w:lang w:val="pt-BR"/>
        </w:rPr>
      </w:pPr>
      <w:bookmarkStart w:id="52" w:name="X7b41ba2cba5079991eec4df29d65c48217b865f"/>
      <w:bookmarkEnd w:id="51"/>
      <w:r w:rsidRPr="00585653">
        <w:rPr>
          <w:lang w:val="pt-BR"/>
        </w:rPr>
        <w:lastRenderedPageBreak/>
        <w:t>Página 7.4: FLUXUS Yield — Renda Passiva para LPs</w:t>
      </w:r>
    </w:p>
    <w:p w14:paraId="7CBC3172" w14:textId="77777777" w:rsidR="00BA612E" w:rsidRPr="00585653" w:rsidRDefault="00000000">
      <w:pPr>
        <w:pStyle w:val="Compact"/>
        <w:numPr>
          <w:ilvl w:val="0"/>
          <w:numId w:val="46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Alocação automática de saldos ociosos em pools DeFi (Aave, Compound), (b) RWA (Real World Assets) autorizados, (c) Bônus em token de governança FLX, (d) Dashboard de yield.</w:t>
      </w:r>
    </w:p>
    <w:p w14:paraId="5AC1EC0E" w14:textId="77777777" w:rsidR="00BA612E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Tecnologias:</w:t>
      </w:r>
      <w:r>
        <w:t xml:space="preserve"> Aave/Compound + Chainlink + Token ERC-20 (FLX).</w:t>
      </w:r>
    </w:p>
    <w:p w14:paraId="5C89C8D9" w14:textId="77777777" w:rsidR="00BA612E" w:rsidRPr="00585653" w:rsidRDefault="00000000">
      <w:pPr>
        <w:pStyle w:val="Compact"/>
        <w:numPr>
          <w:ilvl w:val="0"/>
          <w:numId w:val="46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Especificação do token FLX, (b) Modelo de distribuição de yield, (c) Análise de risco de contraparte DeFi.</w:t>
      </w:r>
    </w:p>
    <w:p w14:paraId="2CEB1F06" w14:textId="77777777" w:rsidR="00BA612E" w:rsidRPr="00585653" w:rsidRDefault="00000000">
      <w:pPr>
        <w:pStyle w:val="Compact"/>
        <w:numPr>
          <w:ilvl w:val="0"/>
          <w:numId w:val="46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dos contratos de yield; stress test de liquidez DeFi.</w:t>
      </w:r>
    </w:p>
    <w:p w14:paraId="5311FC20" w14:textId="77777777" w:rsidR="00BA612E" w:rsidRDefault="00000000">
      <w:pPr>
        <w:pStyle w:val="Heading3"/>
      </w:pPr>
      <w:bookmarkStart w:id="53" w:name="X8b83d1b90bb70e178d57e44ef8c65801ab300cb"/>
      <w:bookmarkEnd w:id="52"/>
      <w:r>
        <w:t>Página 7.5: FLUXUS Merchant — Checkout Global para E-commerce</w:t>
      </w:r>
    </w:p>
    <w:p w14:paraId="74023462" w14:textId="77777777" w:rsidR="00BA612E" w:rsidRPr="00585653" w:rsidRDefault="00000000">
      <w:pPr>
        <w:pStyle w:val="Compact"/>
        <w:numPr>
          <w:ilvl w:val="0"/>
          <w:numId w:val="47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Plugin Shopify/WooCommerce, (b) Taxa total de 2,0% (vs 5-7% tradicional), (c) Liquidação em 24h (vs 30 dias), (d) Visibilidade total via Minihash.</w:t>
      </w:r>
    </w:p>
    <w:p w14:paraId="13A08EDD" w14:textId="77777777" w:rsidR="00BA612E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Tecnologias:</w:t>
      </w:r>
      <w:r>
        <w:t xml:space="preserve"> SDK JavaScript + APIs REST + Webhooks.</w:t>
      </w:r>
    </w:p>
    <w:p w14:paraId="1195601F" w14:textId="77777777" w:rsidR="00BA612E" w:rsidRPr="00585653" w:rsidRDefault="00000000">
      <w:pPr>
        <w:pStyle w:val="Compact"/>
        <w:numPr>
          <w:ilvl w:val="0"/>
          <w:numId w:val="47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SDK documentado, (b) Plugin publicado, (c) Case studies.</w:t>
      </w:r>
    </w:p>
    <w:p w14:paraId="2A9542B4" w14:textId="77777777" w:rsidR="00BA612E" w:rsidRPr="00585653" w:rsidRDefault="00000000">
      <w:pPr>
        <w:pStyle w:val="Compact"/>
        <w:numPr>
          <w:ilvl w:val="0"/>
          <w:numId w:val="47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Integração com 50 lojas piloto.</w:t>
      </w:r>
    </w:p>
    <w:p w14:paraId="3B2CCB22" w14:textId="77777777" w:rsidR="00BA612E" w:rsidRDefault="00000000">
      <w:r>
        <w:pict w14:anchorId="2E578D5F">
          <v:rect id="_x0000_i1036" style="width:0;height:1.5pt" o:hralign="center" o:hrstd="t" o:hr="t"/>
        </w:pict>
      </w:r>
    </w:p>
    <w:p w14:paraId="4079A5BA" w14:textId="77777777" w:rsidR="00BA612E" w:rsidRPr="00585653" w:rsidRDefault="00000000">
      <w:pPr>
        <w:pStyle w:val="Heading2"/>
        <w:rPr>
          <w:lang w:val="pt-BR"/>
        </w:rPr>
      </w:pPr>
      <w:bookmarkStart w:id="54" w:name="X5927b237f8b088fbd810ebb1144db08e3a926c8"/>
      <w:bookmarkEnd w:id="48"/>
      <w:bookmarkEnd w:id="53"/>
      <w:r w:rsidRPr="00585653">
        <w:rPr>
          <w:lang w:val="pt-BR"/>
        </w:rPr>
        <w:t>CAPÍTULO 8: MÉTRICAS, ANALYTICS E INTELIGÊNCIA DE NEGÓCIO</w:t>
      </w:r>
    </w:p>
    <w:p w14:paraId="15D7AA43" w14:textId="77777777" w:rsidR="00BA612E" w:rsidRPr="00585653" w:rsidRDefault="00000000">
      <w:pPr>
        <w:pStyle w:val="Heading3"/>
        <w:rPr>
          <w:lang w:val="pt-BR"/>
        </w:rPr>
      </w:pPr>
      <w:bookmarkStart w:id="55" w:name="X390b3fc108c59d8732a6f3d2ca579b22d813602"/>
      <w:r w:rsidRPr="00585653">
        <w:rPr>
          <w:lang w:val="pt-BR"/>
        </w:rPr>
        <w:t>Página 8.1: KPIs Operacionais e Dashboards Executivos</w:t>
      </w:r>
    </w:p>
    <w:p w14:paraId="0DAB9014" w14:textId="77777777" w:rsidR="00BA612E" w:rsidRPr="00585653" w:rsidRDefault="00000000">
      <w:pPr>
        <w:pStyle w:val="Compact"/>
        <w:numPr>
          <w:ilvl w:val="0"/>
          <w:numId w:val="48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GTV (Gross Transaction Value), (b) Take rate, (c) Net Revenue, (d) CAC, (e) LTV, (f) Churn, (g) NPS, (h) Tempo médio de settlement.</w:t>
      </w:r>
    </w:p>
    <w:p w14:paraId="09C30A8A" w14:textId="77777777" w:rsidR="00BA612E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Tecnologias:</w:t>
      </w:r>
      <w:r>
        <w:t xml:space="preserve"> Metabase / Looker / Tableau + PostgreSQL + Redshift/BigQuery.</w:t>
      </w:r>
    </w:p>
    <w:p w14:paraId="1A77F73F" w14:textId="77777777" w:rsidR="00BA612E" w:rsidRPr="00585653" w:rsidRDefault="00000000">
      <w:pPr>
        <w:pStyle w:val="Compact"/>
        <w:numPr>
          <w:ilvl w:val="0"/>
          <w:numId w:val="48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Dashboard executivo, (b) Dashboard operacional, (c) Alertas automáticos.</w:t>
      </w:r>
    </w:p>
    <w:p w14:paraId="0754FEB0" w14:textId="77777777" w:rsidR="00BA612E" w:rsidRPr="00585653" w:rsidRDefault="00000000">
      <w:pPr>
        <w:pStyle w:val="Compact"/>
        <w:numPr>
          <w:ilvl w:val="0"/>
          <w:numId w:val="48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mensal pelo board; metas trimestrais.</w:t>
      </w:r>
    </w:p>
    <w:p w14:paraId="62BB4E66" w14:textId="77777777" w:rsidR="00BA612E" w:rsidRPr="00585653" w:rsidRDefault="00000000">
      <w:pPr>
        <w:pStyle w:val="Heading3"/>
        <w:rPr>
          <w:lang w:val="pt-BR"/>
        </w:rPr>
      </w:pPr>
      <w:bookmarkStart w:id="56" w:name="X3172e0748d85102b46c5c3461949604a989d7eb"/>
      <w:bookmarkEnd w:id="55"/>
      <w:r w:rsidRPr="00585653">
        <w:rPr>
          <w:lang w:val="pt-BR"/>
        </w:rPr>
        <w:lastRenderedPageBreak/>
        <w:t>Página 8.2: Analytics de Liquidez e Predição de Demanda</w:t>
      </w:r>
    </w:p>
    <w:p w14:paraId="46BB7C31" w14:textId="77777777" w:rsidR="00BA612E" w:rsidRPr="00585653" w:rsidRDefault="00000000">
      <w:pPr>
        <w:pStyle w:val="Compact"/>
        <w:numPr>
          <w:ilvl w:val="0"/>
          <w:numId w:val="49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Heatmap de demanda por corredor/horário, (b) Predição de volume (ML), (c) Otimização de alocação de LPs, (d) Prevenção de escassez.</w:t>
      </w:r>
    </w:p>
    <w:p w14:paraId="2198352D" w14:textId="77777777" w:rsidR="00BA612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Tecnologias:</w:t>
      </w:r>
      <w:r>
        <w:t xml:space="preserve"> Python (scikit-learn, Prophet) + Redis + Grafana.</w:t>
      </w:r>
    </w:p>
    <w:p w14:paraId="673CBCDD" w14:textId="77777777" w:rsidR="00BA612E" w:rsidRPr="00585653" w:rsidRDefault="00000000">
      <w:pPr>
        <w:pStyle w:val="Compact"/>
        <w:numPr>
          <w:ilvl w:val="0"/>
          <w:numId w:val="49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Modelo preditivo, (b) Relatório de precisão, (c) Recomendações de alocação.</w:t>
      </w:r>
    </w:p>
    <w:p w14:paraId="202648FF" w14:textId="77777777" w:rsidR="00BA612E" w:rsidRPr="00585653" w:rsidRDefault="00000000">
      <w:pPr>
        <w:pStyle w:val="Compact"/>
        <w:numPr>
          <w:ilvl w:val="0"/>
          <w:numId w:val="49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Backtesting com 12 meses de dados; erro médio &lt; 10%.</w:t>
      </w:r>
    </w:p>
    <w:p w14:paraId="77CB28E3" w14:textId="77777777" w:rsidR="00BA612E" w:rsidRPr="00585653" w:rsidRDefault="00000000">
      <w:pPr>
        <w:pStyle w:val="Heading3"/>
        <w:rPr>
          <w:lang w:val="pt-BR"/>
        </w:rPr>
      </w:pPr>
      <w:bookmarkStart w:id="57" w:name="X7bad07a9b8512867e194c0965bacadb6502e58f"/>
      <w:bookmarkEnd w:id="56"/>
      <w:r w:rsidRPr="00585653">
        <w:rPr>
          <w:lang w:val="pt-BR"/>
        </w:rPr>
        <w:t>Página 8.3: Relatórios Institucionais e Due Diligence</w:t>
      </w:r>
    </w:p>
    <w:p w14:paraId="47EC8CE4" w14:textId="77777777" w:rsidR="00BA612E" w:rsidRPr="00585653" w:rsidRDefault="00000000">
      <w:pPr>
        <w:pStyle w:val="Compact"/>
        <w:numPr>
          <w:ilvl w:val="0"/>
          <w:numId w:val="50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Relatório mensal para investidores (Série A), (b) Relatório trimestral de compliance, (c) Relatório anual de sustentabilidade (ESG), (d) Data room virtual.</w:t>
      </w:r>
    </w:p>
    <w:p w14:paraId="58E5ED8E" w14:textId="77777777" w:rsidR="00BA612E" w:rsidRPr="00585653" w:rsidRDefault="00000000">
      <w:pPr>
        <w:pStyle w:val="Compact"/>
        <w:numPr>
          <w:ilvl w:val="0"/>
          <w:numId w:val="50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Notion / Intralinks + APIs de geração de relatórios.</w:t>
      </w:r>
    </w:p>
    <w:p w14:paraId="07D73B8D" w14:textId="77777777" w:rsidR="00BA612E" w:rsidRPr="00585653" w:rsidRDefault="00000000">
      <w:pPr>
        <w:pStyle w:val="Compact"/>
        <w:numPr>
          <w:ilvl w:val="0"/>
          <w:numId w:val="50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Templates de relatórios, (b) Data room atualizada, (c) Relatório de auditoria independente.</w:t>
      </w:r>
    </w:p>
    <w:p w14:paraId="67145754" w14:textId="77777777" w:rsidR="00BA612E" w:rsidRPr="00585653" w:rsidRDefault="00000000">
      <w:pPr>
        <w:pStyle w:val="Compact"/>
        <w:numPr>
          <w:ilvl w:val="0"/>
          <w:numId w:val="50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por advisory board; feedback de investidores.</w:t>
      </w:r>
    </w:p>
    <w:p w14:paraId="126719D2" w14:textId="77777777" w:rsidR="00BA612E" w:rsidRDefault="00000000">
      <w:r>
        <w:pict w14:anchorId="6FD72F0E">
          <v:rect id="_x0000_i1037" style="width:0;height:1.5pt" o:hralign="center" o:hrstd="t" o:hr="t"/>
        </w:pict>
      </w:r>
    </w:p>
    <w:p w14:paraId="18563AC6" w14:textId="77777777" w:rsidR="00BA612E" w:rsidRPr="00585653" w:rsidRDefault="00000000">
      <w:pPr>
        <w:pStyle w:val="Heading2"/>
        <w:rPr>
          <w:lang w:val="pt-BR"/>
        </w:rPr>
      </w:pPr>
      <w:bookmarkStart w:id="58" w:name="Xf1b1eaf2e60aae40b97a01568d34d5b8a26935e"/>
      <w:bookmarkEnd w:id="54"/>
      <w:bookmarkEnd w:id="57"/>
      <w:r w:rsidRPr="00585653">
        <w:rPr>
          <w:lang w:val="pt-BR"/>
        </w:rPr>
        <w:t>CAPÍTULO 9: SEGURANÇA CIBERNÉTICA E RESILIÊNCIA</w:t>
      </w:r>
    </w:p>
    <w:p w14:paraId="3F197B39" w14:textId="77777777" w:rsidR="00BA612E" w:rsidRPr="00585653" w:rsidRDefault="00000000">
      <w:pPr>
        <w:pStyle w:val="Heading3"/>
        <w:rPr>
          <w:lang w:val="pt-BR"/>
        </w:rPr>
      </w:pPr>
      <w:bookmarkStart w:id="59" w:name="página-9.1-segurança-de-aplicação-appsec"/>
      <w:r w:rsidRPr="00585653">
        <w:rPr>
          <w:lang w:val="pt-BR"/>
        </w:rPr>
        <w:t>Página 9.1: Segurança de Aplicação (AppSec)</w:t>
      </w:r>
    </w:p>
    <w:p w14:paraId="4F990383" w14:textId="77777777" w:rsidR="00BA612E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O que conter:</w:t>
      </w:r>
      <w:r>
        <w:t xml:space="preserve"> (a) OWASP Top 10 mitigação, (b) SAST/DAST, (c) Dependency scanning, (d) Secrets management.</w:t>
      </w:r>
    </w:p>
    <w:p w14:paraId="3C288F35" w14:textId="77777777" w:rsidR="00BA612E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Tecnologias:</w:t>
      </w:r>
      <w:r>
        <w:t xml:space="preserve"> SonarQube + Snyk + HashiCorp Vault + GitHub Advanced Security.</w:t>
      </w:r>
    </w:p>
    <w:p w14:paraId="7B0ABD31" w14:textId="77777777" w:rsidR="00BA612E" w:rsidRPr="00585653" w:rsidRDefault="00000000">
      <w:pPr>
        <w:pStyle w:val="Compact"/>
        <w:numPr>
          <w:ilvl w:val="0"/>
          <w:numId w:val="51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Relatório de vulnerabilidades, (b) SLA de remediação (&lt; 48h crítico), (c) Certificado de segurança.</w:t>
      </w:r>
    </w:p>
    <w:p w14:paraId="6608F1F1" w14:textId="77777777" w:rsidR="00BA612E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Validação:</w:t>
      </w:r>
      <w:r>
        <w:t xml:space="preserve"> Pentest trimestral; bug bounty program.</w:t>
      </w:r>
    </w:p>
    <w:p w14:paraId="00368F2F" w14:textId="77777777" w:rsidR="00BA612E" w:rsidRPr="00585653" w:rsidRDefault="00000000">
      <w:pPr>
        <w:pStyle w:val="Heading3"/>
        <w:rPr>
          <w:lang w:val="pt-BR"/>
        </w:rPr>
      </w:pPr>
      <w:bookmarkStart w:id="60" w:name="X5f467f9c650cd76c7637783e60b6213d666888f"/>
      <w:bookmarkEnd w:id="59"/>
      <w:r w:rsidRPr="00585653">
        <w:rPr>
          <w:lang w:val="pt-BR"/>
        </w:rPr>
        <w:t>Página 9.2: Segurança de Infraestrutura (InfraSec)</w:t>
      </w:r>
    </w:p>
    <w:p w14:paraId="481FAF60" w14:textId="77777777" w:rsidR="00BA612E" w:rsidRPr="00585653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WAF e DDoS protection, (b) Zero Trust Network, (c) Segmentação de rede, (d) SIEM.</w:t>
      </w:r>
    </w:p>
    <w:p w14:paraId="0297E3A7" w14:textId="77777777" w:rsidR="00BA612E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lastRenderedPageBreak/>
        <w:t>Tecnologias:</w:t>
      </w:r>
      <w:r>
        <w:t xml:space="preserve"> Cloudflare + AWS WAF + CrowdStrike + Splunk.</w:t>
      </w:r>
    </w:p>
    <w:p w14:paraId="18051D24" w14:textId="77777777" w:rsidR="00BA612E" w:rsidRPr="00585653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Arquitetura de segurança, (b) Playbook de incidentes, (c) Relatório de IOCs.</w:t>
      </w:r>
    </w:p>
    <w:p w14:paraId="173BACA6" w14:textId="77777777" w:rsidR="00BA612E" w:rsidRPr="00585653" w:rsidRDefault="00000000">
      <w:pPr>
        <w:pStyle w:val="Compact"/>
        <w:numPr>
          <w:ilvl w:val="0"/>
          <w:numId w:val="52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Auditoria de segurança anual; simulação de incidente (tabletop exercise).</w:t>
      </w:r>
    </w:p>
    <w:p w14:paraId="675B1A1E" w14:textId="77777777" w:rsidR="00BA612E" w:rsidRPr="00585653" w:rsidRDefault="00000000">
      <w:pPr>
        <w:pStyle w:val="Heading3"/>
        <w:rPr>
          <w:lang w:val="pt-BR"/>
        </w:rPr>
      </w:pPr>
      <w:bookmarkStart w:id="61" w:name="Xdecf1666a380f9a8e7f2e5b9259399d77feb100"/>
      <w:bookmarkEnd w:id="60"/>
      <w:r w:rsidRPr="00585653">
        <w:rPr>
          <w:lang w:val="pt-BR"/>
        </w:rPr>
        <w:t>Página 9.3: Resiliência e Continuidade de Negócios</w:t>
      </w:r>
    </w:p>
    <w:p w14:paraId="2D05EB7C" w14:textId="77777777" w:rsidR="00BA612E" w:rsidRPr="00585653" w:rsidRDefault="00000000">
      <w:pPr>
        <w:pStyle w:val="Compact"/>
        <w:numPr>
          <w:ilvl w:val="0"/>
          <w:numId w:val="53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BCP (Business Continuity Plan), (b) DRP (Disaster Recovery Plan), (c) Comunicação de crise, (d) Seguro cibernético.</w:t>
      </w:r>
    </w:p>
    <w:p w14:paraId="5727ADD1" w14:textId="77777777" w:rsidR="00BA612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Tecnologias:</w:t>
      </w:r>
      <w:r>
        <w:t xml:space="preserve"> PagerDuty + Statuspage + AWS multi-region.</w:t>
      </w:r>
    </w:p>
    <w:p w14:paraId="2844067D" w14:textId="77777777" w:rsidR="00BA612E" w:rsidRPr="00585653" w:rsidRDefault="00000000">
      <w:pPr>
        <w:pStyle w:val="Compact"/>
        <w:numPr>
          <w:ilvl w:val="0"/>
          <w:numId w:val="53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BCP/DRP documentados, (b) Teste semestral, (c) Apólice de seguro.</w:t>
      </w:r>
    </w:p>
    <w:p w14:paraId="54B9C1E6" w14:textId="77777777" w:rsidR="00BA612E" w:rsidRPr="00585653" w:rsidRDefault="00000000">
      <w:pPr>
        <w:pStyle w:val="Compact"/>
        <w:numPr>
          <w:ilvl w:val="0"/>
          <w:numId w:val="53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Teste de failover; RTO &lt; 5 min comprovado.</w:t>
      </w:r>
    </w:p>
    <w:p w14:paraId="7550823F" w14:textId="77777777" w:rsidR="00BA612E" w:rsidRDefault="00000000">
      <w:r>
        <w:pict w14:anchorId="2D35191C">
          <v:rect id="_x0000_i1038" style="width:0;height:1.5pt" o:hralign="center" o:hrstd="t" o:hr="t"/>
        </w:pict>
      </w:r>
    </w:p>
    <w:p w14:paraId="2CA1A818" w14:textId="77777777" w:rsidR="00BA612E" w:rsidRPr="00585653" w:rsidRDefault="00000000">
      <w:pPr>
        <w:pStyle w:val="Heading2"/>
        <w:rPr>
          <w:lang w:val="pt-BR"/>
        </w:rPr>
      </w:pPr>
      <w:bookmarkStart w:id="62" w:name="X69fd5a88097a12649f7c05816109b29fb7d9746"/>
      <w:bookmarkEnd w:id="58"/>
      <w:bookmarkEnd w:id="61"/>
      <w:r w:rsidRPr="00585653">
        <w:rPr>
          <w:lang w:val="pt-BR"/>
        </w:rPr>
        <w:t>CAPÍTULO 10: ROADMAP, GOVERNANCE E GO-TO-MARKET</w:t>
      </w:r>
    </w:p>
    <w:p w14:paraId="50BA6846" w14:textId="77777777" w:rsidR="00BA612E" w:rsidRPr="00585653" w:rsidRDefault="00000000">
      <w:pPr>
        <w:pStyle w:val="Heading3"/>
        <w:rPr>
          <w:lang w:val="pt-BR"/>
        </w:rPr>
      </w:pPr>
      <w:bookmarkStart w:id="63" w:name="X7f0326c611379d544dda6e175335aeae1c11873"/>
      <w:r w:rsidRPr="00585653">
        <w:rPr>
          <w:lang w:val="pt-BR"/>
        </w:rPr>
        <w:t>Página 10.1: Roadmap Técnico e de Produto (24 Meses)</w:t>
      </w:r>
    </w:p>
    <w:p w14:paraId="1A3F312E" w14:textId="77777777" w:rsidR="00BA612E" w:rsidRPr="00585653" w:rsidRDefault="00000000">
      <w:pPr>
        <w:pStyle w:val="Compact"/>
        <w:numPr>
          <w:ilvl w:val="0"/>
          <w:numId w:val="54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Fases 1-5 do matching engine, (b) Expansão de corredores, (c) Lançamento de novos braços de negócio, (d) Milestones de funding.</w:t>
      </w:r>
    </w:p>
    <w:p w14:paraId="054E6CD5" w14:textId="77777777" w:rsidR="00BA612E" w:rsidRPr="00585653" w:rsidRDefault="00000000">
      <w:pPr>
        <w:pStyle w:val="Compact"/>
        <w:numPr>
          <w:ilvl w:val="0"/>
          <w:numId w:val="54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Jira / Linear + OKR framework.</w:t>
      </w:r>
    </w:p>
    <w:p w14:paraId="2CB1E6EB" w14:textId="77777777" w:rsidR="00BA612E" w:rsidRPr="00585653" w:rsidRDefault="00000000">
      <w:pPr>
        <w:pStyle w:val="Compact"/>
        <w:numPr>
          <w:ilvl w:val="0"/>
          <w:numId w:val="54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Roadmap Gantt, (b) OKRs trimestrais, (c) Relatório de progresso.</w:t>
      </w:r>
    </w:p>
    <w:p w14:paraId="3FF4A069" w14:textId="77777777" w:rsidR="00BA612E" w:rsidRPr="00585653" w:rsidRDefault="00000000">
      <w:pPr>
        <w:pStyle w:val="Compact"/>
        <w:numPr>
          <w:ilvl w:val="0"/>
          <w:numId w:val="54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Revisão mensal de OKRs; ajustes ágeis.</w:t>
      </w:r>
    </w:p>
    <w:p w14:paraId="26BAAA39" w14:textId="77777777" w:rsidR="00BA612E" w:rsidRPr="00585653" w:rsidRDefault="00000000">
      <w:pPr>
        <w:pStyle w:val="Heading3"/>
        <w:rPr>
          <w:lang w:val="pt-BR"/>
        </w:rPr>
      </w:pPr>
      <w:bookmarkStart w:id="64" w:name="X1205069066389786cb28a0203aa42353495cbf3"/>
      <w:bookmarkEnd w:id="63"/>
      <w:r w:rsidRPr="00585653">
        <w:rPr>
          <w:lang w:val="pt-BR"/>
        </w:rPr>
        <w:t>Página 10.2: Estratégia de Go-to-Market por Região</w:t>
      </w:r>
    </w:p>
    <w:p w14:paraId="62210A85" w14:textId="77777777" w:rsidR="00BA612E" w:rsidRPr="00585653" w:rsidRDefault="00000000">
      <w:pPr>
        <w:pStyle w:val="Compact"/>
        <w:numPr>
          <w:ilvl w:val="0"/>
          <w:numId w:val="55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Priorização de mercados (TAM/SAM/SOM), (b) Estratégia de aquisição (B2B2C, parcerias, growth hacking), (c) Localização de produto, (d) Estratégia de marca.</w:t>
      </w:r>
    </w:p>
    <w:p w14:paraId="289D8AE7" w14:textId="77777777" w:rsidR="00BA612E" w:rsidRPr="00585653" w:rsidRDefault="00000000">
      <w:pPr>
        <w:pStyle w:val="Compact"/>
        <w:numPr>
          <w:ilvl w:val="0"/>
          <w:numId w:val="55"/>
        </w:numPr>
        <w:rPr>
          <w:lang w:val="pt-BR"/>
        </w:rPr>
      </w:pPr>
      <w:r w:rsidRPr="00585653">
        <w:rPr>
          <w:b/>
          <w:bCs/>
          <w:lang w:val="pt-BR"/>
        </w:rPr>
        <w:t>Tecnologias:</w:t>
      </w:r>
      <w:r w:rsidRPr="00585653">
        <w:rPr>
          <w:lang w:val="pt-BR"/>
        </w:rPr>
        <w:t xml:space="preserve"> Mixpanel / Amplitude + Braze (CRM) + Figma.</w:t>
      </w:r>
    </w:p>
    <w:p w14:paraId="3EE679B0" w14:textId="77777777" w:rsidR="00BA612E" w:rsidRPr="00585653" w:rsidRDefault="00000000">
      <w:pPr>
        <w:pStyle w:val="Compact"/>
        <w:numPr>
          <w:ilvl w:val="0"/>
          <w:numId w:val="55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Plano de GTM, (b) Budget de marketing, (c) Pipeline de parcerias.</w:t>
      </w:r>
    </w:p>
    <w:p w14:paraId="2AD73080" w14:textId="77777777" w:rsidR="00BA612E" w:rsidRPr="00585653" w:rsidRDefault="00000000">
      <w:pPr>
        <w:pStyle w:val="Compact"/>
        <w:numPr>
          <w:ilvl w:val="0"/>
          <w:numId w:val="55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Validação:</w:t>
      </w:r>
      <w:r w:rsidRPr="00585653">
        <w:rPr>
          <w:lang w:val="pt-BR"/>
        </w:rPr>
        <w:t xml:space="preserve"> CAC por canal; payback period &lt; 12 meses.</w:t>
      </w:r>
    </w:p>
    <w:p w14:paraId="1C6C76FE" w14:textId="77777777" w:rsidR="00BA612E" w:rsidRDefault="00000000">
      <w:pPr>
        <w:pStyle w:val="Heading3"/>
      </w:pPr>
      <w:bookmarkStart w:id="65" w:name="X00bdcd77c6e10b1c46aad6c532bf795daee2f8c"/>
      <w:bookmarkEnd w:id="64"/>
      <w:r>
        <w:t>Página 10.3: Governança Corporativa e Conselho</w:t>
      </w:r>
    </w:p>
    <w:p w14:paraId="081DB59C" w14:textId="77777777" w:rsidR="00BA612E" w:rsidRPr="00585653" w:rsidRDefault="00000000">
      <w:pPr>
        <w:pStyle w:val="Compact"/>
        <w:numPr>
          <w:ilvl w:val="0"/>
          <w:numId w:val="56"/>
        </w:numPr>
        <w:rPr>
          <w:lang w:val="pt-BR"/>
        </w:rPr>
      </w:pPr>
      <w:r w:rsidRPr="00585653">
        <w:rPr>
          <w:b/>
          <w:bCs/>
          <w:lang w:val="pt-BR"/>
        </w:rPr>
        <w:t>O que conter:</w:t>
      </w:r>
      <w:r w:rsidRPr="00585653">
        <w:rPr>
          <w:lang w:val="pt-BR"/>
        </w:rPr>
        <w:t xml:space="preserve"> (a) Estrutura do board (fundadores + independentes + investidores), (b) Comitês técnicos (CTO, CISO, CRO), (c) Política de conflito de interesses, (d) Remuneração executiva.</w:t>
      </w:r>
    </w:p>
    <w:p w14:paraId="76CCD226" w14:textId="77777777" w:rsidR="00BA612E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Tecnologias:</w:t>
      </w:r>
      <w:r>
        <w:t xml:space="preserve"> N/A (governança).</w:t>
      </w:r>
    </w:p>
    <w:p w14:paraId="2AA6E9A7" w14:textId="77777777" w:rsidR="00BA612E" w:rsidRPr="00585653" w:rsidRDefault="00000000">
      <w:pPr>
        <w:pStyle w:val="Compact"/>
        <w:numPr>
          <w:ilvl w:val="0"/>
          <w:numId w:val="56"/>
        </w:numPr>
        <w:rPr>
          <w:lang w:val="pt-BR"/>
        </w:rPr>
      </w:pPr>
      <w:r w:rsidRPr="00585653">
        <w:rPr>
          <w:b/>
          <w:bCs/>
          <w:lang w:val="pt-BR"/>
        </w:rPr>
        <w:t>Artefatos:</w:t>
      </w:r>
      <w:r w:rsidRPr="00585653">
        <w:rPr>
          <w:lang w:val="pt-BR"/>
        </w:rPr>
        <w:t xml:space="preserve"> (a) Regimento interno, (b) Carta de princípios, (c) Relatório de governança anual.</w:t>
      </w:r>
    </w:p>
    <w:p w14:paraId="605E6A3B" w14:textId="77777777" w:rsidR="00BA612E" w:rsidRPr="00585653" w:rsidRDefault="00000000">
      <w:pPr>
        <w:pStyle w:val="Compact"/>
        <w:numPr>
          <w:ilvl w:val="0"/>
          <w:numId w:val="56"/>
        </w:numPr>
        <w:rPr>
          <w:lang w:val="pt-BR"/>
        </w:rPr>
      </w:pPr>
      <w:r w:rsidRPr="00585653">
        <w:rPr>
          <w:b/>
          <w:bCs/>
          <w:lang w:val="pt-BR"/>
        </w:rPr>
        <w:t>Validação:</w:t>
      </w:r>
      <w:r w:rsidRPr="00585653">
        <w:rPr>
          <w:lang w:val="pt-BR"/>
        </w:rPr>
        <w:t xml:space="preserve"> Avaliação 360° do board; benchmark de governança (Startup Governance).</w:t>
      </w:r>
    </w:p>
    <w:p w14:paraId="211E4CFA" w14:textId="77777777" w:rsidR="00BA612E" w:rsidRDefault="00000000">
      <w:r>
        <w:pict w14:anchorId="691105BC">
          <v:rect id="_x0000_i1039" style="width:0;height:1.5pt" o:hralign="center" o:hrstd="t" o:hr="t"/>
        </w:pict>
      </w:r>
    </w:p>
    <w:p w14:paraId="227BC9BF" w14:textId="77777777" w:rsidR="00BA612E" w:rsidRPr="00585653" w:rsidRDefault="00000000">
      <w:pPr>
        <w:pStyle w:val="Heading1"/>
        <w:rPr>
          <w:lang w:val="pt-BR"/>
        </w:rPr>
      </w:pPr>
      <w:bookmarkStart w:id="66" w:name="parte-v-matriz-de-cobertura-técnica"/>
      <w:bookmarkEnd w:id="12"/>
      <w:bookmarkEnd w:id="62"/>
      <w:bookmarkEnd w:id="65"/>
      <w:r w:rsidRPr="00585653">
        <w:rPr>
          <w:lang w:val="pt-BR"/>
        </w:rPr>
        <w:t>PARTE V: MATRIZ DE COBERTURA TÉCNICA</w:t>
      </w:r>
    </w:p>
    <w:p w14:paraId="01F75D56" w14:textId="77777777" w:rsidR="00BA612E" w:rsidRPr="00585653" w:rsidRDefault="00000000">
      <w:pPr>
        <w:pStyle w:val="Heading2"/>
        <w:rPr>
          <w:lang w:val="pt-BR"/>
        </w:rPr>
      </w:pPr>
      <w:bookmarkStart w:id="67" w:name="Xa2895467d21435e23aa0a4511e542eeb886c1a2"/>
      <w:r w:rsidRPr="00585653">
        <w:rPr>
          <w:lang w:val="pt-BR"/>
        </w:rPr>
        <w:t>5.1 O que ESTÁ presente na base técnica atual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165"/>
        <w:gridCol w:w="4920"/>
      </w:tblGrid>
      <w:tr w:rsidR="00BA612E" w14:paraId="490C7B58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9C46185" w14:textId="77777777" w:rsidR="00BA612E" w:rsidRDefault="00000000">
            <w:pPr>
              <w:pStyle w:val="Compact"/>
            </w:pPr>
            <w:r>
              <w:t>Domínio</w:t>
            </w:r>
          </w:p>
        </w:tc>
        <w:tc>
          <w:tcPr>
            <w:tcW w:w="1936" w:type="dxa"/>
          </w:tcPr>
          <w:p w14:paraId="4DDDE46A" w14:textId="77777777" w:rsidR="00BA612E" w:rsidRDefault="00000000">
            <w:pPr>
              <w:pStyle w:val="Compact"/>
            </w:pPr>
            <w:r>
              <w:t>Cobertura</w:t>
            </w:r>
          </w:p>
        </w:tc>
        <w:tc>
          <w:tcPr>
            <w:tcW w:w="4400" w:type="dxa"/>
          </w:tcPr>
          <w:p w14:paraId="549090B6" w14:textId="77777777" w:rsidR="00BA612E" w:rsidRDefault="00000000">
            <w:pPr>
              <w:pStyle w:val="Compact"/>
            </w:pPr>
            <w:r>
              <w:t>Documentos de Referência</w:t>
            </w:r>
          </w:p>
        </w:tc>
      </w:tr>
      <w:tr w:rsidR="00BA612E" w14:paraId="252A08AD" w14:textId="77777777">
        <w:tc>
          <w:tcPr>
            <w:tcW w:w="1584" w:type="dxa"/>
          </w:tcPr>
          <w:p w14:paraId="7EE4C804" w14:textId="77777777" w:rsidR="00BA612E" w:rsidRDefault="00000000">
            <w:pPr>
              <w:pStyle w:val="Compact"/>
            </w:pPr>
            <w:r>
              <w:t>Onboarding e UX</w:t>
            </w:r>
          </w:p>
        </w:tc>
        <w:tc>
          <w:tcPr>
            <w:tcW w:w="1936" w:type="dxa"/>
          </w:tcPr>
          <w:p w14:paraId="29DA349F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33217248" w14:textId="77777777" w:rsidR="00BA612E" w:rsidRDefault="00000000">
            <w:pPr>
              <w:pStyle w:val="Compact"/>
            </w:pPr>
            <w:r>
              <w:t>TECH_FLUXUS_BLUEPRINT.md</w:t>
            </w:r>
          </w:p>
        </w:tc>
      </w:tr>
      <w:tr w:rsidR="00BA612E" w14:paraId="340F99AF" w14:textId="77777777">
        <w:tc>
          <w:tcPr>
            <w:tcW w:w="1584" w:type="dxa"/>
          </w:tcPr>
          <w:p w14:paraId="589BAA7D" w14:textId="77777777" w:rsidR="00BA612E" w:rsidRDefault="00000000">
            <w:pPr>
              <w:pStyle w:val="Compact"/>
            </w:pPr>
            <w:r>
              <w:t>Matching Engine</w:t>
            </w:r>
          </w:p>
        </w:tc>
        <w:tc>
          <w:tcPr>
            <w:tcW w:w="1936" w:type="dxa"/>
          </w:tcPr>
          <w:p w14:paraId="66E86ED9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7DF17B2E" w14:textId="77777777" w:rsidR="00BA612E" w:rsidRDefault="00000000">
            <w:pPr>
              <w:pStyle w:val="Compact"/>
            </w:pPr>
            <w:r>
              <w:t>TECH_MATCHING_ENGINE_PROTOCOL.md</w:t>
            </w:r>
          </w:p>
        </w:tc>
      </w:tr>
      <w:tr w:rsidR="00BA612E" w14:paraId="462FFE26" w14:textId="77777777">
        <w:tc>
          <w:tcPr>
            <w:tcW w:w="1584" w:type="dxa"/>
          </w:tcPr>
          <w:p w14:paraId="55879FB8" w14:textId="77777777" w:rsidR="00BA612E" w:rsidRDefault="00000000">
            <w:pPr>
              <w:pStyle w:val="Compact"/>
            </w:pPr>
            <w:r>
              <w:t>Smart Contracts / Escrow</w:t>
            </w:r>
          </w:p>
        </w:tc>
        <w:tc>
          <w:tcPr>
            <w:tcW w:w="1936" w:type="dxa"/>
          </w:tcPr>
          <w:p w14:paraId="4F074B2E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65DC0EC8" w14:textId="77777777" w:rsidR="00BA612E" w:rsidRDefault="00000000">
            <w:pPr>
              <w:pStyle w:val="Compact"/>
            </w:pPr>
            <w:r>
              <w:t>TECH_MATCHING_ENGINE_PROTOCOL.md</w:t>
            </w:r>
          </w:p>
        </w:tc>
      </w:tr>
      <w:tr w:rsidR="00BA612E" w14:paraId="66EF5905" w14:textId="77777777">
        <w:tc>
          <w:tcPr>
            <w:tcW w:w="1584" w:type="dxa"/>
          </w:tcPr>
          <w:p w14:paraId="3A35DC6F" w14:textId="77777777" w:rsidR="00BA612E" w:rsidRDefault="00000000">
            <w:pPr>
              <w:pStyle w:val="Compact"/>
            </w:pPr>
            <w:r>
              <w:t>State Machine / Reversão</w:t>
            </w:r>
          </w:p>
        </w:tc>
        <w:tc>
          <w:tcPr>
            <w:tcW w:w="1936" w:type="dxa"/>
          </w:tcPr>
          <w:p w14:paraId="3F5665FE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709388AD" w14:textId="77777777" w:rsidR="00BA612E" w:rsidRDefault="00000000">
            <w:pPr>
              <w:pStyle w:val="Compact"/>
            </w:pPr>
            <w:r>
              <w:t>TECH_STATE_MACHINE_REVERSAL.md</w:t>
            </w:r>
          </w:p>
        </w:tc>
      </w:tr>
      <w:tr w:rsidR="00BA612E" w14:paraId="345D8FDE" w14:textId="77777777">
        <w:tc>
          <w:tcPr>
            <w:tcW w:w="1584" w:type="dxa"/>
          </w:tcPr>
          <w:p w14:paraId="0736FE8B" w14:textId="77777777" w:rsidR="00BA612E" w:rsidRDefault="00000000">
            <w:pPr>
              <w:pStyle w:val="Compact"/>
            </w:pPr>
            <w:r>
              <w:t>Precificação Tiered</w:t>
            </w:r>
          </w:p>
        </w:tc>
        <w:tc>
          <w:tcPr>
            <w:tcW w:w="1936" w:type="dxa"/>
          </w:tcPr>
          <w:p w14:paraId="63CFD949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37CFA79A" w14:textId="77777777" w:rsidR="00BA612E" w:rsidRDefault="00000000">
            <w:pPr>
              <w:pStyle w:val="Compact"/>
            </w:pPr>
            <w:r>
              <w:t>TECH_FLUXUS_PRICING_CANON.md</w:t>
            </w:r>
          </w:p>
        </w:tc>
      </w:tr>
      <w:tr w:rsidR="00BA612E" w14:paraId="4A12CCE2" w14:textId="77777777">
        <w:tc>
          <w:tcPr>
            <w:tcW w:w="1584" w:type="dxa"/>
          </w:tcPr>
          <w:p w14:paraId="04651816" w14:textId="77777777" w:rsidR="00BA612E" w:rsidRDefault="00000000">
            <w:pPr>
              <w:pStyle w:val="Compact"/>
            </w:pPr>
            <w:r>
              <w:t>Liquidação PIX/Global</w:t>
            </w:r>
          </w:p>
        </w:tc>
        <w:tc>
          <w:tcPr>
            <w:tcW w:w="1936" w:type="dxa"/>
          </w:tcPr>
          <w:p w14:paraId="3559AEB4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4C8FF765" w14:textId="77777777" w:rsidR="00BA612E" w:rsidRDefault="00000000">
            <w:pPr>
              <w:pStyle w:val="Compact"/>
            </w:pPr>
            <w:r>
              <w:t>TECH_GLOBAL_PIX_ARCHITECTURE.md</w:t>
            </w:r>
          </w:p>
        </w:tc>
      </w:tr>
      <w:tr w:rsidR="00BA612E" w14:paraId="7783A0E4" w14:textId="77777777">
        <w:tc>
          <w:tcPr>
            <w:tcW w:w="1584" w:type="dxa"/>
          </w:tcPr>
          <w:p w14:paraId="4E4AE938" w14:textId="77777777" w:rsidR="00BA612E" w:rsidRDefault="00000000">
            <w:pPr>
              <w:pStyle w:val="Compact"/>
            </w:pPr>
            <w:r>
              <w:t xml:space="preserve">Barreiras de </w:t>
            </w:r>
            <w:r>
              <w:lastRenderedPageBreak/>
              <w:t>Liquidação</w:t>
            </w:r>
          </w:p>
        </w:tc>
        <w:tc>
          <w:tcPr>
            <w:tcW w:w="1936" w:type="dxa"/>
          </w:tcPr>
          <w:p w14:paraId="2AE1F17F" w14:textId="77777777" w:rsidR="00BA612E" w:rsidRDefault="00000000">
            <w:pPr>
              <w:pStyle w:val="Compact"/>
            </w:pPr>
            <w:r>
              <w:lastRenderedPageBreak/>
              <w:t>✅ Completo</w:t>
            </w:r>
          </w:p>
        </w:tc>
        <w:tc>
          <w:tcPr>
            <w:tcW w:w="4400" w:type="dxa"/>
          </w:tcPr>
          <w:p w14:paraId="38FA5B0C" w14:textId="77777777" w:rsidR="00BA612E" w:rsidRDefault="00000000">
            <w:pPr>
              <w:pStyle w:val="Compact"/>
            </w:pPr>
            <w:r>
              <w:t>TECH_LIQUIDATION_BARRIERS.md</w:t>
            </w:r>
          </w:p>
        </w:tc>
      </w:tr>
      <w:tr w:rsidR="00BA612E" w14:paraId="22A52F3B" w14:textId="77777777">
        <w:tc>
          <w:tcPr>
            <w:tcW w:w="1584" w:type="dxa"/>
          </w:tcPr>
          <w:p w14:paraId="0FC03A40" w14:textId="77777777" w:rsidR="00BA612E" w:rsidRDefault="00000000">
            <w:pPr>
              <w:pStyle w:val="Compact"/>
            </w:pPr>
            <w:r>
              <w:t>QR Code / Trigger</w:t>
            </w:r>
          </w:p>
        </w:tc>
        <w:tc>
          <w:tcPr>
            <w:tcW w:w="1936" w:type="dxa"/>
          </w:tcPr>
          <w:p w14:paraId="5C87609F" w14:textId="77777777" w:rsidR="00BA612E" w:rsidRDefault="00000000">
            <w:pPr>
              <w:pStyle w:val="Compact"/>
            </w:pPr>
            <w:r>
              <w:t>✅ Completo</w:t>
            </w:r>
          </w:p>
        </w:tc>
        <w:tc>
          <w:tcPr>
            <w:tcW w:w="4400" w:type="dxa"/>
          </w:tcPr>
          <w:p w14:paraId="50929684" w14:textId="77777777" w:rsidR="00BA612E" w:rsidRDefault="00000000">
            <w:pPr>
              <w:pStyle w:val="Compact"/>
            </w:pPr>
            <w:r>
              <w:t>TECH_QR_CODE_SPEC.md</w:t>
            </w:r>
          </w:p>
        </w:tc>
      </w:tr>
      <w:tr w:rsidR="00BA612E" w14:paraId="153B3E72" w14:textId="77777777">
        <w:tc>
          <w:tcPr>
            <w:tcW w:w="1584" w:type="dxa"/>
          </w:tcPr>
          <w:p w14:paraId="3611A5C7" w14:textId="77777777" w:rsidR="00BA612E" w:rsidRDefault="00000000">
            <w:pPr>
              <w:pStyle w:val="Compact"/>
            </w:pPr>
            <w:r>
              <w:t>API / Login / Tokenização</w:t>
            </w:r>
          </w:p>
        </w:tc>
        <w:tc>
          <w:tcPr>
            <w:tcW w:w="1936" w:type="dxa"/>
          </w:tcPr>
          <w:p w14:paraId="5E1197BC" w14:textId="77777777" w:rsidR="00BA612E" w:rsidRDefault="00000000">
            <w:pPr>
              <w:pStyle w:val="Compact"/>
            </w:pPr>
            <w:r>
              <w:t>✅ Parcial</w:t>
            </w:r>
          </w:p>
        </w:tc>
        <w:tc>
          <w:tcPr>
            <w:tcW w:w="4400" w:type="dxa"/>
          </w:tcPr>
          <w:p w14:paraId="63F6FC55" w14:textId="77777777" w:rsidR="00BA612E" w:rsidRDefault="00000000">
            <w:pPr>
              <w:pStyle w:val="Compact"/>
            </w:pPr>
            <w:r>
              <w:t>TECH_API_LOGIN_TOKENIZATION.md</w:t>
            </w:r>
          </w:p>
        </w:tc>
      </w:tr>
      <w:tr w:rsidR="00BA612E" w14:paraId="480AF572" w14:textId="77777777">
        <w:tc>
          <w:tcPr>
            <w:tcW w:w="1584" w:type="dxa"/>
          </w:tcPr>
          <w:p w14:paraId="1CD74EAB" w14:textId="77777777" w:rsidR="00BA612E" w:rsidRDefault="00000000">
            <w:pPr>
              <w:pStyle w:val="Compact"/>
            </w:pPr>
            <w:r>
              <w:t>Custódia (Fireblocks)</w:t>
            </w:r>
          </w:p>
        </w:tc>
        <w:tc>
          <w:tcPr>
            <w:tcW w:w="1936" w:type="dxa"/>
          </w:tcPr>
          <w:p w14:paraId="0AF1B2E4" w14:textId="77777777" w:rsidR="00BA612E" w:rsidRDefault="00000000">
            <w:pPr>
              <w:pStyle w:val="Compact"/>
            </w:pPr>
            <w:r>
              <w:t>✅ Parcial</w:t>
            </w:r>
          </w:p>
        </w:tc>
        <w:tc>
          <w:tcPr>
            <w:tcW w:w="4400" w:type="dxa"/>
          </w:tcPr>
          <w:p w14:paraId="75689437" w14:textId="77777777" w:rsidR="00BA612E" w:rsidRDefault="00000000">
            <w:pPr>
              <w:pStyle w:val="Compact"/>
            </w:pPr>
            <w:r>
              <w:t>TECH_FLUXUS_BLUEPRINT.md</w:t>
            </w:r>
          </w:p>
        </w:tc>
      </w:tr>
      <w:tr w:rsidR="00BA612E" w14:paraId="410F4B8B" w14:textId="77777777">
        <w:tc>
          <w:tcPr>
            <w:tcW w:w="1584" w:type="dxa"/>
          </w:tcPr>
          <w:p w14:paraId="6776ECCE" w14:textId="77777777" w:rsidR="00BA612E" w:rsidRDefault="00000000">
            <w:pPr>
              <w:pStyle w:val="Compact"/>
            </w:pPr>
            <w:r>
              <w:t>Blueprint Operacional 360</w:t>
            </w:r>
          </w:p>
        </w:tc>
        <w:tc>
          <w:tcPr>
            <w:tcW w:w="1936" w:type="dxa"/>
          </w:tcPr>
          <w:p w14:paraId="5867853C" w14:textId="77777777" w:rsidR="00BA612E" w:rsidRDefault="00000000">
            <w:pPr>
              <w:pStyle w:val="Compact"/>
            </w:pPr>
            <w:r>
              <w:t>✅ Parcial</w:t>
            </w:r>
          </w:p>
        </w:tc>
        <w:tc>
          <w:tcPr>
            <w:tcW w:w="4400" w:type="dxa"/>
          </w:tcPr>
          <w:p w14:paraId="166F25F1" w14:textId="77777777" w:rsidR="00BA612E" w:rsidRDefault="00000000">
            <w:pPr>
              <w:pStyle w:val="Compact"/>
            </w:pPr>
            <w:r>
              <w:t>TECH_360_OPERATIONAL_SETUPS.md</w:t>
            </w:r>
          </w:p>
        </w:tc>
      </w:tr>
      <w:tr w:rsidR="00BA612E" w14:paraId="1784F648" w14:textId="77777777">
        <w:tc>
          <w:tcPr>
            <w:tcW w:w="1584" w:type="dxa"/>
          </w:tcPr>
          <w:p w14:paraId="02D1E7CB" w14:textId="77777777" w:rsidR="00BA612E" w:rsidRDefault="00000000">
            <w:pPr>
              <w:pStyle w:val="Compact"/>
            </w:pPr>
            <w:r>
              <w:t>VASP Bridge / Cartões</w:t>
            </w:r>
          </w:p>
        </w:tc>
        <w:tc>
          <w:tcPr>
            <w:tcW w:w="1936" w:type="dxa"/>
          </w:tcPr>
          <w:p w14:paraId="49B6177C" w14:textId="77777777" w:rsidR="00BA612E" w:rsidRDefault="00000000">
            <w:pPr>
              <w:pStyle w:val="Compact"/>
            </w:pPr>
            <w:r>
              <w:t>✅ Parcial</w:t>
            </w:r>
          </w:p>
        </w:tc>
        <w:tc>
          <w:tcPr>
            <w:tcW w:w="4400" w:type="dxa"/>
          </w:tcPr>
          <w:p w14:paraId="69AFC77D" w14:textId="77777777" w:rsidR="00BA612E" w:rsidRDefault="00000000">
            <w:pPr>
              <w:pStyle w:val="Compact"/>
            </w:pPr>
            <w:r>
              <w:t>TECH_VASP_RELOAD_BRIDGE.md</w:t>
            </w:r>
          </w:p>
        </w:tc>
      </w:tr>
    </w:tbl>
    <w:p w14:paraId="62E8E2E6" w14:textId="77777777" w:rsidR="00BA612E" w:rsidRPr="00585653" w:rsidRDefault="00000000">
      <w:pPr>
        <w:pStyle w:val="Heading2"/>
        <w:rPr>
          <w:lang w:val="pt-BR"/>
        </w:rPr>
      </w:pPr>
      <w:bookmarkStart w:id="68" w:name="X8398cf66c8994d204ed31274551311684f29122"/>
      <w:bookmarkEnd w:id="67"/>
      <w:r w:rsidRPr="00585653">
        <w:rPr>
          <w:lang w:val="pt-BR"/>
        </w:rPr>
        <w:t>5.2 O que NÃO ESTÁ presente e foi criado nesta expansão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6"/>
        <w:gridCol w:w="1493"/>
        <w:gridCol w:w="1310"/>
      </w:tblGrid>
      <w:tr w:rsidR="00BA612E" w14:paraId="08FF66C0" w14:textId="77777777" w:rsidTr="00BA6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557AFB" w14:textId="77777777" w:rsidR="00BA612E" w:rsidRDefault="00000000">
            <w:pPr>
              <w:pStyle w:val="Compact"/>
            </w:pPr>
            <w:r>
              <w:t>Domínio</w:t>
            </w:r>
          </w:p>
        </w:tc>
        <w:tc>
          <w:tcPr>
            <w:tcW w:w="0" w:type="auto"/>
          </w:tcPr>
          <w:p w14:paraId="395BB877" w14:textId="77777777" w:rsidR="00BA612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EC07970" w14:textId="77777777" w:rsidR="00BA612E" w:rsidRDefault="00000000">
            <w:pPr>
              <w:pStyle w:val="Compact"/>
            </w:pPr>
            <w:r>
              <w:t>Prioridade</w:t>
            </w:r>
          </w:p>
        </w:tc>
      </w:tr>
      <w:tr w:rsidR="00BA612E" w14:paraId="5052A7B2" w14:textId="77777777">
        <w:tc>
          <w:tcPr>
            <w:tcW w:w="0" w:type="auto"/>
          </w:tcPr>
          <w:p w14:paraId="49159BE8" w14:textId="77777777" w:rsidR="00BA612E" w:rsidRDefault="00000000">
            <w:pPr>
              <w:pStyle w:val="Compact"/>
            </w:pPr>
            <w:r>
              <w:t>Framework AML/KYC Transnacional</w:t>
            </w:r>
          </w:p>
        </w:tc>
        <w:tc>
          <w:tcPr>
            <w:tcW w:w="0" w:type="auto"/>
          </w:tcPr>
          <w:p w14:paraId="5D0AEA0C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06C1B53D" w14:textId="77777777" w:rsidR="00BA612E" w:rsidRDefault="00000000">
            <w:pPr>
              <w:pStyle w:val="Compact"/>
            </w:pPr>
            <w:r>
              <w:t>🔴 Crítico</w:t>
            </w:r>
          </w:p>
        </w:tc>
      </w:tr>
      <w:tr w:rsidR="00BA612E" w14:paraId="515599F0" w14:textId="77777777">
        <w:tc>
          <w:tcPr>
            <w:tcW w:w="0" w:type="auto"/>
          </w:tcPr>
          <w:p w14:paraId="0DF83CE5" w14:textId="77777777" w:rsidR="00BA612E" w:rsidRDefault="00000000">
            <w:pPr>
              <w:pStyle w:val="Compact"/>
            </w:pPr>
            <w:r>
              <w:t>Travel Rule (FATF R.16)</w:t>
            </w:r>
          </w:p>
        </w:tc>
        <w:tc>
          <w:tcPr>
            <w:tcW w:w="0" w:type="auto"/>
          </w:tcPr>
          <w:p w14:paraId="0744DFE2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784D8789" w14:textId="77777777" w:rsidR="00BA612E" w:rsidRDefault="00000000">
            <w:pPr>
              <w:pStyle w:val="Compact"/>
            </w:pPr>
            <w:r>
              <w:t>🔴 Crítico</w:t>
            </w:r>
          </w:p>
        </w:tc>
      </w:tr>
      <w:tr w:rsidR="00BA612E" w14:paraId="1161B861" w14:textId="77777777">
        <w:tc>
          <w:tcPr>
            <w:tcW w:w="0" w:type="auto"/>
          </w:tcPr>
          <w:p w14:paraId="5BFF801A" w14:textId="77777777" w:rsidR="00BA612E" w:rsidRPr="00585653" w:rsidRDefault="00000000">
            <w:pPr>
              <w:pStyle w:val="Compact"/>
              <w:rPr>
                <w:lang w:val="pt-BR"/>
              </w:rPr>
            </w:pPr>
            <w:r w:rsidRPr="00585653">
              <w:rPr>
                <w:lang w:val="pt-BR"/>
              </w:rPr>
              <w:t>Proteção de Dados (LGPD/GDPR)</w:t>
            </w:r>
          </w:p>
        </w:tc>
        <w:tc>
          <w:tcPr>
            <w:tcW w:w="0" w:type="auto"/>
          </w:tcPr>
          <w:p w14:paraId="73E23F35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499FC552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68D27D75" w14:textId="77777777">
        <w:tc>
          <w:tcPr>
            <w:tcW w:w="0" w:type="auto"/>
          </w:tcPr>
          <w:p w14:paraId="6CEB0FB1" w14:textId="77777777" w:rsidR="00BA612E" w:rsidRDefault="00000000">
            <w:pPr>
              <w:pStyle w:val="Compact"/>
            </w:pPr>
            <w:r>
              <w:t>Mapa de Licenciamento Global</w:t>
            </w:r>
          </w:p>
        </w:tc>
        <w:tc>
          <w:tcPr>
            <w:tcW w:w="0" w:type="auto"/>
          </w:tcPr>
          <w:p w14:paraId="10C5EAD2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13CE34F6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22695A8E" w14:textId="77777777">
        <w:tc>
          <w:tcPr>
            <w:tcW w:w="0" w:type="auto"/>
          </w:tcPr>
          <w:p w14:paraId="6E23E544" w14:textId="77777777" w:rsidR="00BA612E" w:rsidRDefault="00000000">
            <w:pPr>
              <w:pStyle w:val="Compact"/>
            </w:pPr>
            <w:r>
              <w:t>Modelagem Tributária por Jurisdição</w:t>
            </w:r>
          </w:p>
        </w:tc>
        <w:tc>
          <w:tcPr>
            <w:tcW w:w="0" w:type="auto"/>
          </w:tcPr>
          <w:p w14:paraId="721F53E4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36E24B23" w14:textId="77777777" w:rsidR="00BA612E" w:rsidRDefault="00000000">
            <w:pPr>
              <w:pStyle w:val="Compact"/>
            </w:pPr>
            <w:r>
              <w:t>🔴 Crítico</w:t>
            </w:r>
          </w:p>
        </w:tc>
      </w:tr>
      <w:tr w:rsidR="00BA612E" w14:paraId="2C709264" w14:textId="77777777">
        <w:tc>
          <w:tcPr>
            <w:tcW w:w="0" w:type="auto"/>
          </w:tcPr>
          <w:p w14:paraId="3EC3AF16" w14:textId="77777777" w:rsidR="00BA612E" w:rsidRDefault="00000000">
            <w:pPr>
              <w:pStyle w:val="Compact"/>
            </w:pPr>
            <w:r>
              <w:t>Estrutura Societária / Holding</w:t>
            </w:r>
          </w:p>
        </w:tc>
        <w:tc>
          <w:tcPr>
            <w:tcW w:w="0" w:type="auto"/>
          </w:tcPr>
          <w:p w14:paraId="7420ACFD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2499697C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650F6C96" w14:textId="77777777">
        <w:tc>
          <w:tcPr>
            <w:tcW w:w="0" w:type="auto"/>
          </w:tcPr>
          <w:p w14:paraId="75ACBFB8" w14:textId="77777777" w:rsidR="00BA612E" w:rsidRDefault="00000000">
            <w:pPr>
              <w:pStyle w:val="Compact"/>
            </w:pPr>
            <w:r>
              <w:t>Disaster Recovery / BCP</w:t>
            </w:r>
          </w:p>
        </w:tc>
        <w:tc>
          <w:tcPr>
            <w:tcW w:w="0" w:type="auto"/>
          </w:tcPr>
          <w:p w14:paraId="7F43FB4A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6E0C330D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2F9BC4B5" w14:textId="77777777">
        <w:tc>
          <w:tcPr>
            <w:tcW w:w="0" w:type="auto"/>
          </w:tcPr>
          <w:p w14:paraId="1BC5A1DE" w14:textId="77777777" w:rsidR="00BA612E" w:rsidRDefault="00000000">
            <w:pPr>
              <w:pStyle w:val="Compact"/>
            </w:pPr>
            <w:r>
              <w:t>Observabilidade / Monitoring</w:t>
            </w:r>
          </w:p>
        </w:tc>
        <w:tc>
          <w:tcPr>
            <w:tcW w:w="0" w:type="auto"/>
          </w:tcPr>
          <w:p w14:paraId="07DF804B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24496B08" w14:textId="77777777" w:rsidR="00BA612E" w:rsidRDefault="00000000">
            <w:pPr>
              <w:pStyle w:val="Compact"/>
            </w:pPr>
            <w:r>
              <w:t>🟢 Médio</w:t>
            </w:r>
          </w:p>
        </w:tc>
      </w:tr>
      <w:tr w:rsidR="00BA612E" w14:paraId="7C834F62" w14:textId="77777777">
        <w:tc>
          <w:tcPr>
            <w:tcW w:w="0" w:type="auto"/>
          </w:tcPr>
          <w:p w14:paraId="05D63371" w14:textId="77777777" w:rsidR="00BA612E" w:rsidRDefault="00000000">
            <w:pPr>
              <w:pStyle w:val="Compact"/>
            </w:pPr>
            <w:r>
              <w:t>CI/CD / DevOps</w:t>
            </w:r>
          </w:p>
        </w:tc>
        <w:tc>
          <w:tcPr>
            <w:tcW w:w="0" w:type="auto"/>
          </w:tcPr>
          <w:p w14:paraId="058027CF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2083D4B1" w14:textId="77777777" w:rsidR="00BA612E" w:rsidRDefault="00000000">
            <w:pPr>
              <w:pStyle w:val="Compact"/>
            </w:pPr>
            <w:r>
              <w:t>🟢 Médio</w:t>
            </w:r>
          </w:p>
        </w:tc>
      </w:tr>
      <w:tr w:rsidR="00BA612E" w14:paraId="5DA0ECC4" w14:textId="77777777">
        <w:tc>
          <w:tcPr>
            <w:tcW w:w="0" w:type="auto"/>
          </w:tcPr>
          <w:p w14:paraId="54894E93" w14:textId="77777777" w:rsidR="00BA612E" w:rsidRDefault="00000000">
            <w:pPr>
              <w:pStyle w:val="Compact"/>
            </w:pPr>
            <w:r>
              <w:t>Testes Automatizados / Fuzzing</w:t>
            </w:r>
          </w:p>
        </w:tc>
        <w:tc>
          <w:tcPr>
            <w:tcW w:w="0" w:type="auto"/>
          </w:tcPr>
          <w:p w14:paraId="32982D80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13166803" w14:textId="77777777" w:rsidR="00BA612E" w:rsidRDefault="00000000">
            <w:pPr>
              <w:pStyle w:val="Compact"/>
            </w:pPr>
            <w:r>
              <w:t>🟢 Médio</w:t>
            </w:r>
          </w:p>
        </w:tc>
      </w:tr>
      <w:tr w:rsidR="00BA612E" w14:paraId="643F44B8" w14:textId="77777777">
        <w:tc>
          <w:tcPr>
            <w:tcW w:w="0" w:type="auto"/>
          </w:tcPr>
          <w:p w14:paraId="01A80575" w14:textId="77777777" w:rsidR="00BA612E" w:rsidRDefault="00000000">
            <w:pPr>
              <w:pStyle w:val="Compact"/>
            </w:pPr>
            <w:r>
              <w:t>Analytics / BI / KPIs</w:t>
            </w:r>
          </w:p>
        </w:tc>
        <w:tc>
          <w:tcPr>
            <w:tcW w:w="0" w:type="auto"/>
          </w:tcPr>
          <w:p w14:paraId="25E5FC59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030EA792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50FD8519" w14:textId="77777777">
        <w:tc>
          <w:tcPr>
            <w:tcW w:w="0" w:type="auto"/>
          </w:tcPr>
          <w:p w14:paraId="6A3C43A3" w14:textId="77777777" w:rsidR="00BA612E" w:rsidRDefault="00000000">
            <w:pPr>
              <w:pStyle w:val="Compact"/>
            </w:pPr>
            <w:r>
              <w:lastRenderedPageBreak/>
              <w:t>Novos Braços de Negócio (5)</w:t>
            </w:r>
          </w:p>
        </w:tc>
        <w:tc>
          <w:tcPr>
            <w:tcW w:w="0" w:type="auto"/>
          </w:tcPr>
          <w:p w14:paraId="24FBB5E2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677D67A1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61DD88BA" w14:textId="77777777">
        <w:tc>
          <w:tcPr>
            <w:tcW w:w="0" w:type="auto"/>
          </w:tcPr>
          <w:p w14:paraId="28E7E25B" w14:textId="77777777" w:rsidR="00BA612E" w:rsidRDefault="00000000">
            <w:pPr>
              <w:pStyle w:val="Compact"/>
            </w:pPr>
            <w:r>
              <w:t>Segurança Cibernética (AppSec/InfraSec)</w:t>
            </w:r>
          </w:p>
        </w:tc>
        <w:tc>
          <w:tcPr>
            <w:tcW w:w="0" w:type="auto"/>
          </w:tcPr>
          <w:p w14:paraId="62E38177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4CEAAC37" w14:textId="77777777" w:rsidR="00BA612E" w:rsidRDefault="00000000">
            <w:pPr>
              <w:pStyle w:val="Compact"/>
            </w:pPr>
            <w:r>
              <w:t>🟡 Alto</w:t>
            </w:r>
          </w:p>
        </w:tc>
      </w:tr>
      <w:tr w:rsidR="00BA612E" w14:paraId="6AF6F888" w14:textId="77777777">
        <w:tc>
          <w:tcPr>
            <w:tcW w:w="0" w:type="auto"/>
          </w:tcPr>
          <w:p w14:paraId="0AD3441B" w14:textId="77777777" w:rsidR="00BA612E" w:rsidRDefault="00000000">
            <w:pPr>
              <w:pStyle w:val="Compact"/>
            </w:pPr>
            <w:r>
              <w:t>Governança Corporativa / Board</w:t>
            </w:r>
          </w:p>
        </w:tc>
        <w:tc>
          <w:tcPr>
            <w:tcW w:w="0" w:type="auto"/>
          </w:tcPr>
          <w:p w14:paraId="65E86EF0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20F4D0B2" w14:textId="77777777" w:rsidR="00BA612E" w:rsidRDefault="00000000">
            <w:pPr>
              <w:pStyle w:val="Compact"/>
            </w:pPr>
            <w:r>
              <w:t>🟢 Médio</w:t>
            </w:r>
          </w:p>
        </w:tc>
      </w:tr>
      <w:tr w:rsidR="00BA612E" w14:paraId="07F7E533" w14:textId="77777777">
        <w:tc>
          <w:tcPr>
            <w:tcW w:w="0" w:type="auto"/>
          </w:tcPr>
          <w:p w14:paraId="1FA95845" w14:textId="77777777" w:rsidR="00BA612E" w:rsidRDefault="00000000">
            <w:pPr>
              <w:pStyle w:val="Compact"/>
            </w:pPr>
            <w:r>
              <w:t>Go-to-Market Estratégico</w:t>
            </w:r>
          </w:p>
        </w:tc>
        <w:tc>
          <w:tcPr>
            <w:tcW w:w="0" w:type="auto"/>
          </w:tcPr>
          <w:p w14:paraId="3EAC010B" w14:textId="77777777" w:rsidR="00BA612E" w:rsidRDefault="00000000">
            <w:pPr>
              <w:pStyle w:val="Compact"/>
            </w:pPr>
            <w:r>
              <w:t>❌ Ausente</w:t>
            </w:r>
          </w:p>
        </w:tc>
        <w:tc>
          <w:tcPr>
            <w:tcW w:w="0" w:type="auto"/>
          </w:tcPr>
          <w:p w14:paraId="67B0E2C1" w14:textId="77777777" w:rsidR="00BA612E" w:rsidRDefault="00000000">
            <w:pPr>
              <w:pStyle w:val="Compact"/>
            </w:pPr>
            <w:r>
              <w:t>🟡 Alto</w:t>
            </w:r>
          </w:p>
        </w:tc>
      </w:tr>
    </w:tbl>
    <w:p w14:paraId="4C209C42" w14:textId="77777777" w:rsidR="00BA612E" w:rsidRDefault="00000000">
      <w:r>
        <w:pict w14:anchorId="4D15F0D6">
          <v:rect id="_x0000_i1040" style="width:0;height:1.5pt" o:hralign="center" o:hrstd="t" o:hr="t"/>
        </w:pict>
      </w:r>
    </w:p>
    <w:p w14:paraId="1A177BCD" w14:textId="77777777" w:rsidR="00BA612E" w:rsidRPr="00585653" w:rsidRDefault="00000000">
      <w:pPr>
        <w:pStyle w:val="Heading1"/>
        <w:rPr>
          <w:lang w:val="pt-BR"/>
        </w:rPr>
      </w:pPr>
      <w:bookmarkStart w:id="69" w:name="parte-vi-plano-de-validação-aprofundada"/>
      <w:bookmarkEnd w:id="66"/>
      <w:bookmarkEnd w:id="68"/>
      <w:r w:rsidRPr="00585653">
        <w:rPr>
          <w:lang w:val="pt-BR"/>
        </w:rPr>
        <w:t>PARTE VI: PLANO DE VALIDAÇÃO APROFUNDADA</w:t>
      </w:r>
    </w:p>
    <w:p w14:paraId="11F52990" w14:textId="77777777" w:rsidR="00BA612E" w:rsidRDefault="00000000">
      <w:pPr>
        <w:pStyle w:val="Heading2"/>
      </w:pPr>
      <w:bookmarkStart w:id="70" w:name="fase-1-fundação-meses-1-3"/>
      <w:r>
        <w:t>6.1 Fase 1: Fundação (Meses 1-3)</w:t>
      </w:r>
    </w:p>
    <w:p w14:paraId="054834BC" w14:textId="77777777" w:rsidR="00BA612E" w:rsidRPr="00585653" w:rsidRDefault="00000000">
      <w:pPr>
        <w:pStyle w:val="Compact"/>
        <w:numPr>
          <w:ilvl w:val="0"/>
          <w:numId w:val="57"/>
        </w:numPr>
        <w:rPr>
          <w:lang w:val="pt-BR"/>
        </w:rPr>
      </w:pPr>
      <w:r w:rsidRPr="00585653">
        <w:rPr>
          <w:lang w:val="pt-BR"/>
        </w:rPr>
        <w:t>☐ Auditoria de smart contracts por 2 firmas independentes</w:t>
      </w:r>
    </w:p>
    <w:p w14:paraId="3E1BC559" w14:textId="77777777" w:rsidR="00BA612E" w:rsidRPr="00585653" w:rsidRDefault="00000000">
      <w:pPr>
        <w:pStyle w:val="Compact"/>
        <w:numPr>
          <w:ilvl w:val="0"/>
          <w:numId w:val="57"/>
        </w:numPr>
        <w:rPr>
          <w:lang w:val="pt-BR"/>
        </w:rPr>
      </w:pPr>
      <w:r w:rsidRPr="00585653">
        <w:rPr>
          <w:lang w:val="pt-BR"/>
        </w:rPr>
        <w:t>☐ Setup de estrutura societária (Delaware + SPVs)</w:t>
      </w:r>
    </w:p>
    <w:p w14:paraId="4A6EB1E3" w14:textId="77777777" w:rsidR="00BA612E" w:rsidRPr="00585653" w:rsidRDefault="00000000">
      <w:pPr>
        <w:pStyle w:val="Compact"/>
        <w:numPr>
          <w:ilvl w:val="0"/>
          <w:numId w:val="57"/>
        </w:numPr>
        <w:rPr>
          <w:lang w:val="pt-BR"/>
        </w:rPr>
      </w:pPr>
      <w:r w:rsidRPr="00585653">
        <w:rPr>
          <w:lang w:val="pt-BR"/>
        </w:rPr>
        <w:t>☐ Aplicação de licenças nos 3 primeiros mercados (Brasil, EUA, Reino Unido)</w:t>
      </w:r>
    </w:p>
    <w:p w14:paraId="13AB210B" w14:textId="77777777" w:rsidR="00BA612E" w:rsidRDefault="00000000">
      <w:pPr>
        <w:pStyle w:val="Compact"/>
        <w:numPr>
          <w:ilvl w:val="0"/>
          <w:numId w:val="57"/>
        </w:numPr>
      </w:pPr>
      <w:r>
        <w:t>☐ Implementação de framework AML completo (SumSub + Chainalysis + ComplyAdvantage)</w:t>
      </w:r>
    </w:p>
    <w:p w14:paraId="271F52BA" w14:textId="77777777" w:rsidR="00BA612E" w:rsidRPr="00585653" w:rsidRDefault="00000000">
      <w:pPr>
        <w:pStyle w:val="Compact"/>
        <w:numPr>
          <w:ilvl w:val="0"/>
          <w:numId w:val="57"/>
        </w:numPr>
        <w:rPr>
          <w:lang w:val="pt-BR"/>
        </w:rPr>
      </w:pPr>
      <w:r w:rsidRPr="00585653">
        <w:rPr>
          <w:lang w:val="pt-BR"/>
        </w:rPr>
        <w:t>☐ Política de proteção de dados (LGPD/GDPR)</w:t>
      </w:r>
    </w:p>
    <w:p w14:paraId="77B57818" w14:textId="77777777" w:rsidR="00BA612E" w:rsidRPr="00585653" w:rsidRDefault="00000000">
      <w:pPr>
        <w:pStyle w:val="Compact"/>
        <w:numPr>
          <w:ilvl w:val="0"/>
          <w:numId w:val="57"/>
        </w:numPr>
        <w:rPr>
          <w:lang w:val="pt-BR"/>
        </w:rPr>
      </w:pPr>
      <w:r w:rsidRPr="00585653">
        <w:rPr>
          <w:lang w:val="pt-BR"/>
        </w:rPr>
        <w:t>☐ DRE fiscal detalhado por Big-4</w:t>
      </w:r>
    </w:p>
    <w:p w14:paraId="07CD1859" w14:textId="77777777" w:rsidR="00BA612E" w:rsidRDefault="00000000">
      <w:pPr>
        <w:pStyle w:val="Heading2"/>
      </w:pPr>
      <w:bookmarkStart w:id="71" w:name="fase-2-escala-meses-4-9"/>
      <w:bookmarkEnd w:id="70"/>
      <w:r>
        <w:t>6.2 Fase 2: Escala (Meses 4-9)</w:t>
      </w:r>
    </w:p>
    <w:p w14:paraId="622BC9E6" w14:textId="77777777" w:rsidR="00BA612E" w:rsidRDefault="00000000">
      <w:pPr>
        <w:pStyle w:val="Compact"/>
        <w:numPr>
          <w:ilvl w:val="0"/>
          <w:numId w:val="58"/>
        </w:numPr>
      </w:pPr>
      <w:r>
        <w:t>☐ Testes de stress do matching engine (1M ordens)</w:t>
      </w:r>
    </w:p>
    <w:p w14:paraId="44ED65E7" w14:textId="77777777" w:rsidR="00BA612E" w:rsidRDefault="00000000">
      <w:pPr>
        <w:pStyle w:val="Compact"/>
        <w:numPr>
          <w:ilvl w:val="0"/>
          <w:numId w:val="58"/>
        </w:numPr>
      </w:pPr>
      <w:r>
        <w:t>☐ Simulação de disaster recovery</w:t>
      </w:r>
    </w:p>
    <w:p w14:paraId="626B3797" w14:textId="77777777" w:rsidR="00BA612E" w:rsidRPr="00585653" w:rsidRDefault="00000000">
      <w:pPr>
        <w:pStyle w:val="Compact"/>
        <w:numPr>
          <w:ilvl w:val="0"/>
          <w:numId w:val="58"/>
        </w:numPr>
        <w:rPr>
          <w:lang w:val="pt-BR"/>
        </w:rPr>
      </w:pPr>
      <w:r w:rsidRPr="00585653">
        <w:rPr>
          <w:lang w:val="pt-BR"/>
        </w:rPr>
        <w:t>☐ Piloto de novos braços de negócio (Treasury + Payroll)</w:t>
      </w:r>
    </w:p>
    <w:p w14:paraId="4640928B" w14:textId="77777777" w:rsidR="00BA612E" w:rsidRDefault="00000000">
      <w:pPr>
        <w:pStyle w:val="Compact"/>
        <w:numPr>
          <w:ilvl w:val="0"/>
          <w:numId w:val="58"/>
        </w:numPr>
      </w:pPr>
      <w:r>
        <w:t>☐ Expansão para 5 corredores adicionais</w:t>
      </w:r>
    </w:p>
    <w:p w14:paraId="3642AD8C" w14:textId="77777777" w:rsidR="00BA612E" w:rsidRDefault="00000000">
      <w:pPr>
        <w:pStyle w:val="Compact"/>
        <w:numPr>
          <w:ilvl w:val="0"/>
          <w:numId w:val="58"/>
        </w:numPr>
      </w:pPr>
      <w:r>
        <w:t>☐ Auditoria SOX Type I</w:t>
      </w:r>
    </w:p>
    <w:p w14:paraId="37089F8A" w14:textId="77777777" w:rsidR="00BA612E" w:rsidRDefault="00000000">
      <w:pPr>
        <w:pStyle w:val="Compact"/>
        <w:numPr>
          <w:ilvl w:val="0"/>
          <w:numId w:val="58"/>
        </w:numPr>
      </w:pPr>
      <w:r>
        <w:t>☐ Lançamento de bug bounty program</w:t>
      </w:r>
    </w:p>
    <w:p w14:paraId="60DD3624" w14:textId="77777777" w:rsidR="00BA612E" w:rsidRDefault="00000000">
      <w:pPr>
        <w:pStyle w:val="Heading2"/>
      </w:pPr>
      <w:bookmarkStart w:id="72" w:name="fase-3-consolidação-meses-10-18"/>
      <w:bookmarkEnd w:id="71"/>
      <w:r>
        <w:t>6.3 Fase 3: Consolidação (Meses 10-18)</w:t>
      </w:r>
    </w:p>
    <w:p w14:paraId="2172E815" w14:textId="77777777" w:rsidR="00BA612E" w:rsidRDefault="00000000">
      <w:pPr>
        <w:pStyle w:val="Compact"/>
        <w:numPr>
          <w:ilvl w:val="0"/>
          <w:numId w:val="59"/>
        </w:numPr>
      </w:pPr>
      <w:r>
        <w:t>☐ Auditoria SOX Type II</w:t>
      </w:r>
    </w:p>
    <w:p w14:paraId="503E41C6" w14:textId="77777777" w:rsidR="00BA612E" w:rsidRDefault="00000000">
      <w:pPr>
        <w:pStyle w:val="Compact"/>
        <w:numPr>
          <w:ilvl w:val="0"/>
          <w:numId w:val="59"/>
        </w:numPr>
      </w:pPr>
      <w:r>
        <w:lastRenderedPageBreak/>
        <w:t>☐ Expansão para 10+ corredores</w:t>
      </w:r>
    </w:p>
    <w:p w14:paraId="7F6E2217" w14:textId="77777777" w:rsidR="00BA612E" w:rsidRPr="00585653" w:rsidRDefault="00000000">
      <w:pPr>
        <w:pStyle w:val="Compact"/>
        <w:numPr>
          <w:ilvl w:val="0"/>
          <w:numId w:val="59"/>
        </w:numPr>
        <w:rPr>
          <w:lang w:val="pt-BR"/>
        </w:rPr>
      </w:pPr>
      <w:r w:rsidRPr="00585653">
        <w:rPr>
          <w:lang w:val="pt-BR"/>
        </w:rPr>
        <w:t>☐ Lançamento de FLX token e yield farming</w:t>
      </w:r>
    </w:p>
    <w:p w14:paraId="3F1ED267" w14:textId="77777777" w:rsidR="00BA612E" w:rsidRPr="00585653" w:rsidRDefault="00000000">
      <w:pPr>
        <w:pStyle w:val="Compact"/>
        <w:numPr>
          <w:ilvl w:val="0"/>
          <w:numId w:val="59"/>
        </w:numPr>
        <w:rPr>
          <w:lang w:val="pt-BR"/>
        </w:rPr>
      </w:pPr>
      <w:r w:rsidRPr="00585653">
        <w:rPr>
          <w:lang w:val="pt-BR"/>
        </w:rPr>
        <w:t>☐ Parceria estratégica com 1 gigante (Stripe, Mastercard, Visa)</w:t>
      </w:r>
    </w:p>
    <w:p w14:paraId="1C7A919C" w14:textId="77777777" w:rsidR="00BA612E" w:rsidRDefault="00000000">
      <w:pPr>
        <w:pStyle w:val="Compact"/>
        <w:numPr>
          <w:ilvl w:val="0"/>
          <w:numId w:val="59"/>
        </w:numPr>
      </w:pPr>
      <w:r>
        <w:t>☐ Relatório de sustentabilidade ESG</w:t>
      </w:r>
    </w:p>
    <w:p w14:paraId="2530DF7F" w14:textId="77777777" w:rsidR="00BA612E" w:rsidRDefault="00000000">
      <w:pPr>
        <w:pStyle w:val="Compact"/>
        <w:numPr>
          <w:ilvl w:val="0"/>
          <w:numId w:val="59"/>
        </w:numPr>
      </w:pPr>
      <w:r>
        <w:t>☐ Preparação para Série B</w:t>
      </w:r>
    </w:p>
    <w:p w14:paraId="5EFACC19" w14:textId="77777777" w:rsidR="00BA612E" w:rsidRDefault="00000000">
      <w:pPr>
        <w:pStyle w:val="Heading2"/>
      </w:pPr>
      <w:bookmarkStart w:id="73" w:name="fase-4-dominância-meses-19-24"/>
      <w:bookmarkEnd w:id="72"/>
      <w:r>
        <w:t>6.4 Fase 4: Dominância (Meses 19-24)</w:t>
      </w:r>
    </w:p>
    <w:p w14:paraId="5674C76D" w14:textId="77777777" w:rsidR="00BA612E" w:rsidRDefault="00000000">
      <w:pPr>
        <w:pStyle w:val="Compact"/>
        <w:numPr>
          <w:ilvl w:val="0"/>
          <w:numId w:val="60"/>
        </w:numPr>
      </w:pPr>
      <w:r>
        <w:t>☐ Operação em 20+ países</w:t>
      </w:r>
    </w:p>
    <w:p w14:paraId="59139376" w14:textId="77777777" w:rsidR="00BA612E" w:rsidRDefault="00000000">
      <w:pPr>
        <w:pStyle w:val="Compact"/>
        <w:numPr>
          <w:ilvl w:val="0"/>
          <w:numId w:val="60"/>
        </w:numPr>
      </w:pPr>
      <w:r>
        <w:t>☐ GTV de US$ 500M+</w:t>
      </w:r>
    </w:p>
    <w:p w14:paraId="5F0D012A" w14:textId="77777777" w:rsidR="00BA612E" w:rsidRDefault="00000000">
      <w:pPr>
        <w:pStyle w:val="Compact"/>
        <w:numPr>
          <w:ilvl w:val="0"/>
          <w:numId w:val="60"/>
        </w:numPr>
      </w:pPr>
      <w:r>
        <w:t>☐ Valuation de US$ 150M–500M</w:t>
      </w:r>
    </w:p>
    <w:p w14:paraId="10F2864C" w14:textId="77777777" w:rsidR="00BA612E" w:rsidRPr="00585653" w:rsidRDefault="00000000">
      <w:pPr>
        <w:pStyle w:val="Compact"/>
        <w:numPr>
          <w:ilvl w:val="0"/>
          <w:numId w:val="60"/>
        </w:numPr>
        <w:rPr>
          <w:lang w:val="pt-BR"/>
        </w:rPr>
      </w:pPr>
      <w:r w:rsidRPr="00585653">
        <w:rPr>
          <w:lang w:val="pt-BR"/>
        </w:rPr>
        <w:t>☐ IPO ou aquisição estratégica (opcional)</w:t>
      </w:r>
    </w:p>
    <w:p w14:paraId="4316C383" w14:textId="77777777" w:rsidR="00BA612E" w:rsidRDefault="00000000">
      <w:r>
        <w:pict w14:anchorId="5DC51F07">
          <v:rect id="_x0000_i1041" style="width:0;height:1.5pt" o:hralign="center" o:hrstd="t" o:hr="t"/>
        </w:pict>
      </w:r>
    </w:p>
    <w:p w14:paraId="5B575161" w14:textId="77777777" w:rsidR="00BA612E" w:rsidRPr="00585653" w:rsidRDefault="00000000">
      <w:pPr>
        <w:pStyle w:val="Heading1"/>
        <w:rPr>
          <w:lang w:val="pt-BR"/>
        </w:rPr>
      </w:pPr>
      <w:bookmarkStart w:id="74" w:name="parte-vii-conclusão-da-auditoria"/>
      <w:bookmarkEnd w:id="69"/>
      <w:bookmarkEnd w:id="73"/>
      <w:r w:rsidRPr="00585653">
        <w:rPr>
          <w:lang w:val="pt-BR"/>
        </w:rPr>
        <w:t>PARTE VII: CONCLUSÃO DA AUDITORIA</w:t>
      </w:r>
    </w:p>
    <w:p w14:paraId="3FD9D972" w14:textId="77777777" w:rsidR="00BA612E" w:rsidRPr="00585653" w:rsidRDefault="00000000">
      <w:pPr>
        <w:pStyle w:val="Heading2"/>
        <w:rPr>
          <w:lang w:val="pt-BR"/>
        </w:rPr>
      </w:pPr>
      <w:bookmarkStart w:id="75" w:name="veredicto-final"/>
      <w:r w:rsidRPr="00585653">
        <w:rPr>
          <w:lang w:val="pt-BR"/>
        </w:rPr>
        <w:t>7.1 Veredicto Final</w:t>
      </w:r>
    </w:p>
    <w:p w14:paraId="2377B0C6" w14:textId="77777777" w:rsidR="00BA612E" w:rsidRPr="00585653" w:rsidRDefault="00000000">
      <w:pPr>
        <w:pStyle w:val="FirstParagraph"/>
        <w:rPr>
          <w:lang w:val="pt-BR"/>
        </w:rPr>
      </w:pPr>
      <w:r w:rsidRPr="00585653">
        <w:rPr>
          <w:lang w:val="pt-BR"/>
        </w:rPr>
        <w:t xml:space="preserve">A base técnica do FLUXUS é </w:t>
      </w:r>
      <w:r w:rsidRPr="00585653">
        <w:rPr>
          <w:b/>
          <w:bCs/>
          <w:lang w:val="pt-BR"/>
        </w:rPr>
        <w:t>sólida e inovadora</w:t>
      </w:r>
      <w:r w:rsidRPr="00585653">
        <w:rPr>
          <w:lang w:val="pt-BR"/>
        </w:rPr>
        <w:t xml:space="preserve">, com diferenciais genuínos (Micro-hash, Blind Queue Matching, Shadow-Crypto UX, Crowdsourced Liquidity). No entanto, </w:t>
      </w:r>
      <w:r w:rsidRPr="00585653">
        <w:rPr>
          <w:b/>
          <w:bCs/>
          <w:lang w:val="pt-BR"/>
        </w:rPr>
        <w:t>existem lacunas críticas em compliance, fiscal e resiliência operacional</w:t>
      </w:r>
      <w:r w:rsidRPr="00585653">
        <w:rPr>
          <w:lang w:val="pt-BR"/>
        </w:rPr>
        <w:t xml:space="preserve"> que precisam ser endereçadas antes de qualquer rodada de investimento institucional ou expansão agressiva.</w:t>
      </w:r>
    </w:p>
    <w:p w14:paraId="41C564E9" w14:textId="77777777" w:rsidR="00BA612E" w:rsidRPr="00585653" w:rsidRDefault="00000000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Pontuação Geral Pós-Expansão:</w:t>
      </w:r>
      <w:r w:rsidRPr="00585653">
        <w:rPr>
          <w:lang w:val="pt-BR"/>
        </w:rPr>
        <w:t xml:space="preserve"> - Base Técnica Original: </w:t>
      </w:r>
      <w:r w:rsidRPr="00585653">
        <w:rPr>
          <w:b/>
          <w:bCs/>
          <w:lang w:val="pt-BR"/>
        </w:rPr>
        <w:t>7,0/10</w:t>
      </w:r>
      <w:r w:rsidRPr="00585653">
        <w:rPr>
          <w:lang w:val="pt-BR"/>
        </w:rPr>
        <w:t xml:space="preserve"> - Base Técnica com Expansão Proposta: </w:t>
      </w:r>
      <w:r w:rsidRPr="00585653">
        <w:rPr>
          <w:b/>
          <w:bCs/>
          <w:lang w:val="pt-BR"/>
        </w:rPr>
        <w:t>9,2/10</w:t>
      </w:r>
    </w:p>
    <w:p w14:paraId="4CBD1556" w14:textId="77777777" w:rsidR="00BA612E" w:rsidRDefault="00000000">
      <w:pPr>
        <w:pStyle w:val="Heading2"/>
      </w:pPr>
      <w:bookmarkStart w:id="76" w:name="recomendações-prioritárias"/>
      <w:bookmarkEnd w:id="75"/>
      <w:r>
        <w:t>7.2 Recomendações Prioritárias</w:t>
      </w:r>
    </w:p>
    <w:p w14:paraId="0CE86427" w14:textId="77777777" w:rsidR="00BA612E" w:rsidRPr="00585653" w:rsidRDefault="00000000">
      <w:pPr>
        <w:pStyle w:val="Compact"/>
        <w:numPr>
          <w:ilvl w:val="0"/>
          <w:numId w:val="61"/>
        </w:numPr>
        <w:rPr>
          <w:lang w:val="pt-BR"/>
        </w:rPr>
      </w:pPr>
      <w:r>
        <w:rPr>
          <w:b/>
          <w:bCs/>
        </w:rPr>
        <w:t>🔴</w:t>
      </w:r>
      <w:r w:rsidRPr="00585653">
        <w:rPr>
          <w:b/>
          <w:bCs/>
          <w:lang w:val="pt-BR"/>
        </w:rPr>
        <w:t xml:space="preserve"> URGENTE:</w:t>
      </w:r>
      <w:r w:rsidRPr="00585653">
        <w:rPr>
          <w:lang w:val="pt-BR"/>
        </w:rPr>
        <w:t xml:space="preserve"> Contratar counsel regulatório internacional e iniciar aplicações de licença nos 3 mercados prioritários.</w:t>
      </w:r>
    </w:p>
    <w:p w14:paraId="4A56F2D3" w14:textId="77777777" w:rsidR="00BA612E" w:rsidRPr="00585653" w:rsidRDefault="00000000">
      <w:pPr>
        <w:pStyle w:val="Compact"/>
        <w:numPr>
          <w:ilvl w:val="0"/>
          <w:numId w:val="61"/>
        </w:numPr>
        <w:rPr>
          <w:lang w:val="pt-BR"/>
        </w:rPr>
      </w:pPr>
      <w:r>
        <w:rPr>
          <w:b/>
          <w:bCs/>
        </w:rPr>
        <w:t>🔴</w:t>
      </w:r>
      <w:r w:rsidRPr="00585653">
        <w:rPr>
          <w:b/>
          <w:bCs/>
          <w:lang w:val="pt-BR"/>
        </w:rPr>
        <w:t xml:space="preserve"> URGENTE:</w:t>
      </w:r>
      <w:r w:rsidRPr="00585653">
        <w:rPr>
          <w:lang w:val="pt-BR"/>
        </w:rPr>
        <w:t xml:space="preserve"> Implementar framework AML completo antes do lançamento público.</w:t>
      </w:r>
    </w:p>
    <w:p w14:paraId="04AE6D83" w14:textId="77777777" w:rsidR="00BA612E" w:rsidRPr="00585653" w:rsidRDefault="00000000">
      <w:pPr>
        <w:pStyle w:val="Compact"/>
        <w:numPr>
          <w:ilvl w:val="0"/>
          <w:numId w:val="61"/>
        </w:numPr>
        <w:rPr>
          <w:lang w:val="pt-BR"/>
        </w:rPr>
      </w:pPr>
      <w:r>
        <w:rPr>
          <w:b/>
          <w:bCs/>
        </w:rPr>
        <w:t>🟡</w:t>
      </w:r>
      <w:r w:rsidRPr="00585653">
        <w:rPr>
          <w:b/>
          <w:bCs/>
          <w:lang w:val="pt-BR"/>
        </w:rPr>
        <w:t xml:space="preserve"> ALTA:</w:t>
      </w:r>
      <w:r w:rsidRPr="00585653">
        <w:rPr>
          <w:lang w:val="pt-BR"/>
        </w:rPr>
        <w:t xml:space="preserve"> Desenvolver DRE fiscal detalhado e estrutura de holding com Big-4.</w:t>
      </w:r>
    </w:p>
    <w:p w14:paraId="32ABDA6F" w14:textId="77777777" w:rsidR="00BA612E" w:rsidRPr="00585653" w:rsidRDefault="00000000">
      <w:pPr>
        <w:pStyle w:val="Compact"/>
        <w:numPr>
          <w:ilvl w:val="0"/>
          <w:numId w:val="61"/>
        </w:numPr>
        <w:rPr>
          <w:lang w:val="pt-BR"/>
        </w:rPr>
      </w:pPr>
      <w:r>
        <w:rPr>
          <w:b/>
          <w:bCs/>
        </w:rPr>
        <w:lastRenderedPageBreak/>
        <w:t>🟡</w:t>
      </w:r>
      <w:r w:rsidRPr="00585653">
        <w:rPr>
          <w:b/>
          <w:bCs/>
          <w:lang w:val="pt-BR"/>
        </w:rPr>
        <w:t xml:space="preserve"> ALTA:</w:t>
      </w:r>
      <w:r w:rsidRPr="00585653">
        <w:rPr>
          <w:lang w:val="pt-BR"/>
        </w:rPr>
        <w:t xml:space="preserve"> Criar plano de disaster recovery e testar failover.</w:t>
      </w:r>
    </w:p>
    <w:p w14:paraId="05E7B5BC" w14:textId="77777777" w:rsidR="00BA612E" w:rsidRPr="00585653" w:rsidRDefault="00000000">
      <w:pPr>
        <w:pStyle w:val="Compact"/>
        <w:numPr>
          <w:ilvl w:val="0"/>
          <w:numId w:val="61"/>
        </w:numPr>
        <w:rPr>
          <w:lang w:val="pt-BR"/>
        </w:rPr>
      </w:pPr>
      <w:r>
        <w:rPr>
          <w:b/>
          <w:bCs/>
        </w:rPr>
        <w:t>🟢</w:t>
      </w:r>
      <w:r w:rsidRPr="00585653">
        <w:rPr>
          <w:b/>
          <w:bCs/>
          <w:lang w:val="pt-BR"/>
        </w:rPr>
        <w:t xml:space="preserve"> MÉDIA:</w:t>
      </w:r>
      <w:r w:rsidRPr="00585653">
        <w:rPr>
          <w:lang w:val="pt-BR"/>
        </w:rPr>
        <w:t xml:space="preserve"> Implementar observabilidade completa (Datadog/Grafana) e CI/CD.</w:t>
      </w:r>
    </w:p>
    <w:p w14:paraId="2533A5DF" w14:textId="77777777" w:rsidR="00BA612E" w:rsidRPr="00585653" w:rsidRDefault="00000000">
      <w:pPr>
        <w:pStyle w:val="Heading2"/>
        <w:rPr>
          <w:lang w:val="pt-BR"/>
        </w:rPr>
      </w:pPr>
      <w:bookmarkStart w:id="77" w:name="mensagem-final"/>
      <w:bookmarkEnd w:id="76"/>
      <w:r w:rsidRPr="00585653">
        <w:rPr>
          <w:lang w:val="pt-BR"/>
        </w:rPr>
        <w:t>7.3 Mensagem Final</w:t>
      </w:r>
    </w:p>
    <w:p w14:paraId="496F14CF" w14:textId="77777777" w:rsidR="00BA612E" w:rsidRPr="00585653" w:rsidRDefault="00000000">
      <w:pPr>
        <w:pStyle w:val="FirstParagraph"/>
        <w:rPr>
          <w:lang w:val="pt-BR"/>
        </w:rPr>
      </w:pPr>
      <w:r w:rsidRPr="00585653">
        <w:rPr>
          <w:lang w:val="pt-BR"/>
        </w:rPr>
        <w:t xml:space="preserve">O FLUXUS tem o potencial de se tornar a infraestrutura financeira da próxima década. Mas infraestrutura financeira exige </w:t>
      </w:r>
      <w:r w:rsidRPr="00585653">
        <w:rPr>
          <w:b/>
          <w:bCs/>
          <w:lang w:val="pt-BR"/>
        </w:rPr>
        <w:t>confiança institucional</w:t>
      </w:r>
      <w:r w:rsidRPr="00585653">
        <w:rPr>
          <w:lang w:val="pt-BR"/>
        </w:rPr>
        <w:t xml:space="preserve">, e confiança institucional exige </w:t>
      </w:r>
      <w:r w:rsidRPr="00585653">
        <w:rPr>
          <w:b/>
          <w:bCs/>
          <w:lang w:val="pt-BR"/>
        </w:rPr>
        <w:t>compliance, transparência e resiliência</w:t>
      </w:r>
      <w:r w:rsidRPr="00585653">
        <w:rPr>
          <w:lang w:val="pt-BR"/>
        </w:rPr>
        <w:t>. Esta auditoria e expansão de escopo fornecem o mapa para transformar uma excelente ideia técnica em um unicórnio regulado e sustentável.</w:t>
      </w:r>
    </w:p>
    <w:p w14:paraId="457E16E6" w14:textId="77777777" w:rsidR="00BA612E" w:rsidRDefault="00000000">
      <w:r>
        <w:pict w14:anchorId="6E442ED9">
          <v:rect id="_x0000_i1042" style="width:0;height:1.5pt" o:hralign="center" o:hrstd="t" o:hr="t"/>
        </w:pict>
      </w:r>
    </w:p>
    <w:p w14:paraId="11415D42" w14:textId="77777777" w:rsidR="00BA612E" w:rsidRPr="00585653" w:rsidRDefault="00000000">
      <w:pPr>
        <w:pStyle w:val="FirstParagraph"/>
        <w:rPr>
          <w:i/>
          <w:iCs/>
          <w:lang w:val="pt-BR"/>
        </w:rPr>
      </w:pPr>
      <w:r w:rsidRPr="00585653">
        <w:rPr>
          <w:i/>
          <w:iCs/>
          <w:lang w:val="pt-BR"/>
        </w:rPr>
        <w:t>Documento elaborado por Antigravity — Engenharia de Orquestração FLUXUS</w:t>
      </w:r>
      <w:r w:rsidRPr="00585653">
        <w:rPr>
          <w:lang w:val="pt-BR"/>
        </w:rPr>
        <w:br/>
      </w:r>
      <w:r w:rsidRPr="00585653">
        <w:rPr>
          <w:i/>
          <w:iCs/>
          <w:lang w:val="pt-BR"/>
        </w:rPr>
        <w:t>Abril 2026 | Consolidação de 12 documentos técnicos + análise de gaps + expansão de escopo</w:t>
      </w:r>
    </w:p>
    <w:p w14:paraId="7AD76EB1" w14:textId="77777777" w:rsidR="00585653" w:rsidRPr="00585653" w:rsidRDefault="00585653" w:rsidP="00585653">
      <w:pPr>
        <w:pStyle w:val="BodyText"/>
        <w:rPr>
          <w:lang w:val="pt-BR"/>
        </w:rPr>
      </w:pPr>
    </w:p>
    <w:p w14:paraId="67F4B005" w14:textId="77777777" w:rsidR="00585653" w:rsidRPr="00585653" w:rsidRDefault="00585653" w:rsidP="00585653">
      <w:pPr>
        <w:pStyle w:val="BodyText"/>
        <w:rPr>
          <w:lang w:val="pt-BR"/>
        </w:rPr>
      </w:pPr>
    </w:p>
    <w:p w14:paraId="5BAD5232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pt-BR"/>
        </w:rPr>
        <w:t xml:space="preserve">Entendo perfeitamente sua objeção. É uma pergunta estratégica fundamental. </w:t>
      </w:r>
      <w:r w:rsidRPr="00585653">
        <w:rPr>
          <w:lang w:val="en-IE"/>
        </w:rPr>
        <w:t>Deixe-me esclarecer:</w:t>
      </w:r>
    </w:p>
    <w:p w14:paraId="2337277A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5664DD0A">
          <v:rect id="_x0000_i1102" style="width:0;height:1.5pt" o:hralign="center" o:hrstd="t" o:hr="t" fillcolor="#a0a0a0" stroked="f"/>
        </w:pict>
      </w:r>
    </w:p>
    <w:p w14:paraId="15F22899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POR QUE A "APARENTE CONTRADIÇÃO" NÃO É CONTRADIÇÃO</w:t>
      </w:r>
    </w:p>
    <w:p w14:paraId="060C2EAE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Você está certo: o modelo </w:t>
      </w:r>
      <w:r w:rsidRPr="00585653">
        <w:rPr>
          <w:b/>
          <w:bCs/>
          <w:lang w:val="pt-BR"/>
        </w:rPr>
        <w:t>FLUXUS Nexus</w:t>
      </w:r>
      <w:r w:rsidRPr="00585653">
        <w:rPr>
          <w:lang w:val="pt-BR"/>
        </w:rPr>
        <w:t xml:space="preserve"> é de </w:t>
      </w:r>
      <w:r w:rsidRPr="00585653">
        <w:rPr>
          <w:b/>
          <w:bCs/>
          <w:lang w:val="pt-BR"/>
        </w:rPr>
        <w:t>orquestração</w:t>
      </w:r>
      <w:r w:rsidRPr="00585653">
        <w:rPr>
          <w:lang w:val="pt-BR"/>
        </w:rPr>
        <w:t xml:space="preserve">, não de banco. Queremos ser o </w:t>
      </w:r>
      <w:r w:rsidRPr="00585653">
        <w:rPr>
          <w:b/>
          <w:bCs/>
          <w:lang w:val="pt-BR"/>
        </w:rPr>
        <w:t>Switch</w:t>
      </w:r>
      <w:r w:rsidRPr="00585653">
        <w:rPr>
          <w:lang w:val="pt-BR"/>
        </w:rPr>
        <w:t xml:space="preserve">, não o </w:t>
      </w:r>
      <w:r w:rsidRPr="00585653">
        <w:rPr>
          <w:b/>
          <w:bCs/>
          <w:lang w:val="pt-BR"/>
        </w:rPr>
        <w:t>Banco</w:t>
      </w:r>
      <w:r w:rsidRPr="00585653">
        <w:rPr>
          <w:lang w:val="pt-BR"/>
        </w:rPr>
        <w:t>. Mas aqui está o ponto que muitos empreendedores Web3 erram:</w:t>
      </w:r>
    </w:p>
    <w:p w14:paraId="1C678C6D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"Ficar fora do alcance de reguladores" ≠ "Operar sem licença"</w:t>
      </w:r>
      <w:r w:rsidRPr="00585653">
        <w:rPr>
          <w:lang w:val="pt-BR"/>
        </w:rPr>
        <w:br/>
      </w:r>
      <w:r w:rsidRPr="00585653">
        <w:rPr>
          <w:b/>
          <w:bCs/>
          <w:lang w:val="pt-BR"/>
        </w:rPr>
        <w:t>"Agnosticidade regulatória" ≠ "Ilegalidade"</w:t>
      </w:r>
    </w:p>
    <w:p w14:paraId="4B82E273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pt-BR"/>
        </w:rPr>
        <w:t xml:space="preserve">O que o FLUXUS propõe é </w:t>
      </w:r>
      <w:r w:rsidRPr="00585653">
        <w:rPr>
          <w:b/>
          <w:bCs/>
          <w:lang w:val="pt-BR"/>
        </w:rPr>
        <w:t>agnosticidade à licença do VASP</w:t>
      </w:r>
      <w:r w:rsidRPr="00585653">
        <w:rPr>
          <w:lang w:val="pt-BR"/>
        </w:rPr>
        <w:t xml:space="preserve">, não </w:t>
      </w:r>
      <w:r w:rsidRPr="00585653">
        <w:rPr>
          <w:b/>
          <w:bCs/>
          <w:lang w:val="pt-BR"/>
        </w:rPr>
        <w:t>exemption de compliance</w:t>
      </w:r>
      <w:r w:rsidRPr="00585653">
        <w:rPr>
          <w:lang w:val="pt-BR"/>
        </w:rPr>
        <w:t xml:space="preserve">. </w:t>
      </w:r>
      <w:r w:rsidRPr="00585653">
        <w:rPr>
          <w:lang w:val="en-IE"/>
        </w:rPr>
        <w:t>Explico:</w:t>
      </w:r>
    </w:p>
    <w:p w14:paraId="77364019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76809CC6">
          <v:rect id="_x0000_i1103" style="width:0;height:1.5pt" o:hralign="center" o:hrstd="t" o:hr="t" fillcolor="#a0a0a0" stroked="f"/>
        </w:pict>
      </w:r>
    </w:p>
    <w:p w14:paraId="7745F59E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A DIFERENÇA ENTRE "SER REGULADO" E "TER QUE TER LICENÇA BANCÁRIA"</w:t>
      </w:r>
    </w:p>
    <w:p w14:paraId="51EC9606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en-I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784"/>
        <w:gridCol w:w="2464"/>
        <w:gridCol w:w="2624"/>
      </w:tblGrid>
      <w:tr w:rsidR="00585653" w:rsidRPr="00585653" w14:paraId="6C86A36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4461C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lastRenderedPageBreak/>
              <w:t>Modelo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428985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O que 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A29C24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Licença necessária?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4CEF56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Exemplo</w:t>
            </w:r>
          </w:p>
        </w:tc>
      </w:tr>
      <w:tr w:rsidR="00585653" w:rsidRPr="00585653" w14:paraId="6219F20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37E5F0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Banco Digital (Wise, Revolut)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7CE627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Detém fundos de clientes, emite moeda, faz clearing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964853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Sim — precisa de licença bancária/EMI em CADA país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617032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Wise tem 50+ licenças, US$ 500M em capital parado</w:t>
            </w:r>
          </w:p>
        </w:tc>
      </w:tr>
      <w:tr w:rsidR="00585653" w:rsidRPr="00585653" w14:paraId="21F9867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7A5EE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Marketplace P2P (LocalBitcoins antigo)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560B1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Conecta pessoas, não toca no dinheiro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6B6035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Cinzento — muitas jurisdições exigem registro de MSB/VASP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56BF66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Fechado/ameaçado em vários países por falta de KYC</w:t>
            </w:r>
          </w:p>
        </w:tc>
      </w:tr>
      <w:tr w:rsidR="00585653" w:rsidRPr="00585653" w14:paraId="67CF972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A972D3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Orquestrador Tecnológico (FLUXUS Nexus)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A70DCE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Conecta VASPs já licenciados, orquestra smart contracts, não custodia fiat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942C6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NÃO precisa de licença bancária</w:t>
            </w:r>
            <w:r w:rsidRPr="00585653">
              <w:rPr>
                <w:lang w:val="pt-BR"/>
              </w:rPr>
              <w:t>, mas precisa de: (a) registro como MSB/VASP/DTI, (b) compliance AML, (c) proteção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135C7B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Stripe não é banco, mas é registrado como MSB nos EUA e segue FinCEN</w:t>
            </w:r>
          </w:p>
        </w:tc>
      </w:tr>
    </w:tbl>
    <w:p w14:paraId="21E67D0D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3F0B5775">
          <v:rect id="_x0000_i1104" style="width:0;height:1.5pt" o:hralign="center" o:hrstd="t" o:hr="t" fillcolor="#a0a0a0" stroked="f"/>
        </w:pict>
      </w:r>
    </w:p>
    <w:p w14:paraId="225812F2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O QUE O FLUXUS REALMENTE PRECISA (E POR QUÊ)</w:t>
      </w:r>
    </w:p>
    <w:p w14:paraId="27DBA2BC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1. Registro como MSB / VASP / DTI — NÃO Licença Bancária</w:t>
      </w:r>
    </w:p>
    <w:p w14:paraId="2FFED174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O que é:</w:t>
      </w:r>
      <w:r w:rsidRPr="00585653">
        <w:rPr>
          <w:lang w:val="pt-BR"/>
        </w:rPr>
        <w:t xml:space="preserve"> Em quase todas as jurisdições, se você facilita transferência de valor (mesmo que via terceiros), precisa se </w:t>
      </w:r>
      <w:r w:rsidRPr="00585653">
        <w:rPr>
          <w:b/>
          <w:bCs/>
          <w:lang w:val="pt-BR"/>
        </w:rPr>
        <w:t>registrar</w:t>
      </w:r>
      <w:r w:rsidRPr="00585653">
        <w:rPr>
          <w:lang w:val="pt-BR"/>
        </w:rPr>
        <w:t xml:space="preserve"> como:</w:t>
      </w:r>
    </w:p>
    <w:p w14:paraId="5DB609BC" w14:textId="77777777" w:rsidR="00585653" w:rsidRPr="00585653" w:rsidRDefault="00585653" w:rsidP="00585653">
      <w:pPr>
        <w:pStyle w:val="BodyText"/>
        <w:numPr>
          <w:ilvl w:val="0"/>
          <w:numId w:val="62"/>
        </w:numPr>
        <w:rPr>
          <w:lang w:val="pt-BR"/>
        </w:rPr>
      </w:pPr>
      <w:r w:rsidRPr="00585653">
        <w:rPr>
          <w:b/>
          <w:bCs/>
          <w:lang w:val="pt-BR"/>
        </w:rPr>
        <w:t>EUA:</w:t>
      </w:r>
      <w:r w:rsidRPr="00585653">
        <w:rPr>
          <w:lang w:val="pt-BR"/>
        </w:rPr>
        <w:t xml:space="preserve"> MSB (Money Services Business) no FinCEN — registro, não licença. Custo: ~US$ 0 (apenas declaração), mas exige compliance program.</w:t>
      </w:r>
    </w:p>
    <w:p w14:paraId="2BA04CC9" w14:textId="77777777" w:rsidR="00585653" w:rsidRPr="00585653" w:rsidRDefault="00585653" w:rsidP="00585653">
      <w:pPr>
        <w:pStyle w:val="BodyText"/>
        <w:numPr>
          <w:ilvl w:val="0"/>
          <w:numId w:val="62"/>
        </w:numPr>
        <w:rPr>
          <w:lang w:val="pt-BR"/>
        </w:rPr>
      </w:pPr>
      <w:r w:rsidRPr="00585653">
        <w:rPr>
          <w:b/>
          <w:bCs/>
          <w:lang w:val="pt-BR"/>
        </w:rPr>
        <w:lastRenderedPageBreak/>
        <w:t>Brasil:</w:t>
      </w:r>
      <w:r w:rsidRPr="00585653">
        <w:rPr>
          <w:lang w:val="pt-BR"/>
        </w:rPr>
        <w:t xml:space="preserve"> DTI (Demais Instituições de Pagamento) no BCB — registro simplificado vs. SPI (instituição de pagamento). O FLUXUS pode operar como </w:t>
      </w:r>
      <w:r w:rsidRPr="00585653">
        <w:rPr>
          <w:b/>
          <w:bCs/>
          <w:lang w:val="pt-BR"/>
        </w:rPr>
        <w:t>prestador de serviço para SPIs</w:t>
      </w:r>
      <w:r w:rsidRPr="00585653">
        <w:rPr>
          <w:lang w:val="pt-BR"/>
        </w:rPr>
        <w:t>, não como SPI.</w:t>
      </w:r>
    </w:p>
    <w:p w14:paraId="3FAE8C8B" w14:textId="77777777" w:rsidR="00585653" w:rsidRPr="00585653" w:rsidRDefault="00585653" w:rsidP="00585653">
      <w:pPr>
        <w:pStyle w:val="BodyText"/>
        <w:numPr>
          <w:ilvl w:val="0"/>
          <w:numId w:val="62"/>
        </w:numPr>
        <w:rPr>
          <w:lang w:val="pt-BR"/>
        </w:rPr>
      </w:pPr>
      <w:r w:rsidRPr="00585653">
        <w:rPr>
          <w:b/>
          <w:bCs/>
          <w:lang w:val="pt-BR"/>
        </w:rPr>
        <w:t>UE:</w:t>
      </w:r>
      <w:r w:rsidRPr="00585653">
        <w:rPr>
          <w:lang w:val="pt-BR"/>
        </w:rPr>
        <w:t xml:space="preserve"> Registro como CASP (Crypto-Asset Service Provider) sob MiCA — registro, não licença bancária.</w:t>
      </w:r>
    </w:p>
    <w:p w14:paraId="26527BF3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Por que precisa:</w:t>
      </w:r>
      <w:r w:rsidRPr="00585653">
        <w:rPr>
          <w:lang w:val="pt-BR"/>
        </w:rPr>
        <w:t xml:space="preserve"> Sem registro, você é </w:t>
      </w:r>
      <w:r w:rsidRPr="00585653">
        <w:rPr>
          <w:b/>
          <w:bCs/>
          <w:lang w:val="pt-BR"/>
        </w:rPr>
        <w:t>operador ilegal de serviço de dinheiro</w:t>
      </w:r>
      <w:r w:rsidRPr="00585653">
        <w:rPr>
          <w:lang w:val="pt-BR"/>
        </w:rPr>
        <w:t>. Não é sobre "ser banco" — é sobre "não ser preso".</w:t>
      </w:r>
    </w:p>
    <w:p w14:paraId="4569EFBF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31270357">
          <v:rect id="_x0000_i1105" style="width:0;height:1.5pt" o:hralign="center" o:hrstd="t" o:hr="t" fillcolor="#a0a0a0" stroked="f"/>
        </w:pict>
      </w:r>
    </w:p>
    <w:p w14:paraId="0C1F3D65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2. Framework AML — NÃO é "virar banco", é "não ser acusado de lavagem de dinheiro"</w:t>
      </w:r>
    </w:p>
    <w:p w14:paraId="2582F85A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O que o FLUXUS já tem:</w:t>
      </w:r>
      <w:r w:rsidRPr="00585653">
        <w:rPr>
          <w:lang w:val="pt-BR"/>
        </w:rPr>
        <w:t xml:space="preserve"> SumSub para KYC básico.</w:t>
      </w:r>
    </w:p>
    <w:p w14:paraId="2C7E5210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O que falta (e por que é crítico):</w:t>
      </w:r>
    </w:p>
    <w:p w14:paraId="051F0097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en-I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2797"/>
        <w:gridCol w:w="2317"/>
        <w:gridCol w:w="2015"/>
      </w:tblGrid>
      <w:tr w:rsidR="00585653" w:rsidRPr="00585653" w14:paraId="245AE8E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664CFE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45F3A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O que 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E5FB53" w14:textId="77777777" w:rsidR="00585653" w:rsidRPr="00585653" w:rsidRDefault="00585653" w:rsidP="00585653">
            <w:pPr>
              <w:pStyle w:val="BodyText"/>
              <w:rPr>
                <w:b/>
                <w:bCs/>
                <w:lang w:val="pt-BR"/>
              </w:rPr>
            </w:pPr>
            <w:r w:rsidRPr="00585653">
              <w:rPr>
                <w:b/>
                <w:bCs/>
                <w:lang w:val="pt-BR"/>
              </w:rPr>
              <w:t>Por que o FLUXUS precisa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E79563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Consequência de NÃO ter</w:t>
            </w:r>
          </w:p>
        </w:tc>
      </w:tr>
      <w:tr w:rsidR="00585653" w:rsidRPr="00585653" w14:paraId="0170735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A6D6DD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b/>
                <w:bCs/>
                <w:lang w:val="pt-BR"/>
              </w:rPr>
              <w:t>Screening de Sanções (OFAC, UN, EU)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8DC568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Verificar se remetente/destinatário está em lista de terroristas, narcotraficantes, ditaduras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DB20EA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O VASP parceiro (Rain, Reap) exige isso contratualmente. Se um cliente do FLUXUS enviar para alguém na lista OFAC, o VASP é multado e corta a parceria.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8A8DD7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pt-BR"/>
              </w:rPr>
              <w:t xml:space="preserve">Perda de TODOS os parceiros de liquidação. </w:t>
            </w:r>
            <w:r w:rsidRPr="00585653">
              <w:rPr>
                <w:lang w:val="en-IE"/>
              </w:rPr>
              <w:t>Fim do modelo.</w:t>
            </w:r>
          </w:p>
        </w:tc>
      </w:tr>
      <w:tr w:rsidR="00585653" w:rsidRPr="00585653" w14:paraId="707CE59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055207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Transaction Monitoring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28C1B1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Algoritmos que detectam padrões suspeitos (structuring, layering)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9B7EDE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pt-BR"/>
              </w:rPr>
              <w:t xml:space="preserve">Reguladores exigem que MSBs/VASPs monitorem </w:t>
            </w:r>
            <w:r w:rsidRPr="00585653">
              <w:rPr>
                <w:lang w:val="pt-BR"/>
              </w:rPr>
              <w:lastRenderedPageBreak/>
              <w:t xml:space="preserve">transações. </w:t>
            </w:r>
            <w:r w:rsidRPr="00585653">
              <w:rPr>
                <w:lang w:val="en-IE"/>
              </w:rPr>
              <w:t>Não é opcional.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5EBCC6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lastRenderedPageBreak/>
              <w:t>Multa de US 100M por falhas AML em 2023)</w:t>
            </w:r>
          </w:p>
        </w:tc>
      </w:tr>
      <w:tr w:rsidR="00585653" w:rsidRPr="00585653" w14:paraId="3C76DF1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8201F9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SAR/ROPS Automático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924EA6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Reporte de operações suspeitas às autoridades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0220F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Obrigatório em praticamente todas as jurisdições G20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74536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Prisão de executivos, fechamento da empresa</w:t>
            </w:r>
          </w:p>
        </w:tc>
      </w:tr>
    </w:tbl>
    <w:p w14:paraId="37595138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pt-BR"/>
        </w:rPr>
        <w:t>O ponto crucial:</w:t>
      </w:r>
      <w:r w:rsidRPr="00585653">
        <w:rPr>
          <w:lang w:val="pt-BR"/>
        </w:rPr>
        <w:t xml:space="preserve"> O FLUXUS não precisa fazer isso como um </w:t>
      </w:r>
      <w:r w:rsidRPr="00585653">
        <w:rPr>
          <w:b/>
          <w:bCs/>
          <w:lang w:val="pt-BR"/>
        </w:rPr>
        <w:t>banco</w:t>
      </w:r>
      <w:r w:rsidRPr="00585653">
        <w:rPr>
          <w:lang w:val="pt-BR"/>
        </w:rPr>
        <w:t xml:space="preserve">. Faz isso como um </w:t>
      </w:r>
      <w:r w:rsidRPr="00585653">
        <w:rPr>
          <w:b/>
          <w:bCs/>
          <w:lang w:val="pt-BR"/>
        </w:rPr>
        <w:t>orquestrador responsável</w:t>
      </w:r>
      <w:r w:rsidRPr="00585653">
        <w:rPr>
          <w:lang w:val="pt-BR"/>
        </w:rPr>
        <w:t xml:space="preserve">. </w:t>
      </w:r>
      <w:r w:rsidRPr="00585653">
        <w:rPr>
          <w:lang w:val="en-IE"/>
        </w:rPr>
        <w:t>A diferença é de grau, não de natureza.</w:t>
      </w:r>
    </w:p>
    <w:p w14:paraId="788D9F57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40B7E04B">
          <v:rect id="_x0000_i1106" style="width:0;height:1.5pt" o:hralign="center" o:hrstd="t" o:hr="t" fillcolor="#a0a0a0" stroked="f"/>
        </w:pict>
      </w:r>
    </w:p>
    <w:p w14:paraId="6C26D02D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ANALOGIA PRÁTICA: Stripe, não Bank of America</w:t>
      </w:r>
    </w:p>
    <w:p w14:paraId="280D4D0E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en-I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401"/>
        <w:gridCol w:w="3275"/>
      </w:tblGrid>
      <w:tr w:rsidR="00585653" w:rsidRPr="00585653" w14:paraId="7CA7A7A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51CB8F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FAECA3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Stripe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551231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FLUXUS Nexus</w:t>
            </w:r>
          </w:p>
        </w:tc>
      </w:tr>
      <w:tr w:rsidR="00585653" w:rsidRPr="00585653" w14:paraId="0CC945F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D6D6C8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O que faz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FA83E8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Orquestra pagamentos entre comerciantes e adquirentes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33F89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Orquestra remessas entre senders, LPs e VASPs</w:t>
            </w:r>
          </w:p>
        </w:tc>
      </w:tr>
      <w:tr w:rsidR="00585653" w:rsidRPr="00585653" w14:paraId="040F3AD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8DA405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É banco?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DA0963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Não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A7164B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Não</w:t>
            </w:r>
          </w:p>
        </w:tc>
      </w:tr>
      <w:tr w:rsidR="00585653" w:rsidRPr="00585653" w14:paraId="4FD4B1E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517D8F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Tem licença bancária?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4AB1E9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Não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98251E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Não</w:t>
            </w:r>
          </w:p>
        </w:tc>
      </w:tr>
      <w:tr w:rsidR="00585653" w:rsidRPr="00585653" w14:paraId="7C8C85A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BA1276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Precisa de registro?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2F209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Sim — MSB nos EUA, registros de pagamento na 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EC33D0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Sim — MSB/VASP/DTI</w:t>
            </w:r>
          </w:p>
        </w:tc>
      </w:tr>
      <w:tr w:rsidR="00585653" w:rsidRPr="00585653" w14:paraId="6F64A89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F068BB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Tem compliance AML?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E9A95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Sim — programa robusto de AML/KYC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AD3F5C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t>Precisa ter</w:t>
            </w:r>
          </w:p>
        </w:tc>
      </w:tr>
      <w:tr w:rsidR="00585653" w:rsidRPr="00585653" w14:paraId="029EE97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A40EDC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b/>
                <w:bCs/>
                <w:lang w:val="en-IE"/>
              </w:rPr>
              <w:lastRenderedPageBreak/>
              <w:t>Custa bilhões para operar?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AC059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Não — custa compliance + tecnologia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11F98A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Não — custa compliance + tecnologia</w:t>
            </w:r>
          </w:p>
        </w:tc>
      </w:tr>
    </w:tbl>
    <w:p w14:paraId="25704FC1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Stripe não é banco. Mas se o Stripe não tivesse compliance AML, </w:t>
      </w:r>
      <w:r w:rsidRPr="00585653">
        <w:rPr>
          <w:b/>
          <w:bCs/>
          <w:lang w:val="pt-BR"/>
        </w:rPr>
        <w:t>ninguém usaria</w:t>
      </w:r>
      <w:r w:rsidRPr="00585653">
        <w:rPr>
          <w:lang w:val="pt-BR"/>
        </w:rPr>
        <w:t>. Os adquirentes (Visa, Mastercard) exigem isso contratualmente. Os reguladores exigem isso legalmente.</w:t>
      </w:r>
    </w:p>
    <w:p w14:paraId="60B075CE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O mesmo vale para o FLUXUS: </w:t>
      </w:r>
      <w:r w:rsidRPr="00585653">
        <w:rPr>
          <w:b/>
          <w:bCs/>
          <w:lang w:val="pt-BR"/>
        </w:rPr>
        <w:t>Rain, Reap, Visa, Mastercard</w:t>
      </w:r>
      <w:r w:rsidRPr="00585653">
        <w:rPr>
          <w:lang w:val="pt-BR"/>
        </w:rPr>
        <w:t xml:space="preserve"> vão exigir AML antes de integrar. Não é sobre "querer ser regulado" — é sobre </w:t>
      </w:r>
      <w:r w:rsidRPr="00585653">
        <w:rPr>
          <w:b/>
          <w:bCs/>
          <w:lang w:val="pt-BR"/>
        </w:rPr>
        <w:t>poder operar</w:t>
      </w:r>
      <w:r w:rsidRPr="00585653">
        <w:rPr>
          <w:lang w:val="pt-BR"/>
        </w:rPr>
        <w:t>.</w:t>
      </w:r>
    </w:p>
    <w:p w14:paraId="6CA456BF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69248638">
          <v:rect id="_x0000_i1107" style="width:0;height:1.5pt" o:hralign="center" o:hrstd="t" o:hr="t" fillcolor="#a0a0a0" stroked="f"/>
        </w:pict>
      </w:r>
    </w:p>
    <w:p w14:paraId="77A0C157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O QUE MUDA NA ABORDAGEM DO FLUXUS</w:t>
      </w:r>
    </w:p>
    <w:p w14:paraId="6D260C6E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Antes (visão ingênua de "ficar fora do alcance"):</w:t>
      </w:r>
    </w:p>
    <w:p w14:paraId="67B7D277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plain</w:t>
      </w:r>
    </w:p>
    <w:p w14:paraId="12121ED6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>Copy</w:t>
      </w:r>
    </w:p>
    <w:p w14:paraId="5C35B807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>Sender → FLUXUS (sem registro) → VASP (com licença) → Destinatário</w:t>
      </w:r>
    </w:p>
    <w:p w14:paraId="13E1DEE7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         ↑</w:t>
      </w:r>
    </w:p>
    <w:p w14:paraId="5B310F25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    "Ninguém me vê, sou só código"</w:t>
      </w:r>
    </w:p>
    <w:p w14:paraId="041EE65F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Problema:</w:t>
      </w:r>
      <w:r w:rsidRPr="00585653">
        <w:rPr>
          <w:lang w:val="pt-BR"/>
        </w:rPr>
        <w:t xml:space="preserve"> Se o remetente é um traficante de drogas e o destinatário está na lista OFAC, quem o regulador prende? O VASP? Sim. Mas ele também investiga </w:t>
      </w:r>
      <w:r w:rsidRPr="00585653">
        <w:rPr>
          <w:b/>
          <w:bCs/>
          <w:lang w:val="pt-BR"/>
        </w:rPr>
        <w:t>quem orquestrou a transação</w:t>
      </w:r>
      <w:r w:rsidRPr="00585653">
        <w:rPr>
          <w:lang w:val="pt-BR"/>
        </w:rPr>
        <w:t>. E encontra o FLUXUS. Sem registro, sem compliance, sem defesa legal.</w:t>
      </w:r>
    </w:p>
    <w:p w14:paraId="30787B84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Depois (visão madura de "agnosticidade regulatória"):</w:t>
      </w:r>
    </w:p>
    <w:p w14:paraId="192748DA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plain</w:t>
      </w:r>
    </w:p>
    <w:p w14:paraId="13229B21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>Copy</w:t>
      </w:r>
    </w:p>
    <w:p w14:paraId="31A602DA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>Sender → FLUXUS (registrado como MSB/VASP, com AML) → VASP (com licença) → Destinatário</w:t>
      </w:r>
    </w:p>
    <w:p w14:paraId="48C83212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         ↑</w:t>
      </w:r>
    </w:p>
    <w:p w14:paraId="4335C451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    "Sou transparente, auditável, e por isso confiável"</w:t>
      </w:r>
    </w:p>
    <w:p w14:paraId="00B920DC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b/>
          <w:bCs/>
          <w:lang w:val="pt-BR"/>
        </w:rPr>
        <w:t>Vantagem:</w:t>
      </w:r>
      <w:r w:rsidRPr="00585653">
        <w:rPr>
          <w:lang w:val="pt-BR"/>
        </w:rPr>
        <w:t xml:space="preserve"> Se houver uma transação suspeita, o FLUXUS </w:t>
      </w:r>
      <w:r w:rsidRPr="00585653">
        <w:rPr>
          <w:b/>
          <w:bCs/>
          <w:lang w:val="pt-BR"/>
        </w:rPr>
        <w:t>mostra o Minihash</w:t>
      </w:r>
      <w:r w:rsidRPr="00585653">
        <w:rPr>
          <w:lang w:val="pt-BR"/>
        </w:rPr>
        <w:t xml:space="preserve">, </w:t>
      </w:r>
      <w:r w:rsidRPr="00585653">
        <w:rPr>
          <w:b/>
          <w:bCs/>
          <w:lang w:val="pt-BR"/>
        </w:rPr>
        <w:t>mostra o screening</w:t>
      </w:r>
      <w:r w:rsidRPr="00585653">
        <w:rPr>
          <w:lang w:val="pt-BR"/>
        </w:rPr>
        <w:t xml:space="preserve">, </w:t>
      </w:r>
      <w:r w:rsidRPr="00585653">
        <w:rPr>
          <w:b/>
          <w:bCs/>
          <w:lang w:val="pt-BR"/>
        </w:rPr>
        <w:t>mostra o SAR enviado</w:t>
      </w:r>
      <w:r w:rsidRPr="00585653">
        <w:rPr>
          <w:lang w:val="pt-BR"/>
        </w:rPr>
        <w:t xml:space="preserve">. O regulador vê que o FLUXUS </w:t>
      </w:r>
      <w:r w:rsidRPr="00585653">
        <w:rPr>
          <w:b/>
          <w:bCs/>
          <w:lang w:val="pt-BR"/>
        </w:rPr>
        <w:t>cooperou</w:t>
      </w:r>
      <w:r w:rsidRPr="00585653">
        <w:rPr>
          <w:lang w:val="pt-BR"/>
        </w:rPr>
        <w:t xml:space="preserve">. Não é alvo — é </w:t>
      </w:r>
      <w:r w:rsidRPr="00585653">
        <w:rPr>
          <w:b/>
          <w:bCs/>
          <w:lang w:val="pt-BR"/>
        </w:rPr>
        <w:t>parceiro de compliance</w:t>
      </w:r>
      <w:r w:rsidRPr="00585653">
        <w:rPr>
          <w:lang w:val="pt-BR"/>
        </w:rPr>
        <w:t>.</w:t>
      </w:r>
    </w:p>
    <w:p w14:paraId="592E4BB2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lastRenderedPageBreak/>
        <w:pict w14:anchorId="393DFE8A">
          <v:rect id="_x0000_i1108" style="width:0;height:1.5pt" o:hralign="center" o:hrstd="t" o:hr="t" fillcolor="#a0a0a0" stroked="f"/>
        </w:pict>
      </w:r>
    </w:p>
    <w:p w14:paraId="601AD935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RESUMO: POR QUE AS RECOMENDAÇÕES "REGULATÓRIAS" SÃO ESTRATÉGICAS, NÃO CONTRADITÓRIAS</w:t>
      </w:r>
    </w:p>
    <w:p w14:paraId="010BC0FE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en-I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3316"/>
        <w:gridCol w:w="3077"/>
      </w:tblGrid>
      <w:tr w:rsidR="00585653" w:rsidRPr="00585653" w14:paraId="56C4C97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F7719E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Sua Preocupação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CE8DB8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A Realidade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1FB08D" w14:textId="77777777" w:rsidR="00585653" w:rsidRPr="00585653" w:rsidRDefault="00585653" w:rsidP="00585653">
            <w:pPr>
              <w:pStyle w:val="BodyText"/>
              <w:rPr>
                <w:b/>
                <w:bCs/>
                <w:lang w:val="en-IE"/>
              </w:rPr>
            </w:pPr>
            <w:r w:rsidRPr="00585653">
              <w:rPr>
                <w:b/>
                <w:bCs/>
                <w:lang w:val="en-IE"/>
              </w:rPr>
              <w:t>A Solução Proposta</w:t>
            </w:r>
          </w:p>
        </w:tc>
      </w:tr>
      <w:tr w:rsidR="00585653" w:rsidRPr="00585653" w14:paraId="0232C17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72D06C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"Queremos ficar fora do alcance de reguladores"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B29D6C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Impossível se você move valor. O que é possível é </w:t>
            </w:r>
            <w:r w:rsidRPr="00585653">
              <w:rPr>
                <w:b/>
                <w:bCs/>
                <w:lang w:val="pt-BR"/>
              </w:rPr>
              <w:t>não ser banco</w:t>
            </w:r>
            <w:r w:rsidRPr="00585653">
              <w:rPr>
                <w:lang w:val="pt-BR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4DF813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Registro como MSB/VASP (leve), não licença bancária (pesada)</w:t>
            </w:r>
          </w:p>
        </w:tc>
      </w:tr>
      <w:tr w:rsidR="00585653" w:rsidRPr="00585653" w14:paraId="2FA86C5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43CBB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"AML é coisa de banco"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0AB79E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AML é coisa de </w:t>
            </w:r>
            <w:r w:rsidRPr="00585653">
              <w:rPr>
                <w:b/>
                <w:bCs/>
                <w:lang w:val="pt-BR"/>
              </w:rPr>
              <w:t>qualquer um que move valor acima de US$ 1.000</w:t>
            </w:r>
            <w:r w:rsidRPr="00585653">
              <w:rPr>
                <w:lang w:val="pt-BR"/>
              </w:rPr>
              <w:t> em muitas jurisdições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32DF2B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Framework AML enxuto, automatizado, não departamento de 50 pessoas</w:t>
            </w:r>
          </w:p>
        </w:tc>
      </w:tr>
      <w:tr w:rsidR="00585653" w:rsidRPr="00585653" w14:paraId="355BE36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1C316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"Compliance custa caro"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B60FA4" w14:textId="77777777" w:rsidR="00585653" w:rsidRPr="00585653" w:rsidRDefault="00585653" w:rsidP="00585653">
            <w:pPr>
              <w:pStyle w:val="BodyText"/>
              <w:rPr>
                <w:lang w:val="pt-BR"/>
              </w:rPr>
            </w:pPr>
            <w:r w:rsidRPr="00585653">
              <w:rPr>
                <w:lang w:val="pt-BR"/>
              </w:rPr>
              <w:t>Custa </w:t>
            </w:r>
            <w:r w:rsidRPr="00585653">
              <w:rPr>
                <w:b/>
                <w:bCs/>
                <w:lang w:val="pt-BR"/>
              </w:rPr>
              <w:t>muito menos</w:t>
            </w:r>
            <w:r w:rsidRPr="00585653">
              <w:rPr>
                <w:lang w:val="pt-BR"/>
              </w:rPr>
              <w:t> que multas, processos e perda de parceiros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2C8BD" w14:textId="77777777" w:rsidR="00585653" w:rsidRPr="00585653" w:rsidRDefault="00585653" w:rsidP="00585653">
            <w:pPr>
              <w:pStyle w:val="BodyText"/>
              <w:rPr>
                <w:lang w:val="en-IE"/>
              </w:rPr>
            </w:pPr>
            <w:r w:rsidRPr="00585653">
              <w:rPr>
                <w:lang w:val="en-IE"/>
              </w:rPr>
              <w:t>US 100M+ em multas</w:t>
            </w:r>
          </w:p>
        </w:tc>
      </w:tr>
    </w:tbl>
    <w:p w14:paraId="21300A97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1A5AD910">
          <v:rect id="_x0000_i1109" style="width:0;height:1.5pt" o:hralign="center" o:hrstd="t" o:hr="t" fillcolor="#a0a0a0" stroked="f"/>
        </w:pict>
      </w:r>
    </w:p>
    <w:p w14:paraId="4B12F55B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O QUE O FLUXUS REALMENTE DEVE FAZER (VERSÃO CORRIGIDA)</w:t>
      </w:r>
    </w:p>
    <w:p w14:paraId="315B8E3C" w14:textId="77777777" w:rsidR="00585653" w:rsidRPr="00585653" w:rsidRDefault="00585653" w:rsidP="00585653">
      <w:pPr>
        <w:pStyle w:val="BodyText"/>
        <w:rPr>
          <w:b/>
          <w:bCs/>
          <w:lang w:val="en-IE"/>
        </w:rPr>
      </w:pPr>
      <w:r w:rsidRPr="00585653">
        <w:rPr>
          <w:rFonts w:ascii="Segoe UI Emoji" w:hAnsi="Segoe UI Emoji" w:cs="Segoe UI Emoji"/>
          <w:b/>
          <w:bCs/>
          <w:lang w:val="en-IE"/>
        </w:rPr>
        <w:t>🔴</w:t>
      </w:r>
      <w:r w:rsidRPr="00585653">
        <w:rPr>
          <w:b/>
          <w:bCs/>
          <w:lang w:val="en-IE"/>
        </w:rPr>
        <w:t xml:space="preserve"> URGENTE — Mas Leve:</w:t>
      </w:r>
    </w:p>
    <w:p w14:paraId="206C5609" w14:textId="77777777" w:rsidR="00585653" w:rsidRPr="00585653" w:rsidRDefault="00585653" w:rsidP="00585653">
      <w:pPr>
        <w:pStyle w:val="BodyText"/>
        <w:numPr>
          <w:ilvl w:val="0"/>
          <w:numId w:val="63"/>
        </w:numPr>
        <w:rPr>
          <w:lang w:val="pt-BR"/>
        </w:rPr>
      </w:pPr>
      <w:r w:rsidRPr="00585653">
        <w:rPr>
          <w:b/>
          <w:bCs/>
          <w:lang w:val="pt-BR"/>
        </w:rPr>
        <w:t>Registrar-se como MSB nos EUA (FinCEN)</w:t>
      </w:r>
      <w:r w:rsidRPr="00585653">
        <w:rPr>
          <w:lang w:val="pt-BR"/>
        </w:rPr>
        <w:t xml:space="preserve"> — Custo: US$ 0. Tempo: 2 semanas. Não é licença, é declaração.</w:t>
      </w:r>
    </w:p>
    <w:p w14:paraId="772D609F" w14:textId="77777777" w:rsidR="00585653" w:rsidRPr="00585653" w:rsidRDefault="00585653" w:rsidP="00585653">
      <w:pPr>
        <w:pStyle w:val="BodyText"/>
        <w:numPr>
          <w:ilvl w:val="0"/>
          <w:numId w:val="63"/>
        </w:numPr>
        <w:rPr>
          <w:lang w:val="en-IE"/>
        </w:rPr>
      </w:pPr>
      <w:r w:rsidRPr="00585653">
        <w:rPr>
          <w:b/>
          <w:bCs/>
          <w:lang w:val="pt-BR"/>
        </w:rPr>
        <w:t>Registrar-se como prestador de serviço para DTIs no Brasil (BCB)</w:t>
      </w:r>
      <w:r w:rsidRPr="00585653">
        <w:rPr>
          <w:lang w:val="pt-BR"/>
        </w:rPr>
        <w:t xml:space="preserve"> — Custo: US$ 5k. </w:t>
      </w:r>
      <w:r w:rsidRPr="00585653">
        <w:rPr>
          <w:lang w:val="en-IE"/>
        </w:rPr>
        <w:t>Tempo: 3 meses. Não é SPI, é parceiro tecnológico.</w:t>
      </w:r>
    </w:p>
    <w:p w14:paraId="22E0AD4C" w14:textId="77777777" w:rsidR="00585653" w:rsidRPr="00585653" w:rsidRDefault="00585653" w:rsidP="00585653">
      <w:pPr>
        <w:pStyle w:val="BodyText"/>
        <w:numPr>
          <w:ilvl w:val="0"/>
          <w:numId w:val="63"/>
        </w:numPr>
        <w:rPr>
          <w:lang w:val="pt-BR"/>
        </w:rPr>
      </w:pPr>
      <w:r w:rsidRPr="00585653">
        <w:rPr>
          <w:b/>
          <w:bCs/>
          <w:lang w:val="pt-BR"/>
        </w:rPr>
        <w:t>Implementar AML enxuto:</w:t>
      </w:r>
      <w:r w:rsidRPr="00585653">
        <w:rPr>
          <w:lang w:val="pt-BR"/>
        </w:rPr>
        <w:t xml:space="preserve"> SumSub (já tem) + Chainalysis KYT (US 20k/ano) = </w:t>
      </w:r>
      <w:r w:rsidRPr="00585653">
        <w:rPr>
          <w:b/>
          <w:bCs/>
          <w:lang w:val="pt-BR"/>
        </w:rPr>
        <w:t>US$ 50k/ano total</w:t>
      </w:r>
      <w:r w:rsidRPr="00585653">
        <w:rPr>
          <w:lang w:val="pt-BR"/>
        </w:rPr>
        <w:t>.</w:t>
      </w:r>
    </w:p>
    <w:p w14:paraId="20650810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en-IE"/>
        </w:rPr>
        <w:t>NÃO é:</w:t>
      </w:r>
    </w:p>
    <w:p w14:paraId="5EF32447" w14:textId="77777777" w:rsidR="00585653" w:rsidRPr="00585653" w:rsidRDefault="00585653" w:rsidP="00585653">
      <w:pPr>
        <w:pStyle w:val="BodyText"/>
        <w:numPr>
          <w:ilvl w:val="0"/>
          <w:numId w:val="64"/>
        </w:numPr>
        <w:rPr>
          <w:lang w:val="en-IE"/>
        </w:rPr>
      </w:pPr>
      <w:r w:rsidRPr="00585653">
        <w:rPr>
          <w:rFonts w:ascii="Segoe UI Emoji" w:hAnsi="Segoe UI Emoji" w:cs="Segoe UI Emoji"/>
          <w:lang w:val="en-IE"/>
        </w:rPr>
        <w:t>❌</w:t>
      </w:r>
      <w:r w:rsidRPr="00585653">
        <w:rPr>
          <w:lang w:val="en-IE"/>
        </w:rPr>
        <w:t xml:space="preserve"> Contratar 50 advogados regulatórios</w:t>
      </w:r>
    </w:p>
    <w:p w14:paraId="30C3A929" w14:textId="77777777" w:rsidR="00585653" w:rsidRPr="00585653" w:rsidRDefault="00585653" w:rsidP="00585653">
      <w:pPr>
        <w:pStyle w:val="BodyText"/>
        <w:numPr>
          <w:ilvl w:val="0"/>
          <w:numId w:val="64"/>
        </w:numPr>
        <w:rPr>
          <w:lang w:val="en-IE"/>
        </w:rPr>
      </w:pPr>
      <w:r w:rsidRPr="00585653">
        <w:rPr>
          <w:rFonts w:ascii="Segoe UI Emoji" w:hAnsi="Segoe UI Emoji" w:cs="Segoe UI Emoji"/>
          <w:lang w:val="en-IE"/>
        </w:rPr>
        <w:t>❌</w:t>
      </w:r>
      <w:r w:rsidRPr="00585653">
        <w:rPr>
          <w:lang w:val="en-IE"/>
        </w:rPr>
        <w:t xml:space="preserve"> Pedir licença bancária em 50 países</w:t>
      </w:r>
    </w:p>
    <w:p w14:paraId="5D3D5CEA" w14:textId="77777777" w:rsidR="00585653" w:rsidRPr="00585653" w:rsidRDefault="00585653" w:rsidP="00585653">
      <w:pPr>
        <w:pStyle w:val="BodyText"/>
        <w:numPr>
          <w:ilvl w:val="0"/>
          <w:numId w:val="64"/>
        </w:numPr>
        <w:rPr>
          <w:lang w:val="en-IE"/>
        </w:rPr>
      </w:pPr>
      <w:r w:rsidRPr="00585653">
        <w:rPr>
          <w:rFonts w:ascii="Segoe UI Emoji" w:hAnsi="Segoe UI Emoji" w:cs="Segoe UI Emoji"/>
          <w:lang w:val="en-IE"/>
        </w:rPr>
        <w:t>❌</w:t>
      </w:r>
      <w:r w:rsidRPr="00585653">
        <w:rPr>
          <w:lang w:val="en-IE"/>
        </w:rPr>
        <w:t xml:space="preserve"> Virar Wise ou Revolut</w:t>
      </w:r>
    </w:p>
    <w:p w14:paraId="162260BE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b/>
          <w:bCs/>
          <w:lang w:val="en-IE"/>
        </w:rPr>
        <w:lastRenderedPageBreak/>
        <w:t>É:</w:t>
      </w:r>
    </w:p>
    <w:p w14:paraId="3FE6036F" w14:textId="77777777" w:rsidR="00585653" w:rsidRPr="00585653" w:rsidRDefault="00585653" w:rsidP="00585653">
      <w:pPr>
        <w:pStyle w:val="BodyText"/>
        <w:numPr>
          <w:ilvl w:val="0"/>
          <w:numId w:val="65"/>
        </w:numPr>
        <w:rPr>
          <w:lang w:val="en-IE"/>
        </w:rPr>
      </w:pPr>
      <w:r w:rsidRPr="00585653">
        <w:rPr>
          <w:rFonts w:ascii="Segoe UI Emoji" w:hAnsi="Segoe UI Emoji" w:cs="Segoe UI Emoji"/>
          <w:lang w:val="en-IE"/>
        </w:rPr>
        <w:t>✅</w:t>
      </w:r>
      <w:r w:rsidRPr="00585653">
        <w:rPr>
          <w:lang w:val="en-IE"/>
        </w:rPr>
        <w:t xml:space="preserve"> Ser </w:t>
      </w:r>
      <w:r w:rsidRPr="00585653">
        <w:rPr>
          <w:b/>
          <w:bCs/>
          <w:lang w:val="en-IE"/>
        </w:rPr>
        <w:t>Stripe</w:t>
      </w:r>
      <w:r w:rsidRPr="00585653">
        <w:rPr>
          <w:lang w:val="en-IE"/>
        </w:rPr>
        <w:t xml:space="preserve">, não </w:t>
      </w:r>
      <w:r w:rsidRPr="00585653">
        <w:rPr>
          <w:b/>
          <w:bCs/>
          <w:lang w:val="en-IE"/>
        </w:rPr>
        <w:t>Bank of America</w:t>
      </w:r>
    </w:p>
    <w:p w14:paraId="761E8BD1" w14:textId="77777777" w:rsidR="00585653" w:rsidRPr="00585653" w:rsidRDefault="00585653" w:rsidP="00585653">
      <w:pPr>
        <w:pStyle w:val="BodyText"/>
        <w:numPr>
          <w:ilvl w:val="0"/>
          <w:numId w:val="65"/>
        </w:numPr>
        <w:rPr>
          <w:lang w:val="pt-BR"/>
        </w:rPr>
      </w:pPr>
      <w:r w:rsidRPr="00585653">
        <w:rPr>
          <w:rFonts w:ascii="Segoe UI Emoji" w:hAnsi="Segoe UI Emoji" w:cs="Segoe UI Emoji"/>
          <w:lang w:val="pt-BR"/>
        </w:rPr>
        <w:t>✅</w:t>
      </w:r>
      <w:r w:rsidRPr="00585653">
        <w:rPr>
          <w:lang w:val="pt-BR"/>
        </w:rPr>
        <w:t xml:space="preserve"> Ser </w:t>
      </w:r>
      <w:r w:rsidRPr="00585653">
        <w:rPr>
          <w:b/>
          <w:bCs/>
          <w:lang w:val="pt-BR"/>
        </w:rPr>
        <w:t>orquestrador registrado</w:t>
      </w:r>
      <w:r w:rsidRPr="00585653">
        <w:rPr>
          <w:lang w:val="pt-BR"/>
        </w:rPr>
        <w:t xml:space="preserve">, não </w:t>
      </w:r>
      <w:r w:rsidRPr="00585653">
        <w:rPr>
          <w:b/>
          <w:bCs/>
          <w:lang w:val="pt-BR"/>
        </w:rPr>
        <w:t>banco licenciado</w:t>
      </w:r>
    </w:p>
    <w:p w14:paraId="0CE6D09B" w14:textId="77777777" w:rsidR="00585653" w:rsidRPr="00585653" w:rsidRDefault="00585653" w:rsidP="00585653">
      <w:pPr>
        <w:pStyle w:val="BodyText"/>
        <w:numPr>
          <w:ilvl w:val="0"/>
          <w:numId w:val="65"/>
        </w:numPr>
        <w:rPr>
          <w:lang w:val="pt-BR"/>
        </w:rPr>
      </w:pPr>
      <w:r w:rsidRPr="00585653">
        <w:rPr>
          <w:rFonts w:ascii="Segoe UI Emoji" w:hAnsi="Segoe UI Emoji" w:cs="Segoe UI Emoji"/>
          <w:lang w:val="pt-BR"/>
        </w:rPr>
        <w:t>✅</w:t>
      </w:r>
      <w:r w:rsidRPr="00585653">
        <w:rPr>
          <w:lang w:val="pt-BR"/>
        </w:rPr>
        <w:t xml:space="preserve"> Ser </w:t>
      </w:r>
      <w:r w:rsidRPr="00585653">
        <w:rPr>
          <w:b/>
          <w:bCs/>
          <w:lang w:val="pt-BR"/>
        </w:rPr>
        <w:t>compliance-light por design</w:t>
      </w:r>
      <w:r w:rsidRPr="00585653">
        <w:rPr>
          <w:lang w:val="pt-BR"/>
        </w:rPr>
        <w:t xml:space="preserve">, não </w:t>
      </w:r>
      <w:r w:rsidRPr="00585653">
        <w:rPr>
          <w:b/>
          <w:bCs/>
          <w:lang w:val="pt-BR"/>
        </w:rPr>
        <w:t>compliance-heavy por obrigação</w:t>
      </w:r>
    </w:p>
    <w:p w14:paraId="0DDD9192" w14:textId="77777777" w:rsidR="00585653" w:rsidRPr="00585653" w:rsidRDefault="00585653" w:rsidP="00585653">
      <w:pPr>
        <w:pStyle w:val="BodyText"/>
        <w:rPr>
          <w:lang w:val="en-IE"/>
        </w:rPr>
      </w:pPr>
      <w:r w:rsidRPr="00585653">
        <w:rPr>
          <w:lang w:val="en-IE"/>
        </w:rPr>
        <w:pict w14:anchorId="2A4607FE">
          <v:rect id="_x0000_i1110" style="width:0;height:1.5pt" o:hralign="center" o:hrstd="t" o:hr="t" fillcolor="#a0a0a0" stroked="f"/>
        </w:pict>
      </w:r>
    </w:p>
    <w:p w14:paraId="0826378E" w14:textId="77777777" w:rsidR="00585653" w:rsidRPr="00585653" w:rsidRDefault="00585653" w:rsidP="00585653">
      <w:pPr>
        <w:pStyle w:val="BodyText"/>
        <w:rPr>
          <w:b/>
          <w:bCs/>
          <w:lang w:val="pt-BR"/>
        </w:rPr>
      </w:pPr>
      <w:r w:rsidRPr="00585653">
        <w:rPr>
          <w:b/>
          <w:bCs/>
          <w:lang w:val="pt-BR"/>
        </w:rPr>
        <w:t>CONCLUSÃO</w:t>
      </w:r>
    </w:p>
    <w:p w14:paraId="3D2DE7D3" w14:textId="77777777" w:rsidR="00585653" w:rsidRPr="00585653" w:rsidRDefault="00585653" w:rsidP="00585653">
      <w:pPr>
        <w:pStyle w:val="BodyText"/>
        <w:rPr>
          <w:lang w:val="pt-BR"/>
        </w:rPr>
      </w:pPr>
      <w:r w:rsidRPr="00585653">
        <w:rPr>
          <w:lang w:val="pt-BR"/>
        </w:rPr>
        <w:t xml:space="preserve">A proposta original do FLUXUS (orquestração agnóstica, crowdsourced liquidity, shadow-crypto) é </w:t>
      </w:r>
      <w:r w:rsidRPr="00585653">
        <w:rPr>
          <w:b/>
          <w:bCs/>
          <w:lang w:val="pt-BR"/>
        </w:rPr>
        <w:t>correta e valiosa</w:t>
      </w:r>
      <w:r w:rsidRPr="00585653">
        <w:rPr>
          <w:lang w:val="pt-BR"/>
        </w:rPr>
        <w:t xml:space="preserve">. Mas a execução exige </w:t>
      </w:r>
      <w:r w:rsidRPr="00585653">
        <w:rPr>
          <w:b/>
          <w:bCs/>
          <w:lang w:val="pt-BR"/>
        </w:rPr>
        <w:t>maturidade regulatória mínima</w:t>
      </w:r>
      <w:r w:rsidRPr="00585653">
        <w:rPr>
          <w:lang w:val="pt-BR"/>
        </w:rPr>
        <w:t xml:space="preserve"> — não para "entrar no sistema", mas para </w:t>
      </w:r>
      <w:r w:rsidRPr="00585653">
        <w:rPr>
          <w:b/>
          <w:bCs/>
          <w:lang w:val="pt-BR"/>
        </w:rPr>
        <w:t>"não ser expulso do sistema"</w:t>
      </w:r>
      <w:r w:rsidRPr="00585653">
        <w:rPr>
          <w:lang w:val="pt-BR"/>
        </w:rPr>
        <w:t>.</w:t>
      </w:r>
    </w:p>
    <w:p w14:paraId="25236E0F" w14:textId="28BFBBB5" w:rsidR="00585653" w:rsidRPr="00585653" w:rsidRDefault="00585653" w:rsidP="00585653">
      <w:pPr>
        <w:pStyle w:val="BodyText"/>
        <w:rPr>
          <w:b/>
          <w:bCs/>
          <w:i/>
          <w:iCs/>
          <w:color w:val="4C94D8" w:themeColor="text2" w:themeTint="80"/>
          <w:lang w:val="pt-BR"/>
        </w:rPr>
      </w:pPr>
      <w:r w:rsidRPr="00585653">
        <w:rPr>
          <w:b/>
          <w:bCs/>
          <w:i/>
          <w:iCs/>
          <w:color w:val="4C94D8" w:themeColor="text2" w:themeTint="80"/>
          <w:lang w:val="pt-BR"/>
        </w:rPr>
        <w:t>A diferença entre um projeto que vira unicórnio e um que é fechado pela Interpol</w:t>
      </w:r>
      <w:r>
        <w:rPr>
          <w:b/>
          <w:bCs/>
          <w:i/>
          <w:iCs/>
          <w:color w:val="4C94D8" w:themeColor="text2" w:themeTint="80"/>
          <w:lang w:val="pt-BR"/>
        </w:rPr>
        <w:t xml:space="preserve">/ ou pelas politicas de reguladores espalhados pelos 05 continentes </w:t>
      </w:r>
      <w:r w:rsidRPr="00585653">
        <w:rPr>
          <w:b/>
          <w:bCs/>
          <w:i/>
          <w:iCs/>
          <w:color w:val="4C94D8" w:themeColor="text2" w:themeTint="80"/>
          <w:lang w:val="pt-BR"/>
        </w:rPr>
        <w:t xml:space="preserve"> está exatamente aqui: saber ser leve, mas não ser ilegal.</w:t>
      </w:r>
    </w:p>
    <w:bookmarkEnd w:id="74"/>
    <w:bookmarkEnd w:id="77"/>
    <w:p w14:paraId="5EE196F8" w14:textId="77777777" w:rsidR="00585653" w:rsidRPr="00585653" w:rsidRDefault="00585653" w:rsidP="00585653">
      <w:pPr>
        <w:pStyle w:val="BodyText"/>
        <w:rPr>
          <w:lang w:val="pt-BR"/>
        </w:rPr>
      </w:pPr>
    </w:p>
    <w:sectPr w:rsidR="00585653" w:rsidRPr="00585653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BC9D" w14:textId="77777777" w:rsidR="00DB4A1D" w:rsidRDefault="00DB4A1D">
      <w:pPr>
        <w:spacing w:line="240" w:lineRule="auto"/>
      </w:pPr>
      <w:r>
        <w:separator/>
      </w:r>
    </w:p>
  </w:endnote>
  <w:endnote w:type="continuationSeparator" w:id="0">
    <w:p w14:paraId="61E9907D" w14:textId="77777777" w:rsidR="00DB4A1D" w:rsidRDefault="00DB4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6003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85A4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B4F6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F39C" w14:textId="77777777" w:rsidR="00DB4A1D" w:rsidRDefault="00DB4A1D">
      <w:r>
        <w:separator/>
      </w:r>
    </w:p>
  </w:footnote>
  <w:footnote w:type="continuationSeparator" w:id="0">
    <w:p w14:paraId="7356FC66" w14:textId="77777777" w:rsidR="00DB4A1D" w:rsidRDefault="00DB4A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C053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0BB2C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D93F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6DFCC1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3CA294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D92ADC3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8F97876"/>
    <w:multiLevelType w:val="multilevel"/>
    <w:tmpl w:val="2E60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F6496"/>
    <w:multiLevelType w:val="multilevel"/>
    <w:tmpl w:val="4D0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61FC4032"/>
    <w:multiLevelType w:val="multilevel"/>
    <w:tmpl w:val="E73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F13DB3"/>
    <w:multiLevelType w:val="multilevel"/>
    <w:tmpl w:val="639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8012929">
    <w:abstractNumId w:val="7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463157884">
    <w:abstractNumId w:val="2"/>
  </w:num>
  <w:num w:numId="12" w16cid:durableId="21117803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42289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86613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0347152">
    <w:abstractNumId w:val="3"/>
  </w:num>
  <w:num w:numId="16" w16cid:durableId="1043823522">
    <w:abstractNumId w:val="3"/>
  </w:num>
  <w:num w:numId="17" w16cid:durableId="352460463">
    <w:abstractNumId w:val="3"/>
  </w:num>
  <w:num w:numId="18" w16cid:durableId="1238635726">
    <w:abstractNumId w:val="3"/>
  </w:num>
  <w:num w:numId="19" w16cid:durableId="551309872">
    <w:abstractNumId w:val="3"/>
  </w:num>
  <w:num w:numId="20" w16cid:durableId="1591696958">
    <w:abstractNumId w:val="3"/>
  </w:num>
  <w:num w:numId="21" w16cid:durableId="362483758">
    <w:abstractNumId w:val="3"/>
  </w:num>
  <w:num w:numId="22" w16cid:durableId="1495560962">
    <w:abstractNumId w:val="3"/>
  </w:num>
  <w:num w:numId="23" w16cid:durableId="1159466112">
    <w:abstractNumId w:val="3"/>
  </w:num>
  <w:num w:numId="24" w16cid:durableId="894123298">
    <w:abstractNumId w:val="3"/>
  </w:num>
  <w:num w:numId="25" w16cid:durableId="1789664851">
    <w:abstractNumId w:val="3"/>
  </w:num>
  <w:num w:numId="26" w16cid:durableId="1373532739">
    <w:abstractNumId w:val="3"/>
  </w:num>
  <w:num w:numId="27" w16cid:durableId="1402872878">
    <w:abstractNumId w:val="3"/>
  </w:num>
  <w:num w:numId="28" w16cid:durableId="1432775372">
    <w:abstractNumId w:val="3"/>
  </w:num>
  <w:num w:numId="29" w16cid:durableId="1050767535">
    <w:abstractNumId w:val="3"/>
  </w:num>
  <w:num w:numId="30" w16cid:durableId="990718841">
    <w:abstractNumId w:val="3"/>
  </w:num>
  <w:num w:numId="31" w16cid:durableId="1923100300">
    <w:abstractNumId w:val="3"/>
  </w:num>
  <w:num w:numId="32" w16cid:durableId="1557624557">
    <w:abstractNumId w:val="3"/>
  </w:num>
  <w:num w:numId="33" w16cid:durableId="1895005452">
    <w:abstractNumId w:val="3"/>
  </w:num>
  <w:num w:numId="34" w16cid:durableId="1762332728">
    <w:abstractNumId w:val="3"/>
  </w:num>
  <w:num w:numId="35" w16cid:durableId="899173274">
    <w:abstractNumId w:val="3"/>
  </w:num>
  <w:num w:numId="36" w16cid:durableId="2055502848">
    <w:abstractNumId w:val="3"/>
  </w:num>
  <w:num w:numId="37" w16cid:durableId="992638550">
    <w:abstractNumId w:val="3"/>
  </w:num>
  <w:num w:numId="38" w16cid:durableId="1532499735">
    <w:abstractNumId w:val="3"/>
  </w:num>
  <w:num w:numId="39" w16cid:durableId="221598028">
    <w:abstractNumId w:val="3"/>
  </w:num>
  <w:num w:numId="40" w16cid:durableId="623073731">
    <w:abstractNumId w:val="3"/>
  </w:num>
  <w:num w:numId="41" w16cid:durableId="1476681872">
    <w:abstractNumId w:val="3"/>
  </w:num>
  <w:num w:numId="42" w16cid:durableId="527568720">
    <w:abstractNumId w:val="3"/>
  </w:num>
  <w:num w:numId="43" w16cid:durableId="982778500">
    <w:abstractNumId w:val="3"/>
  </w:num>
  <w:num w:numId="44" w16cid:durableId="30224774">
    <w:abstractNumId w:val="3"/>
  </w:num>
  <w:num w:numId="45" w16cid:durableId="2093046178">
    <w:abstractNumId w:val="3"/>
  </w:num>
  <w:num w:numId="46" w16cid:durableId="982466033">
    <w:abstractNumId w:val="3"/>
  </w:num>
  <w:num w:numId="47" w16cid:durableId="1113591587">
    <w:abstractNumId w:val="3"/>
  </w:num>
  <w:num w:numId="48" w16cid:durableId="1567109959">
    <w:abstractNumId w:val="3"/>
  </w:num>
  <w:num w:numId="49" w16cid:durableId="942804158">
    <w:abstractNumId w:val="3"/>
  </w:num>
  <w:num w:numId="50" w16cid:durableId="494338678">
    <w:abstractNumId w:val="3"/>
  </w:num>
  <w:num w:numId="51" w16cid:durableId="196433657">
    <w:abstractNumId w:val="3"/>
  </w:num>
  <w:num w:numId="52" w16cid:durableId="485361323">
    <w:abstractNumId w:val="3"/>
  </w:num>
  <w:num w:numId="53" w16cid:durableId="1857847118">
    <w:abstractNumId w:val="3"/>
  </w:num>
  <w:num w:numId="54" w16cid:durableId="1992250515">
    <w:abstractNumId w:val="3"/>
  </w:num>
  <w:num w:numId="55" w16cid:durableId="618994855">
    <w:abstractNumId w:val="3"/>
  </w:num>
  <w:num w:numId="56" w16cid:durableId="1632202406">
    <w:abstractNumId w:val="3"/>
  </w:num>
  <w:num w:numId="57" w16cid:durableId="1666663376">
    <w:abstractNumId w:val="3"/>
  </w:num>
  <w:num w:numId="58" w16cid:durableId="51737937">
    <w:abstractNumId w:val="3"/>
  </w:num>
  <w:num w:numId="59" w16cid:durableId="802649488">
    <w:abstractNumId w:val="3"/>
  </w:num>
  <w:num w:numId="60" w16cid:durableId="1989163421">
    <w:abstractNumId w:val="3"/>
  </w:num>
  <w:num w:numId="61" w16cid:durableId="1735155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308435907">
    <w:abstractNumId w:val="9"/>
  </w:num>
  <w:num w:numId="63" w16cid:durableId="372006064">
    <w:abstractNumId w:val="5"/>
  </w:num>
  <w:num w:numId="64" w16cid:durableId="1164932493">
    <w:abstractNumId w:val="6"/>
  </w:num>
  <w:num w:numId="65" w16cid:durableId="3987883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85653"/>
    <w:rsid w:val="005F6CBF"/>
    <w:rsid w:val="00643110"/>
    <w:rsid w:val="00746C97"/>
    <w:rsid w:val="008708D9"/>
    <w:rsid w:val="00977478"/>
    <w:rsid w:val="00AF517C"/>
    <w:rsid w:val="00BA612E"/>
    <w:rsid w:val="00BF08D0"/>
    <w:rsid w:val="00CF7597"/>
    <w:rsid w:val="00D90F1F"/>
    <w:rsid w:val="00DB4A1D"/>
    <w:rsid w:val="00E47932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CCE0"/>
  <w15:docId w15:val="{55654B01-3ACE-4C55-8506-B27C38B9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35</Pages>
  <Words>5988</Words>
  <Characters>34136</Characters>
  <Application>Microsoft Office Word</Application>
  <DocSecurity>0</DocSecurity>
  <Lines>284</Lines>
  <Paragraphs>80</Paragraphs>
  <ScaleCrop>false</ScaleCrop>
  <Company/>
  <LinksUpToDate>false</LinksUpToDate>
  <CharactersWithSpaces>40044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Rogerio Cezar</cp:lastModifiedBy>
  <cp:revision>2</cp:revision>
  <dcterms:created xsi:type="dcterms:W3CDTF">2026-04-26T09:43:00Z</dcterms:created>
  <dcterms:modified xsi:type="dcterms:W3CDTF">2026-04-26T13:03:00Z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vpvlb2ulb3dru88a1g-19dc8cc3-a312-8891-8000-09eeb28ffe33-20260426094339","ReservedCode1":"","ContentPropagator":"001191110108MACG2KBH8F20000","PropagateID":"d5vpvlb2ulb3dru88a1g-19dc8cc3-a312-8891-8000-09eeb28ffe33-20260426094339","ReservedCode2":""}</vt:lpwstr>
  </property>
</Properties>
</file>