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luxus-nexus-auditoria-de-processos-360"/>
    <w:p>
      <w:pPr>
        <w:pStyle w:val="1"/>
      </w:pPr>
      <w:r>
        <w:t xml:space="preserve">FLUXUS NEXUS — AUDITORIA DE PROCESSOS 360°</w:t>
      </w:r>
    </w:p>
    <w:bookmarkStart w:id="20" w:name="X78ef9a7b0facc71aaa9964c8704ff442e0ddc82"/>
    <w:p>
      <w:pPr>
        <w:pStyle w:val="2"/>
      </w:pPr>
      <w:r>
        <w:t xml:space="preserve">Visão Operacional Ampliada: Liquidação, LPs, Tecnologias e Artefatos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4.0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Auditoria Independente de Processos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Abril 2026 |</w:t>
      </w:r>
      <w:r>
        <w:t xml:space="preserve"> </w:t>
      </w:r>
      <w:r>
        <w:rPr>
          <w:b/>
          <w:bCs/>
        </w:rPr>
        <w:t xml:space="preserve">Classificação:</w:t>
      </w:r>
      <w:r>
        <w:t xml:space="preserve"> </w:t>
      </w:r>
      <w:r>
        <w:t xml:space="preserve">Confidencial — Board &amp; Investidores Anjo</w:t>
      </w:r>
      <w:r>
        <w:br/>
      </w:r>
      <w:r>
        <w:rPr>
          <w:b/>
          <w:bCs/>
        </w:rPr>
        <w:t xml:space="preserve">Origem:</w:t>
      </w:r>
      <w:r>
        <w:t xml:space="preserve"> </w:t>
      </w:r>
      <w:r>
        <w:t xml:space="preserve">Consolidação de 9 documentos de processos (PROCESS_*) + análise de gaps operacionais, fiscais e tecnológicos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93b36e6cfed3b255e192ec0985b80d03575532e"/>
    <w:p>
      <w:pPr>
        <w:pStyle w:val="1"/>
      </w:pPr>
      <w:r>
        <w:t xml:space="preserve">PARTE I: EXECUTIVO DA AUDITORIA DE PROCESSOS</w:t>
      </w:r>
    </w:p>
    <w:bookmarkStart w:id="22" w:name="Xd0b59fdd4ea134168e68c153a00e462d0da7afe"/>
    <w:p>
      <w:pPr>
        <w:pStyle w:val="2"/>
      </w:pPr>
      <w:r>
        <w:t xml:space="preserve">1.1 Diagnóstico Sintético dos 9 Documentos de Processos Auditados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02"/>
        <w:gridCol w:w="1476"/>
        <w:gridCol w:w="1073"/>
        <w:gridCol w:w="2416"/>
        <w:gridCol w:w="2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Pontuação (1-10)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BACKUP_DISCUSSAO_BRUTA_RENTABILIDADE.md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Discussão interna valiosa, mas desorganizada. Revela problema grave: LP pode ter prejuízo unitário com IOF. Não é um documento de processo formal.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PROCESS_LP_CASH_CYCLE.md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ciclo de caixa claro. Três opções (Auto-Refill, Netting, Saque Manual) bem definidas. Falta: custos de cada modalidade, SLAs de re-liquidação, fallback se VASP falhar.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PROCESS_LP_DASHBOARD_SPEC.md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de LP com Forecasting e Alocação Híbrida é inovador. Falta: especificação de API, mockups de UI, integração com Matching Engine, testes de usabilidade.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PROCESS_LP_TAX_PLAN_BR.md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Tese de isenção até R$ 35k/mês é correta, mas incompleta. Falta: cenário acima do limite, IR retido na fonte, PIS/COFINS sobre serviço, ISS, cenário PJ vs PF, declaração de ajuste anual.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PROCESS_MODUS_OPERANDI.md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 descrição do fluxo Shadow-Crypto. Bem escrito e claro. Falta: diagrama de sequência formal, especificação de estados de erro, métricas de sucesso por etapa.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PROCESS_TECHNICAL_GLOSSARY.md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Glossário completo e útil. Define bem GTV, Capital Velocity, Netting, Minihash, Macrohash. Falta: definições de KPIs operacionais (NPL, churn, CAC, LTV).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PROCESS_USDT_MODUS_OPERANDI.md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 explicação do USDT como camada de transporte. Falta: análise de risco de despeg da stablecoin, plano de contingência para blacklisting de USDT, alternativas (USDC, PYUSD).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PROCESS_LP_TAX_PLAN_BR.docx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conteúdo do .md, mas em formato Word. Duplicação de artefatos gera risco de divergência. Recomendar single source of truth.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PROCESS_OPERATIONAL_HANDBOOK.docx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misto: glossário + matching engine + cash cycle. Útil como handbook, mas sem hierarquia clara. Falta: índice, versionamento, responsáveis por seção.</w:t>
            </w:r>
          </w:p>
        </w:tc>
      </w:tr>
    </w:tbl>
    <w:p>
      <w:pPr>
        <w:pStyle w:val="a0"/>
      </w:pPr>
      <w:r>
        <w:rPr>
          <w:b/>
          <w:bCs/>
        </w:rPr>
        <w:t xml:space="preserve">Média Geral da Base de Processos:</w:t>
      </w:r>
      <w:r>
        <w:t xml:space="preserve"> </w:t>
      </w:r>
      <w:r>
        <w:t xml:space="preserve">6,6/10 —</w:t>
      </w:r>
      <w:r>
        <w:t xml:space="preserve"> </w:t>
      </w:r>
      <w:r>
        <w:rPr>
          <w:b/>
          <w:bCs/>
        </w:rPr>
        <w:t xml:space="preserve">Boa intenção, mas com lacunas operacionais críticas em custos, fallback, risco de stablecoin e governança documental.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444edf5f3405bca7942f74579d92e3d95a8d520"/>
    <w:p>
      <w:pPr>
        <w:pStyle w:val="1"/>
      </w:pPr>
      <w:r>
        <w:t xml:space="preserve">PARTE II: PONTOS FORTES (O QUE ESTÁ BEM CONSTRUÍDO)</w:t>
      </w:r>
    </w:p>
    <w:bookmarkStart w:id="24" w:name="Xc01dc243c45e52faa7e908c1d9e8c55b3c1a803"/>
    <w:p>
      <w:pPr>
        <w:pStyle w:val="2"/>
      </w:pPr>
      <w:r>
        <w:t xml:space="preserve">2.1 Conceito Shadow-Crypto (PROCESS_MODUS_OPERANDI.md)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Fortaleza:</w:t>
      </w:r>
      <w:r>
        <w:t xml:space="preserve"> </w:t>
      </w:r>
      <w:r>
        <w:t xml:space="preserve">O usuário final nunca vê cripto. Fiat → Stablecoin → Fiat é invisível.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Validação de Mercado:</w:t>
      </w:r>
      <w:r>
        <w:t xml:space="preserve"> </w:t>
      </w:r>
      <w:r>
        <w:t xml:space="preserve">Em 2026, 90% do volume de cartões crypto usa esta abordagem (Visa/Mastercard dados).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Diferencial:</w:t>
      </w:r>
      <w:r>
        <w:t xml:space="preserve"> </w:t>
      </w:r>
      <w:r>
        <w:t xml:space="preserve">Remove a barreira psicológica #1 de adoção massiva.</w:t>
      </w:r>
    </w:p>
    <w:bookmarkEnd w:id="24"/>
    <w:bookmarkStart w:id="25" w:name="X1df91268c8fa10c32ddb86238ab02f90e937899"/>
    <w:p>
      <w:pPr>
        <w:pStyle w:val="2"/>
      </w:pPr>
      <w:r>
        <w:t xml:space="preserve">2.2 Três Modalidades de Re-Liquidação (PROCESS_LP_CASH_CYCLE.md)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Auto-Refill:</w:t>
      </w:r>
      <w:r>
        <w:t xml:space="preserve"> </w:t>
      </w:r>
      <w:r>
        <w:t xml:space="preserve">Para LPs profissionais (velocidade).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Netting:</w:t>
      </w:r>
      <w:r>
        <w:t xml:space="preserve"> </w:t>
      </w:r>
      <w:r>
        <w:t xml:space="preserve">Para LPs estratégicos (custo zero, blindagem fiscal).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Saque Manual:</w:t>
      </w:r>
      <w:r>
        <w:t xml:space="preserve"> </w:t>
      </w:r>
      <w:r>
        <w:t xml:space="preserve">Para LPs autônomos (soberania).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Fortaleza:</w:t>
      </w:r>
      <w:r>
        <w:t xml:space="preserve"> </w:t>
      </w:r>
      <w:r>
        <w:t xml:space="preserve">Cobre todos os perfis de LP em um único protocolo.</w:t>
      </w:r>
    </w:p>
    <w:bookmarkEnd w:id="25"/>
    <w:bookmarkStart w:id="26" w:name="X23747de63d629d9f4871539b06cc8b43b765d9c"/>
    <w:p>
      <w:pPr>
        <w:pStyle w:val="2"/>
      </w:pPr>
      <w:r>
        <w:t xml:space="preserve">2.3 Dashboard de Alocação Híbrida (PROCESS_LP_DASHBOARD_SPEC.md)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Forecasting com Heatmap:</w:t>
      </w:r>
      <w:r>
        <w:t xml:space="preserve"> </w:t>
      </w:r>
      <w:r>
        <w:t xml:space="preserve">Previsão de demanda por corredor.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Slider Manual/Smart:</w:t>
      </w:r>
      <w:r>
        <w:t xml:space="preserve"> </w:t>
      </w:r>
      <w:r>
        <w:t xml:space="preserve">Delegação de decisão ao LP ou à 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Time-Out Configurável:</w:t>
      </w:r>
      <w:r>
        <w:t xml:space="preserve"> </w:t>
      </w:r>
      <w:r>
        <w:t xml:space="preserve">Proteção contra volatilidade (&gt;0,2% em 15min aborta espera).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Fortaleza:</w:t>
      </w:r>
      <w:r>
        <w:t xml:space="preserve"> </w:t>
      </w:r>
      <w:r>
        <w:t xml:space="preserve">Transforma o LP de</w:t>
      </w:r>
      <w:r>
        <w:t xml:space="preserve"> </w:t>
      </w:r>
      <w:r>
        <w:t xml:space="preserve">“</w:t>
      </w:r>
      <w:r>
        <w:t xml:space="preserve">operador passivo</w:t>
      </w:r>
      <w:r>
        <w:t xml:space="preserve">”</w:t>
      </w:r>
      <w:r>
        <w:t xml:space="preserve"> </w:t>
      </w:r>
      <w:r>
        <w:t xml:space="preserve">em</w:t>
      </w:r>
      <w:r>
        <w:t xml:space="preserve"> </w:t>
      </w:r>
      <w:r>
        <w:t xml:space="preserve">“</w:t>
      </w:r>
      <w:r>
        <w:t xml:space="preserve">gestor de tesouraria ativo</w:t>
      </w:r>
      <w:r>
        <w:t xml:space="preserve">”</w:t>
      </w:r>
      <w:r>
        <w:t xml:space="preserve">.</w:t>
      </w:r>
    </w:p>
    <w:bookmarkEnd w:id="26"/>
    <w:bookmarkStart w:id="27" w:name="X4055693d946ece0bc9fbdff5addded52345d5b5"/>
    <w:p>
      <w:pPr>
        <w:pStyle w:val="2"/>
      </w:pPr>
      <w:r>
        <w:t xml:space="preserve">2.4 Micro-hash e Macrohash (PROCESS_TECHNICAL_GLOSSARY.md)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Minihash:</w:t>
      </w:r>
      <w:r>
        <w:t xml:space="preserve"> </w:t>
      </w:r>
      <w:r>
        <w:t xml:space="preserve">DNA de cada transação (estado, parte, valor).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Macrohash:</w:t>
      </w:r>
      <w:r>
        <w:t xml:space="preserve"> </w:t>
      </w:r>
      <w:r>
        <w:t xml:space="preserve">Âncora horária na blockchain.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Fortaleza:</w:t>
      </w:r>
      <w:r>
        <w:t xml:space="preserve"> </w:t>
      </w:r>
      <w:r>
        <w:t xml:space="preserve">Auditabilidade total sem expor dados PII. Compatível com Bancos Centrais.</w:t>
      </w:r>
    </w:p>
    <w:bookmarkEnd w:id="27"/>
    <w:bookmarkStart w:id="28" w:name="Xd0839b1a928c66ffda3db3b15133519f9f50a0e"/>
    <w:p>
      <w:pPr>
        <w:pStyle w:val="2"/>
      </w:pPr>
      <w:r>
        <w:t xml:space="preserve">2.5 Tese de Isenção Fiscal (PROCESS_LP_TAX_PLAN_BR.md)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Art. 22 Lei 9.250/95:</w:t>
      </w:r>
      <w:r>
        <w:t xml:space="preserve"> </w:t>
      </w:r>
      <w:r>
        <w:t xml:space="preserve">Isenção até R$ 35k/mês em alienações.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RFB 1.888:</w:t>
      </w:r>
      <w:r>
        <w:t xml:space="preserve"> </w:t>
      </w:r>
      <w:r>
        <w:t xml:space="preserve">Reporte obrigatório, mas não necessariamente tributação.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Fortaleza:</w:t>
      </w:r>
      <w:r>
        <w:t xml:space="preserve"> </w:t>
      </w:r>
      <w:r>
        <w:t xml:space="preserve">Argumento fiscal claro para atrair LPs de varejo.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094e488e40520c46b00dac3826b6cdeda64a3f0"/>
    <w:p>
      <w:pPr>
        <w:pStyle w:val="1"/>
      </w:pPr>
      <w:r>
        <w:t xml:space="preserve">PARTE III: LACUNAS CRÍTICAS IDENTIFICADAS (O QUE PRECISA DE VALIDAÇÃO)</w:t>
      </w:r>
    </w:p>
    <w:bookmarkStart w:id="30" w:name="X604767d732e54d23cff7e0980561fd7a960bc4f"/>
    <w:p>
      <w:pPr>
        <w:pStyle w:val="2"/>
      </w:pPr>
      <w:r>
        <w:t xml:space="preserve">3.1 PROBLEMA GRAVÍSSIMO: O</w:t>
      </w:r>
      <w:r>
        <w:t xml:space="preserve"> </w:t>
      </w:r>
      <w:r>
        <w:t xml:space="preserve">“</w:t>
      </w:r>
      <w:r>
        <w:t xml:space="preserve">IOF MATA O LP</w:t>
      </w:r>
      <w:r>
        <w:t xml:space="preserve">”</w:t>
      </w:r>
      <w:r>
        <w:t xml:space="preserve"> </w:t>
      </w:r>
      <w:r>
        <w:t xml:space="preserve">(Revelado no BACKUP)</w:t>
      </w:r>
    </w:p>
    <w:p>
      <w:pPr>
        <w:pStyle w:val="FirstParagraph"/>
      </w:pPr>
      <w:r>
        <w:rPr>
          <w:b/>
          <w:bCs/>
        </w:rPr>
        <w:t xml:space="preserve">O que o documento bruto revela:</w:t>
      </w:r>
      <w:r>
        <w:t xml:space="preserve"> </w:t>
      </w:r>
      <w:r>
        <w:t xml:space="preserve">- Spread do LP: ~0,34% (42,8% de 0,8%)</w:t>
      </w:r>
      <w:r>
        <w:t xml:space="preserve"> </w:t>
      </w:r>
      <w:r>
        <w:t xml:space="preserve">- IOF na entrada (On-Ramp): 0,38%</w:t>
      </w:r>
      <w:r>
        <w:t xml:space="preserve"> </w:t>
      </w:r>
      <w:r>
        <w:t xml:space="preserve">- IOF na saída (Off-Ramp): 0,38%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LP opera com prejuízo unitário de R$ -8,85 em transações pequenas.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Caso Roberta:</w:t>
      </w:r>
      <w:r>
        <w:t xml:space="preserve"> </w:t>
      </w:r>
      <w:r>
        <w:t xml:space="preserve">Entrou com R$ 1.275, saiu com R$ -5.803 após 803 transações.</w:t>
      </w:r>
    </w:p>
    <w:p>
      <w:pPr>
        <w:pStyle w:val="a0"/>
      </w:pPr>
      <w:r>
        <w:rPr>
          <w:b/>
          <w:bCs/>
        </w:rPr>
        <w:t xml:space="preserve">Por que isso é uma LACUNA ESTRUTURAL:</w:t>
      </w:r>
      <w:r>
        <w:t xml:space="preserve"> </w:t>
      </w:r>
      <w:r>
        <w:t xml:space="preserve">| Documento | Menciona IOF? | Menciona prejuízo do LP? | Propõe solução? |</w:t>
      </w:r>
      <w:r>
        <w:t xml:space="preserve"> </w:t>
      </w:r>
      <w:r>
        <w:t xml:space="preserve">|————-|—————|————————–|—————–|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PROCESS_LP_TAX_PLAN_BR.md</w:t>
      </w:r>
      <w:r>
        <w:t xml:space="preserve"> </w:t>
      </w:r>
      <w:r>
        <w:t xml:space="preserve">| Sim (0,38%) | Não | Não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PROCESS_LP_CASH_CYCLE.md</w:t>
      </w:r>
      <w:r>
        <w:t xml:space="preserve"> </w:t>
      </w:r>
      <w:r>
        <w:t xml:space="preserve">| Não | Não | Não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PROCESS_LP_DASHBOARD_SPEC.md</w:t>
      </w:r>
      <w:r>
        <w:t xml:space="preserve"> </w:t>
      </w:r>
      <w:r>
        <w:t xml:space="preserve">| Não | Não | Não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BACKUP_DISCUSSAO_BRUTA_RENTABILIDADE.md</w:t>
      </w:r>
      <w:r>
        <w:t xml:space="preserve"> </w:t>
      </w:r>
      <w:r>
        <w:t xml:space="preserve">| Sim | Sim (R$ -8,85) | Sim (Cold Start v1.0) |</w:t>
      </w:r>
    </w:p>
    <w:p>
      <w:pPr>
        <w:pStyle w:val="a0"/>
      </w:pPr>
      <w:r>
        <w:rPr>
          <w:b/>
          <w:bCs/>
        </w:rPr>
        <w:t xml:space="preserve">Conclusão:</w:t>
      </w:r>
      <w:r>
        <w:t xml:space="preserve"> </w:t>
      </w:r>
      <w:r>
        <w:t xml:space="preserve">O problema foi identificado em discussão interna, mas</w:t>
      </w:r>
      <w:r>
        <w:t xml:space="preserve"> </w:t>
      </w:r>
      <w:r>
        <w:rPr>
          <w:b/>
          <w:bCs/>
        </w:rPr>
        <w:t xml:space="preserve">não foi incorporado formalmente nos documentos de processo</w:t>
      </w:r>
      <w:r>
        <w:t xml:space="preserve">. Os LPs que lerem apenas os documentos oficiais não saberão do risco.</w:t>
      </w:r>
    </w:p>
    <w:bookmarkEnd w:id="30"/>
    <w:bookmarkStart w:id="31" w:name="liquidação-e-rails-gaps-operacionais"/>
    <w:p>
      <w:pPr>
        <w:pStyle w:val="2"/>
      </w:pPr>
      <w:r>
        <w:t xml:space="preserve">3.2 Liquidação e Rails — GAPS OPERACIONAIS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4"/>
        <w:gridCol w:w="2562"/>
        <w:gridCol w:w="2562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Fallback se VASP Falhar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VASP parceira (Mercado Bitcoin, Bitso) falhar no Auto-Refill, o LP fica com USDT travado e sem re-liquidação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Corrida de LPs, quebra de confiança, liquidez evapora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Análise de Custo por Modalidade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comparação: custo do Auto-Refill (spread VASP + gas) vs. Netting (zero) vs. Saque Manual (spread P2P externo)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não consegue tomar decisão informada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SLA de Re-Liquidação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tempo o LP espera no estado</w:t>
            </w:r>
            <w:r>
              <w:t xml:space="preserve"> </w:t>
            </w:r>
            <w:r>
              <w:rPr>
                <w:rStyle w:val="VerbatimChar"/>
              </w:rPr>
              <w:t xml:space="preserve">PENDING_REFILL</w:t>
            </w:r>
            <w:r>
              <w:t xml:space="preserve">? 5 min? 2 horas? 2 dias?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Ansiedade do LP, churn, capital parado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Plano para Blacklist de Stablecoin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USDT for bloqueado/blacklistado pela Tether (caso já ocorreu), todo o sistema 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Morte súbita do protocolo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Alternativa a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menção a USDC, PYUSD, ou Drex como backup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Concentração de risco em um ativo</w:t>
            </w:r>
          </w:p>
        </w:tc>
      </w:tr>
    </w:tbl>
    <w:bookmarkEnd w:id="31"/>
    <w:bookmarkStart w:id="32" w:name="X39cf41a71400dad27c73312f8d5f661e9d5e789"/>
    <w:p>
      <w:pPr>
        <w:pStyle w:val="2"/>
      </w:pPr>
      <w:r>
        <w:t xml:space="preserve">3.3 Liquidez P2P e Matching — GAPS ESTRATÉGICOS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4"/>
        <w:gridCol w:w="2562"/>
        <w:gridCol w:w="2562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Simulação de Escala com 1000+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matching engine foi testado conceitualmente, mas não há simulação de: (a) competição excessiva (race to bottom no spread), (b) concentração de liquidez (5 LPs dominam 80%), (c) sybil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Oligopólio, fragilidade sistêmica, perda de descentralização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Mecanismo de Incentivo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início, não há LPs suficientes. Como garantir liquidez nos primeiros 100 dias?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on arrival — nenhuma ordem é liquidada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Gestão de Risco de Contraparte do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LP pode ser um mule account, uma conta hackeada, ou um operador de lavagem de dinheiro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failure, multas, fechamento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Análise de Capital Velocity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glossário define Capital Velocity, mas não há: (a) média histórica por corredor, (b) giro mínimo para viabilidade, (c) capital ótimo por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subcapitalizado ou supercapitalizado</w:t>
            </w:r>
          </w:p>
        </w:tc>
      </w:tr>
    </w:tbl>
    <w:bookmarkEnd w:id="32"/>
    <w:bookmarkStart w:id="33" w:name="dashboard-e-ux-do-lp-gaps-de-produto"/>
    <w:p>
      <w:pPr>
        <w:pStyle w:val="2"/>
      </w:pPr>
      <w:r>
        <w:t xml:space="preserve">3.4 Dashboard e UX do LP — GAPS DE PRODUTO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4"/>
        <w:gridCol w:w="2562"/>
        <w:gridCol w:w="2562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Mockups de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descreve widgets, mas não há imagens, wireframes, ou protótipos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sem norte visual, retrabalho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Especificação de API do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endpoints REST, schemas JSON, ou WebSocket spec para o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lenta, bugs de comunicação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Testes de Usabilidade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menção a testes com LPs reais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que não resolve dor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Mobile App para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é web-only? LPs precisam monitorar em tempo real via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adoção, LPs não reagem rápido o suficiente</w:t>
            </w:r>
          </w:p>
        </w:tc>
      </w:tr>
    </w:tbl>
    <w:bookmarkEnd w:id="33"/>
    <w:bookmarkStart w:id="34" w:name="fiscal-e-tributário-gaps-fiscais"/>
    <w:p>
      <w:pPr>
        <w:pStyle w:val="2"/>
      </w:pPr>
      <w:r>
        <w:t xml:space="preserve">3.5 Fiscal e Tributário — GAPS FISCAIS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4"/>
        <w:gridCol w:w="2562"/>
        <w:gridCol w:w="2562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Cenário Acima de R$ 35k/mês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 quando o LP passa do limite? Alíquota progressiva de 15% a 22,5%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surpreso com imposto, churn, reputação negativa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Análise PJ vs 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como Pessoa Jurídica (MEI, Ltda) tem tratamento diferente: Lucro Presumido vs. Simples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fiscal subótima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ISS sobre Serviço de Orquestração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plataforma FLUXUS presta serviço de orquestração. ISS incide? 2% a 5% conforme 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não modelado, margem erodida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PIS/COFINS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da plataforma está sujeita a PIS/COFINS (3,65% cumulativo ou 1,65% + 7,6% não-cumulativo)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 fiscalmente impreciso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IOF na Re-liquidação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IOF incide na conversão de USDT → BRL (Off-Ramp). O documento de cash cycle não menciona.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Prejuízo do LP, como revelado no BACKUP</w:t>
            </w:r>
          </w:p>
        </w:tc>
      </w:tr>
    </w:tbl>
    <w:bookmarkEnd w:id="34"/>
    <w:bookmarkStart w:id="35" w:name="Xf52c055ce6f3aef0b4429a01c057d61a318af65"/>
    <w:p>
      <w:pPr>
        <w:pStyle w:val="2"/>
      </w:pPr>
      <w:r>
        <w:t xml:space="preserve">3.6 Governança Documental — GAPS ADMINISTRATIVOS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4"/>
        <w:gridCol w:w="2562"/>
        <w:gridCol w:w="2562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Duplicação de Artefatos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PROCESS_LP_TAX_PLAN_BR.md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com mesmo conteúdo. Qual é a fonte da verdade?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Divergência, confusão, erro operacional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Versionamento Semântico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têm</w:t>
            </w:r>
            <w:r>
              <w:t xml:space="preserve"> </w:t>
            </w:r>
            <w:r>
              <w:t xml:space="preserve">“</w:t>
            </w:r>
            <w:r>
              <w:t xml:space="preserve">Versão 1.0</w:t>
            </w:r>
            <w:r>
              <w:t xml:space="preserve">”</w:t>
            </w:r>
            <w:r>
              <w:t xml:space="preserve">, mas não há changelog, nem autor, nem data de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Obsolescência sem controle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Índice ou Mapa de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diagrama de quais documentos dependem de quais. É uma</w:t>
            </w:r>
            <w:r>
              <w:t xml:space="preserve"> </w:t>
            </w:r>
            <w:r>
              <w:t xml:space="preserve">“</w:t>
            </w:r>
            <w:r>
              <w:t xml:space="preserve">sopa</w:t>
            </w:r>
            <w:r>
              <w:t xml:space="preserve">”</w:t>
            </w:r>
            <w:r>
              <w:t xml:space="preserve"> </w:t>
            </w:r>
            <w:r>
              <w:t xml:space="preserve">de 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Dificuldade de onboarding, erros de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RACI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é responsável por manter cada documento? Quem aprova? Quem executa?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Accountability zero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96" w:name="X2daf35f19825777b63ae94700ff857f062e371a"/>
    <w:p>
      <w:pPr>
        <w:pStyle w:val="1"/>
      </w:pPr>
      <w:r>
        <w:t xml:space="preserve">PARTE IV: DOCUMENTO ÚNICO — VISÃO OPERACIONAL AMPLIADA DE PROCESSOS</w:t>
      </w:r>
    </w:p>
    <w:bookmarkStart w:id="37" w:name="estrutura-do-documento-único"/>
    <w:p>
      <w:pPr>
        <w:pStyle w:val="2"/>
      </w:pPr>
      <w:r>
        <w:t xml:space="preserve">4.1 Estrutura do Documento Único</w:t>
      </w:r>
    </w:p>
    <w:p>
      <w:pPr>
        <w:pStyle w:val="FirstParagraph"/>
      </w:pPr>
      <w:r>
        <w:t xml:space="preserve">O documento a seguir consolida</w:t>
      </w:r>
      <w:r>
        <w:t xml:space="preserve"> </w:t>
      </w:r>
      <w:r>
        <w:rPr>
          <w:b/>
          <w:bCs/>
        </w:rPr>
        <w:t xml:space="preserve">toda a operação FLUXUS</w:t>
      </w:r>
      <w:r>
        <w:t xml:space="preserve"> </w:t>
      </w:r>
      <w:r>
        <w:t xml:space="preserve">em uma visão de 360°, organizada em</w:t>
      </w:r>
      <w:r>
        <w:t xml:space="preserve"> </w:t>
      </w:r>
      <w:r>
        <w:rPr>
          <w:b/>
          <w:bCs/>
        </w:rPr>
        <w:t xml:space="preserve">10 Capítulos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50 Páginas</w:t>
      </w:r>
      <w:r>
        <w:t xml:space="preserve">. Cada página indica: (a) o que deve conter, (b) as tecnologias envolvidas, (c) os artefatos de entrega, e (d) as validações necessárias.</w:t>
      </w:r>
    </w:p>
    <w:p>
      <w:r>
        <w:pict>
          <v:rect style="width:0;height:1.5pt" o:hralign="center" o:hrstd="t" o:hr="t"/>
        </w:pict>
      </w:r>
    </w:p>
    <w:bookmarkEnd w:id="37"/>
    <w:bookmarkStart w:id="43" w:name="Xca8955e3310611fe9fcd13d9659753d854f6bf7"/>
    <w:p>
      <w:pPr>
        <w:pStyle w:val="2"/>
      </w:pPr>
      <w:r>
        <w:t xml:space="preserve">CAPÍTULO 1: ESTRATÉGIA DE LIQUIDEZ E ECONOMIA DOS LPs</w:t>
      </w:r>
    </w:p>
    <w:bookmarkStart w:id="38" w:name="X0c0701031b5aababe591df771d7841d27976ff4"/>
    <w:p>
      <w:pPr>
        <w:pStyle w:val="3"/>
      </w:pPr>
      <w:r>
        <w:t xml:space="preserve">Página 1.1: A Matemática da Rentabilidade do LP — Cenário Realista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Planilha de custos completos: spread recebido (0,34%) vs. IOF (0,38%) vs. taxa VASP vs. gas vs. custo fixo Dock, (b) Break-even analysis por ticket médio, (c) Cenário Roberta revisado com solução, (d) Simulação de 1.000 LPs com distribuição de capital.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Python (Pandas, NumPy) + Jupyter Notebook + Google Sheets/Excel.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Planilha interativa de rentabilidade, (b) Gráfico de break-even, (c) Relatório de sensibilidade (quanto o IOF precisa cair para viabilizar?).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Revisão por contador + 5 LPs beta-testers.</w:t>
      </w:r>
    </w:p>
    <w:bookmarkEnd w:id="38"/>
    <w:bookmarkStart w:id="39" w:name="X6bb71917b6679554d2467218c5e088e518b7ef4"/>
    <w:p>
      <w:pPr>
        <w:pStyle w:val="3"/>
      </w:pPr>
      <w:r>
        <w:t xml:space="preserve">Página 1.2: O Paradoxo do IOF e a Solução Estrutural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Por que o IOF mata o LP em tickets pequenos, (b) Solução 1: Subsídio da plataforma nos primeiros 90 dias (Cold Start), (c) Solução 2: Minimo ticket de R$ 500 para viabilidade, (d) Solução 3: Netting prioritário (sem IOF), (e) Solução 4: Negociação de IOF zero com BCB para remessas P2P (lobby regulatório).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N/A (estratégia/fiscal).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Proposta de subsídio Cold Start, (b) Análise de lobby regulatório, (c) Comunicado aos LPs.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Aprovação do board; consulta ao BCB.</w:t>
      </w:r>
    </w:p>
    <w:bookmarkEnd w:id="39"/>
    <w:bookmarkStart w:id="40" w:name="página-1.3-capital-velocity-e-giro-ótimo"/>
    <w:p>
      <w:pPr>
        <w:pStyle w:val="3"/>
      </w:pPr>
      <w:r>
        <w:t xml:space="preserve">Página 1.3: Capital Velocity e Giro Ótimo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Definição formal de Capital Velocity (GTV / Capital Médio), (b) Giro mínimo viável por corredor (3x/dia? 5x/dia?), (c) Capital ótimo por LP por corredor, (d) Penalidade por capital parado.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Python (otimização) + PostgreSQL (dados históricos).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Calculadora de capital ótimo, (b) Heatmap de giro por corredor/horário, (c) Alertas de capital parado.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Backtesting com dados simulados; calibração com LPs reais.</w:t>
      </w:r>
    </w:p>
    <w:bookmarkEnd w:id="40"/>
    <w:bookmarkStart w:id="41" w:name="X37fff95f3cf2b08ed19ccb267a4f40e083a375f"/>
    <w:p>
      <w:pPr>
        <w:pStyle w:val="3"/>
      </w:pPr>
      <w:r>
        <w:t xml:space="preserve">Página 1.4: Incentivos de Cold Start e Bootstrapping de Liquidez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Fase 0: Plataforma como LP próprio (tesouraria inicial), (b) Fase 1: Bônus de pioneiro (yield extra 2% a.p. por 90 dias), (c) Fase 2: Programa de indicação (LP indica LP = bônus), (d) Fase 3: Liquidez institucional (market makers).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Smart Contracts (distribuição de bônus) + CRM (HubSpot/Salesforce).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Programa de incentivos documentado, (b) Contrato de bônus, (c) Dashboard de acompanhamento.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Meta: 100 LPs ativos em 90 dias; CAC por LP &lt; R$ 500.</w:t>
      </w:r>
    </w:p>
    <w:bookmarkEnd w:id="41"/>
    <w:bookmarkStart w:id="42" w:name="X93e3d45e48fd22677efab54e3555d3ccfdf0642"/>
    <w:p>
      <w:pPr>
        <w:pStyle w:val="3"/>
      </w:pPr>
      <w:r>
        <w:t xml:space="preserve">Página 1.5: Gestão de Risco de Contraparte do LP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KYC/KYB em 3 níveis para LP, (b) Análise de fonte de fundos (Source of Wealth), (c) Score de risco de compliance, (d) Limites dinâmicos por score, (e) Congelamento e investigação.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SumSub + Chainalysis + Machine Learning (scoring).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Política de onboarding de LP, (b) Matriz de risco, (c) Procedimento de congelamento.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Auditoria de compliance; zero LPs sancionados/OFAC.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fcfd63fd0169022baf63dffd7d639ba6cc58d98"/>
    <w:p>
      <w:pPr>
        <w:pStyle w:val="2"/>
      </w:pPr>
      <w:r>
        <w:t xml:space="preserve">CAPÍTULO 2: CICLO DE CAIXA E RE-LIQUIDAÇÃO</w:t>
      </w:r>
    </w:p>
    <w:bookmarkStart w:id="44" w:name="X8812f0da9139051adc74c27ec65b5e23c2604ec"/>
    <w:p>
      <w:pPr>
        <w:pStyle w:val="3"/>
      </w:pPr>
      <w:r>
        <w:t xml:space="preserve">Página 2.1: Auto-Refill — Especificação Completa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Fluxo detalhado:</w:t>
      </w:r>
      <w:r>
        <w:t xml:space="preserve"> </w:t>
      </w:r>
      <w:r>
        <w:rPr>
          <w:rStyle w:val="VerbatimChar"/>
        </w:rPr>
        <w:t xml:space="preserve">SETTLED</w:t>
      </w:r>
      <w:r>
        <w:t xml:space="preserve"> </w:t>
      </w:r>
      <w:r>
        <w:t xml:space="preserve">→ ordem de venda → PIX, (b) Custos: spread VASP (0,1%–0,5%) + gas (US$ 0,01) + IOF (0,38%), (c) SLAs: tempo máximo de 15 minutos para</w:t>
      </w:r>
      <w:r>
        <w:t xml:space="preserve"> </w:t>
      </w:r>
      <w:r>
        <w:rPr>
          <w:rStyle w:val="VerbatimChar"/>
        </w:rPr>
        <w:t xml:space="preserve">CYCLE_COMPLETED</w:t>
      </w:r>
      <w:r>
        <w:t xml:space="preserve">, (d) Fallback se VASP falhar.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APIs VASP (REST) + Webhooks + Smart Contracts + Celery (workers).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Diagrama de sequência, (b) Especificação de API da VASP, (c) Matriz de fallback.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Teste de integração com 3 VASPs; medição de latência P95.</w:t>
      </w:r>
    </w:p>
    <w:bookmarkEnd w:id="44"/>
    <w:bookmarkStart w:id="45" w:name="X037fd2746ded65795132c7c20b3455f9d4aa09b"/>
    <w:p>
      <w:pPr>
        <w:pStyle w:val="3"/>
      </w:pPr>
      <w:r>
        <w:t xml:space="preserve">Página 2.2: Netting — Especificação Completa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Algoritmo de matching reverso, (b) Prioridade de ordens em janela de espera, (c) Limite de volatilidade (aborta se &gt;0,2% em 15min), (d) Custo zero: sem taxas, sem IOF, sem gas.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Matching Engine + Redis (fila de espera) + PostgreSQL (histórico).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Pseudocódigo do matching reverso, (b) Simulação de eficiência de netting por corredor, (c) Dashboard de oportunidades de netting.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Simulação com 6 meses de dados; taxa de netting &gt; 30%.</w:t>
      </w:r>
    </w:p>
    <w:bookmarkEnd w:id="45"/>
    <w:bookmarkStart w:id="46" w:name="X406816e075a931735c70cecc2026525edc9530e"/>
    <w:p>
      <w:pPr>
        <w:pStyle w:val="3"/>
      </w:pPr>
      <w:r>
        <w:t xml:space="preserve">Página 2.3: Saque Manual — Especificação Completa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Solicitação de withdraw, (b) Liberação para external wallet, (c) Custos: gas (US$ 0,01) + spread P2P externo (1%–3%), (d) Riscos: self-custody, phishing, perda de chave.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Smart Contracts (withdraw) + Privy (embedded wallet) + Notificações (push/email).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Fluxo de saque, (b) Termo de responsabilidade, (c) Guia de segurança para LP.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Teste de segurança; simulação de perda de chave.</w:t>
      </w:r>
    </w:p>
    <w:bookmarkEnd w:id="46"/>
    <w:bookmarkStart w:id="47" w:name="X586703403eec925e526c1cf038cf1ddedc523cb"/>
    <w:p>
      <w:pPr>
        <w:pStyle w:val="3"/>
      </w:pPr>
      <w:r>
        <w:t xml:space="preserve">Página 2.4: Fallback e Contingência de Re-Liquidação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Se Auto-Refill falha: tenta VASP secundária, (b) Se VASP secundária falha: ativa saque manual automático, (c) Se nada funciona: capital fica em USDT no vault até LP decidir, (d) Comunicação proativa ao LP.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Circuit Breaker (Resilience4j) + PagerDuty + Statuspage.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Runbook de contingência, (b) Teste de failover, (c) Relatório de RTO.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Drill mensal de failover; RTO &lt; 30 minutos.</w:t>
      </w:r>
    </w:p>
    <w:bookmarkEnd w:id="47"/>
    <w:bookmarkStart w:id="48" w:name="Xdc53103e3815bdb7eef4cbb2fd7486ed7170e93"/>
    <w:p>
      <w:pPr>
        <w:pStyle w:val="3"/>
      </w:pPr>
      <w:r>
        <w:t xml:space="preserve">Página 2.5: Custos Totais de Re-Liquidação — Matriz Comparativa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Tabela comparativa: Auto-Refill vs. Netting vs. Saque Manual, (b) Custo por ticket (R$ 100, R$ 1.000, R$ 10.000), (c) Tempo médio, (d) Risco operacional, (e) Recomendação por perfil de LP.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N/A (análise financeira).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Matriz comparativa, (b) Calculadora de custo, (c) Recomendação automática no dashboard.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Aprovação por 10 LPs de cada perfil.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capítulo-3-dashboard-e-experiência-do-lp"/>
    <w:p>
      <w:pPr>
        <w:pStyle w:val="2"/>
      </w:pPr>
      <w:r>
        <w:t xml:space="preserve">CAPÍTULO 3: DASHBOARD E EXPERIÊNCIA DO LP</w:t>
      </w:r>
    </w:p>
    <w:bookmarkStart w:id="50" w:name="X882b6b532b1f6845343d59a300b7c62df3695b1"/>
    <w:p>
      <w:pPr>
        <w:pStyle w:val="3"/>
      </w:pPr>
      <w:r>
        <w:t xml:space="preserve">Página 3.1: Arquitetura do Dashboard — Especificação Técnica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Stack frontend (React/Vue + Tailwind), (b) APIs REST e WebSocket, (c) Autenticação (Privy + 2FA), (d) Responsividade (desktop + mobile), (e) Acessibilidade (WCAG 2.1).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React + TypeScript + Tailwind + WebSocket + FastAPI.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Especificação de API, (b) Schema OpenAPI, (c) Wireframes de baixa fidelidade.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Revisão de arquiteto frontend; testes de carga.</w:t>
      </w:r>
    </w:p>
    <w:bookmarkEnd w:id="50"/>
    <w:bookmarkStart w:id="51" w:name="Xfc7eb536998182cdbd3be5af7712b4e0720b54c"/>
    <w:p>
      <w:pPr>
        <w:pStyle w:val="3"/>
      </w:pPr>
      <w:r>
        <w:t xml:space="preserve">Página 3.2: Módulo de Forecasting — Heatmap de Demanda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Fontes de dados: histórico de GTV, eventos sazonais (salários, feriados), notícias de mercado, (b) Algoritmo: Prophet / LSTM / Regressão, (c) Visualização: heatmap horário + projeção 4h, (d) Confiança estatística (intervalo de predição).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Python (Prophet, scikit-learn) + PostgreSQL + Redis (cache) + D3.js/Chart.js.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Modelo preditivo, (b) API de forecasting, (c) Widget de UI.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Backtesting 6 meses; MAPE &lt; 15%.</w:t>
      </w:r>
    </w:p>
    <w:bookmarkEnd w:id="51"/>
    <w:bookmarkStart w:id="52" w:name="X5181ccc805c69edee86f6cb935ea30720a6ddd9"/>
    <w:p>
      <w:pPr>
        <w:pStyle w:val="3"/>
      </w:pPr>
      <w:r>
        <w:t xml:space="preserve">Página 3.3: Controle de Alocação Híbrida — The Slider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Modo Manual: porcentagem fixa (0-100%), (b) Modo Smart: IA ajusta baseada em custo de gas e densidade, (c) Time-Out: minutos de espera por netting, (d) Aborta se volatilidade &gt; limite.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React + State Management (Zustand/Redux) + FastAPI + ML model.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Protótipo de alta fidelidade (Figma), (b) Especificação de interação, (c) Testes A/B.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Teste de usabilidade com 20 LPs; taxa de adoção do Modo Smart &gt; 60%.</w:t>
      </w:r>
    </w:p>
    <w:bookmarkEnd w:id="52"/>
    <w:bookmarkStart w:id="53" w:name="página-3.4-widgets-de-capital-efficiency"/>
    <w:p>
      <w:pPr>
        <w:pStyle w:val="3"/>
      </w:pPr>
      <w:r>
        <w:t xml:space="preserve">Página 3.4: Widgets de Capital Efficiency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Cycle Time: tempo desde payout até retorno, (b) Fee Savings: economia com netting, (c) ROI Diário/Mensal/Anualizado, (d) Comparação com benchmark (CDB, Tesouro Selic).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React + Chart.js + FastAPI + PostgreSQL.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Especificação de cada widget, (b) Mockup de dashboard, (c) Testes de performance.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LPs conseguem interpretar todos os KPIs sem treinamento.</w:t>
      </w:r>
    </w:p>
    <w:bookmarkEnd w:id="53"/>
    <w:bookmarkStart w:id="54" w:name="Xdbd083b8dca8d75046cb24c16e4b7cfe48663b4"/>
    <w:p>
      <w:pPr>
        <w:pStyle w:val="3"/>
      </w:pPr>
      <w:r>
        <w:t xml:space="preserve">Página 3.5: Mobile App para LP — Especificação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Push notifications críticas (ordem matched, timeout, volatilidade), (b) Ações rápidas (aceitar, rejeitar, aumentar colateral), (c) Biometria (FaceID/Fingerprint), (d) Offline mode (cache de dados).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React Native / Flutter + Firebase Cloud Messaging + Privy.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Protótipo mobile, (b) Especificação de notificações, (c) Testes em iOS/Android.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50 LPs usando app por 30 dias; NPS &gt; 50.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X78b483e455e8ec74d67b8d61dde84b3bd48cb23"/>
    <w:p>
      <w:pPr>
        <w:pStyle w:val="2"/>
      </w:pPr>
      <w:r>
        <w:t xml:space="preserve">CAPÍTULO 4: MODUS OPERANDI E FLUXO SHADOW-CRYPTO</w:t>
      </w:r>
    </w:p>
    <w:bookmarkStart w:id="56" w:name="X412bcc3d857fb41e3344bd7c48f0b513bbfe589"/>
    <w:p>
      <w:pPr>
        <w:pStyle w:val="3"/>
      </w:pPr>
      <w:r>
        <w:t xml:space="preserve">Página 4.1: Fluxo Completo do Sender — Diagrama de Sequência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Login → KYC → Depósito → Cotação → Confirmação → Matching → Escrow → Payout → Notificação, (b) Estados de erro em cada etapa, (c) Tempo máximo por etapa, (d) Comunicação ao usuário.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Mermaid / PlantUML + Figma + FastAPI.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Diagrama de sequência formal, (b) Matriz de estados de erro, (c) Copy de comunicação por estado.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Revisão por UX writer; teste de jornada com 50 usuários.</w:t>
      </w:r>
    </w:p>
    <w:bookmarkEnd w:id="56"/>
    <w:bookmarkStart w:id="57" w:name="X203ad5393ad97f10c172f36ad17faf35bc5d1d8"/>
    <w:p>
      <w:pPr>
        <w:pStyle w:val="3"/>
      </w:pPr>
      <w:r>
        <w:t xml:space="preserve">Página 4.2: Fluxo Completo do LP — Diagrama de Sequência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Onboarding → Depósito de colateral → Auto-Bid config → Matching → Payout local → Confirmação → Recebimento USDT → Re-liquidação, (b) Estados de erro, (c) Penalidades e recompensas.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Mermaid + Figma + FastAPI.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Diagrama de sequência, (b) Matriz de penalidades, (c) Guia do LP.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Teste com 20 LPs beta.</w:t>
      </w:r>
    </w:p>
    <w:bookmarkEnd w:id="57"/>
    <w:bookmarkStart w:id="58" w:name="X9a5c799c4df64fcead30ffa3da8f0d174d84430"/>
    <w:p>
      <w:pPr>
        <w:pStyle w:val="3"/>
      </w:pPr>
      <w:r>
        <w:t xml:space="preserve">Página 4.3: Fluxo Completo do Recebedor — Experiência Invisível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Notificação push/WhatsApp, (b) Saldo em cartão/conta, (c) Uso imediato (compra, saque), (d) Histórico de transações, (e) Suporte ao cliente.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WhatsApp Business API + Firebase + React Native.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Fluxo de notificação, (b) Protótipo de app do recebedor, (c) FAQ.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NPS do recebedor &gt; 60; taxa de reclamação &lt; 1%.</w:t>
      </w:r>
    </w:p>
    <w:bookmarkEnd w:id="58"/>
    <w:bookmarkStart w:id="59" w:name="página-4.4-estados-de-erro-e-recovery"/>
    <w:p>
      <w:pPr>
        <w:pStyle w:val="3"/>
      </w:pPr>
      <w:r>
        <w:t xml:space="preserve">Página 4.4: Estados de Erro e Recovery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Falha de KYC: retry + human review, (b) Falha de depósito: refund automático, (c) Falha de matching: retry com LP alternativo, (d) Falha de payout: rollback atômico, (e) Falha de re-liquidação: fallback para saque manual.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State Machine + Smart Contracts + PagerDuty.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Matriz de estados de erro, (b) Runbooks de recovery, (c) Métricas de MTTR.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Simulação de cada erro; MTTR &lt; 10 minutos.</w:t>
      </w:r>
    </w:p>
    <w:bookmarkEnd w:id="59"/>
    <w:bookmarkStart w:id="60" w:name="Xcaa470f6d841f73291253055012c70b5c503e60"/>
    <w:p>
      <w:pPr>
        <w:pStyle w:val="3"/>
      </w:pPr>
      <w:r>
        <w:t xml:space="preserve">Página 4.5: Métricas de Sucesso por Etapa (Funnel Analysis)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Taxa de conversão por etapa do funil, (b) Drop-off points, (c) Benchmarks (Wise, Remitly), (d) Ações de melhoria contínua.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Mixpanel / Amplitude + PostgreSQL + Metabase.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Dashboard de funnel, (b) Relatório de análise, (c) Plano de ação.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Revisão mensal; meta de conversão final &gt; 70%.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X73f186c10447ae770d8890f677a66d697a0fcde"/>
    <w:p>
      <w:pPr>
        <w:pStyle w:val="2"/>
      </w:pPr>
      <w:r>
        <w:t xml:space="preserve">CAPÍTULO 5: USDT COMO CAMADA DE TRANSPORTE</w:t>
      </w:r>
    </w:p>
    <w:bookmarkStart w:id="62" w:name="Xc639fd5f4372aee3d1115a2bf744decaf1d7859"/>
    <w:p>
      <w:pPr>
        <w:pStyle w:val="3"/>
      </w:pPr>
      <w:r>
        <w:t xml:space="preserve">Página 5.1: Arquitetura de Transporte — USDT na Polygon/Solana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Por que USDT (liquidez, adoption, velocidade), (b) Custos de gas por rede, (c) Finalidade de transação (2 confirmações = ~5s Polygon, ~0.4s Solana), (d) Riscos de congestionamento.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Polygon PoS + Solana + Web3.js/Anchor + RPC nodes.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Arquitetura de transporte, (b) Benchmark de custos, (c) Plano de escalabilidade.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Teste de carga 10k TPS; custo de gas &lt; US$ 0,01 por tx.</w:t>
      </w:r>
    </w:p>
    <w:bookmarkEnd w:id="62"/>
    <w:bookmarkStart w:id="63" w:name="X0b6124ee2e74706c8d727d925b5c212f312d632"/>
    <w:p>
      <w:pPr>
        <w:pStyle w:val="3"/>
      </w:pPr>
      <w:r>
        <w:t xml:space="preserve">Página 5.2: Risco de Despeg e Blacklist da Stablecoin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Histórico de despeg (USDT em 2022: US$ 0,95), (b) Mecanismo de proteção: oráculos de preço (Chainlink), (c) Blacklist pela Tether: endereços congelados, (d) Plano de contingência: pausa de novas entradas, migração para USDC.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Chainlink Price Feeds + Smart Contracts (circuit breaker) + Alerting.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Política de risco de stablecoin, (b) Procedimento de migração, (c) Teste de circuit breaker.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Simulação de despeg; tempo de resposta &lt; 60 segundos.</w:t>
      </w:r>
    </w:p>
    <w:bookmarkEnd w:id="63"/>
    <w:bookmarkStart w:id="64" w:name="X20d80d49f0551d5b9587a6660db58ac1a7001fb"/>
    <w:p>
      <w:pPr>
        <w:pStyle w:val="3"/>
      </w:pPr>
      <w:r>
        <w:t xml:space="preserve">Página 5.3: Alternativas e Diversificação de Stablecoins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USDC (Circle): regulado nos EUA, menor risco de blacklist, (b) PYUSD (PayPal): integração com ecossistema PayPal, (c) Drex (Real Digital): integração com sistema financeiro brasileiro, (d) Matriz de decisão: quando usar qual.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Multi-token vault + Oráculos + Smart Contracts.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Matriz de stablecoins, (b) Especificação de multi-token, (c) Roadmap de integração.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Teste de swap entre stablecoins; slippage &lt; 0,1%.</w:t>
      </w:r>
    </w:p>
    <w:bookmarkEnd w:id="64"/>
    <w:bookmarkStart w:id="65" w:name="Xb2d42eef623be344948c7aa5fdd627f3f7714d1"/>
    <w:p>
      <w:pPr>
        <w:pStyle w:val="3"/>
      </w:pPr>
      <w:r>
        <w:t xml:space="preserve">Página 5.4: Custódia e Movimentação de USDT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Depósito em vault (Fireblocks), (b) Trava atômica no matching, (c) Liberação no settlement, (d) Re-liquidação para fiat, (e) Reconciliação contábil.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Fireblocks MPC + Smart Contracts + PostgreSQL (ledger).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Fluxo de custódia, (b) Reconciliação diária, (c) Relatório de auditoria.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Auditoria contábil; zero discrepâncias.</w:t>
      </w:r>
    </w:p>
    <w:bookmarkEnd w:id="65"/>
    <w:bookmarkStart w:id="66" w:name="X57ca20e899d69966c235aef0134837583f55b2d"/>
    <w:p>
      <w:pPr>
        <w:pStyle w:val="3"/>
      </w:pPr>
      <w:r>
        <w:t xml:space="preserve">Página 5.5: Integração com Drex (Real Digital Brasileiro)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O que é Drex (CBDC do Brasil), (b) Como o FLUXUS pode usar Drex como layer de liquidação local, (c) Parceria com BCB/pilotos, (d) Vantagens: liquidação instantânea, sem IOF, regulado.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APIs Drex (em desenvolvimento) + Polygon (compatibilidade) + Smart Contracts.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Proposta de parceria com BCB, (b) Especificação técnica preliminar, (c) Análise de viabilidade.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Acompanhamento de pilotos BCB; participação em consórcios.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X741fd00e475a6d06e49ddf5625a3edfd5fc0534"/>
    <w:p>
      <w:pPr>
        <w:pStyle w:val="2"/>
      </w:pPr>
      <w:r>
        <w:t xml:space="preserve">CAPÍTULO 6: FISCAL, TRIBUTÁRIO E COMPLIANCE DO LP</w:t>
      </w:r>
    </w:p>
    <w:bookmarkStart w:id="68" w:name="X836f200957a098cdf4839aad391232b71dd5a08"/>
    <w:p>
      <w:pPr>
        <w:pStyle w:val="3"/>
      </w:pPr>
      <w:r>
        <w:t xml:space="preserve">Página 6.1: Isenção até R$ 35k/mês — Especificação Completa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Art. 22 Lei 9.250/95, (b) IN RFB 1.888, (c) O que conta como</w:t>
      </w:r>
      <w:r>
        <w:t xml:space="preserve"> </w:t>
      </w:r>
      <w:r>
        <w:t xml:space="preserve">“</w:t>
      </w:r>
      <w:r>
        <w:t xml:space="preserve">alienação</w:t>
      </w:r>
      <w:r>
        <w:t xml:space="preserve">”</w:t>
      </w:r>
      <w:r>
        <w:t xml:space="preserve"> </w:t>
      </w:r>
      <w:r>
        <w:t xml:space="preserve">(giro total, não lucro), (d) Como calcular o giro mensal, (e) Exemplos práticos.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N/A (fiscal).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Guia fiscal do LP, (b) Calculadora de isenção, (c) Alerta de proximidade do limite.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Parecer de contador especializado em cripto; aprovação da RFB.</w:t>
      </w:r>
    </w:p>
    <w:bookmarkEnd w:id="68"/>
    <w:bookmarkStart w:id="69" w:name="X2a8248b3fe4c3d62f5a9f15e49c4a8a4b85019e"/>
    <w:p>
      <w:pPr>
        <w:pStyle w:val="3"/>
      </w:pPr>
      <w:r>
        <w:t xml:space="preserve">Página 6.2: Cenário Acima do Limite — Alíquotas e Declaração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Tabela progressiva (15% a 22,5%), (b) DARF de ganho de capital, (c) Declaração mensal (Coleta Nacional) vs. anual (DIRPF), (d) Deduções permitidas (custos de operação?).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N/A (fiscal).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Simulador de imposto, (b) Guia de declaração, (c) Integração com contador parceiro.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Consultoria contábil; teste com 5 LPs de alto volume.</w:t>
      </w:r>
    </w:p>
    <w:bookmarkEnd w:id="69"/>
    <w:bookmarkStart w:id="70" w:name="X6ea195580c70e115850ae278b7f085781e096bc"/>
    <w:p>
      <w:pPr>
        <w:pStyle w:val="3"/>
      </w:pPr>
      <w:r>
        <w:t xml:space="preserve">Página 6.3: LP como PJ — Estruturação Fiscal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MEI: limite de R$ 81k/ano, alíquota fixa, (b) Simples Nacional: anexo III (serviços), (c) Lucro Presumido: 32% presumido, 15% IR + 10% adicional, (d) Lucro Real: para grandes volumes, (e) Comparativo: qual melhor para cada perfil.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N/A (fiscal).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Comparativo PJ vs. PF, (b) Calculadora de estruturação, (c) Recomendação automatizada no dashboard.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Parecer de contador; simulação para 3 perfis de LP.</w:t>
      </w:r>
    </w:p>
    <w:bookmarkEnd w:id="70"/>
    <w:bookmarkStart w:id="71" w:name="X6069f7f803eaad7093cbe7af3bcce6ff95291ee"/>
    <w:p>
      <w:pPr>
        <w:pStyle w:val="3"/>
      </w:pPr>
      <w:r>
        <w:t xml:space="preserve">Página 6.4: ISS, PIS/COFINS e Impostos sobre Serviço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ISS sobre orquestração (2-5% conforme município), (b) PIS/COFINS cumulativo (3,65%) vs. não-cumulativo (1,65% + 7,6%), (c) Simples Nacional já inclui ISS/PIS/COFINS, (d) Impacto no DRE da plataforma.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N/A (fiscal).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Matriz de impostos da plataforma, (b) DRE fiscal consolidado, (c) Provisão de impostos.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Revisão por Big-4; concordância com RFB.</w:t>
      </w:r>
    </w:p>
    <w:bookmarkEnd w:id="71"/>
    <w:bookmarkStart w:id="72" w:name="X0e4015ff2005c63a355f4271426e3af57e66215"/>
    <w:p>
      <w:pPr>
        <w:pStyle w:val="3"/>
      </w:pPr>
      <w:r>
        <w:t xml:space="preserve">Página 6.5: IOF na Re-Liquidação — O Elefante na Sala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IOF incide na conversão USDT → BRL (0,38%), (b) Quem paga: LP (descontado do payout), (c) Impacto na rentabilidade, (d) Estratégias de mitigação: netting (sem IOF), negociação com BCB, ticket mínimo.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N/A (fiscal).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Análise de impacto do IOF, (b) Estratégia de mitigação, (c) Comunicado aos LPs.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Consultoria ao BCB; lobby via associação do setor.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X2d3e1f3b9d72bfad3264a9a48f73876655eb966"/>
    <w:p>
      <w:pPr>
        <w:pStyle w:val="2"/>
      </w:pPr>
      <w:r>
        <w:t xml:space="preserve">CAPÍTULO 7: AUDITORIA, RASTREIO E RELATÓRIOS</w:t>
      </w:r>
    </w:p>
    <w:bookmarkStart w:id="74" w:name="X5b300b4074cadca062a1858f54a6c730b82ddde"/>
    <w:p>
      <w:pPr>
        <w:pStyle w:val="3"/>
      </w:pPr>
      <w:r>
        <w:t xml:space="preserve">Página 7.1: Macrohash — Âncora Horária na Blockchain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Geração: agregação de Minihashes por hora, (b) Publicação: transação na Polygon com hash raiz, (c) Verificação: qualquer auditor pode comparar, (d) Retenção: 10 anos (conforme lei fiscal).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Keccak256 + Polygon + IPFS (arquivo) + API pública.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Especificação do Macrohash, (b) Portal público de auditoria, (c) Relatório de integridade.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Auditoria externa anual; zero divergências.</w:t>
      </w:r>
    </w:p>
    <w:bookmarkEnd w:id="74"/>
    <w:bookmarkStart w:id="75" w:name="Xa79b3d2db06f1162d9917a1836d18b0a287dc55"/>
    <w:p>
      <w:pPr>
        <w:pStyle w:val="3"/>
      </w:pPr>
      <w:r>
        <w:t xml:space="preserve">Página 7.2: Minihash — DNA de Cada Transação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Geração:</w:t>
      </w:r>
      <w:r>
        <w:t xml:space="preserve"> </w:t>
      </w:r>
      <w:r>
        <w:rPr>
          <w:rStyle w:val="VerbatimChar"/>
        </w:rPr>
        <w:t xml:space="preserve">Keccak256(OrderID + Amount + Target + Salt)</w:t>
      </w:r>
      <w:r>
        <w:t xml:space="preserve">, (b) Estados: INIT → MATCHED → LOCKED → SETTLED/REVERSED, (c) Campos: quem, quando, quanto, para quem, por qual LP, qual VASP, (d) Privacidade: hash público, dados criptografados.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Keccak256 + AES-256 (dados sensíveis) + PostgreSQL.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Especificação do Minihash, (b) Exemplo de transação completa, (c) Guia de interpretação para auditores.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Teste de integridade; nenhuma transação sem Minihash.</w:t>
      </w:r>
    </w:p>
    <w:bookmarkEnd w:id="75"/>
    <w:bookmarkStart w:id="76" w:name="Xe2d3019bc331d32f8e1ba014a12d354b86d9076"/>
    <w:p>
      <w:pPr>
        <w:pStyle w:val="3"/>
      </w:pPr>
      <w:r>
        <w:t xml:space="preserve">Página 7.3: Relatórios Regulatórios Automatizados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BACEN/COAF (Brasil): relatório de operações suspeitas, (b) FinCEN (EUA): SAR para valores &gt; US$ 10k, (c) FCA (UK): relatório de atividades VASP, (d) GAFI/FATF: relatório anual de compliance.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FastAPI + Apache Airflow + APIs regulatórias + Templates.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Templates de relatórios, (b) Cronograma de entrega, (c) Logs de submissão.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Revisão por counsel; entrega em dia 100%.</w:t>
      </w:r>
    </w:p>
    <w:bookmarkEnd w:id="76"/>
    <w:bookmarkStart w:id="77" w:name="X2e41feb9e7e8ae0d3f5d5584df5226dadbe988b"/>
    <w:p>
      <w:pPr>
        <w:pStyle w:val="3"/>
      </w:pPr>
      <w:r>
        <w:t xml:space="preserve">Página 7.4: Relatórios para LPs — Transparência Total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Extrato mensal de operações, (b) Cálculo de ganho de capital, (c) IOF pago, (d) Spread recebido, (e) Comparação com benchmark, (f) Dados para declaração de IR.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FastAPI + PostgreSQL + PDF generation (WeasyPrint) + Email.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Template de relatório, (b) API de geração, (c) Teste de entrega.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LPs conseguem usar relatório para declaração sem ajustes.</w:t>
      </w:r>
    </w:p>
    <w:bookmarkEnd w:id="77"/>
    <w:bookmarkStart w:id="78" w:name="X6f5bb031a7d7836801f9d629360da8fbd0948f5"/>
    <w:p>
      <w:pPr>
        <w:pStyle w:val="3"/>
      </w:pPr>
      <w:r>
        <w:t xml:space="preserve">Página 7.5: Data Room e Due Diligence para Investidores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Documentação técnica completa, (b) DREs e projeções, (c) Contratos de parceria, (d) Relatórios de auditoria, (e) Dashboard de métricas em tempo real.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Intralinks / Notion / Google Data Studio.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Data room estruturado, (b) NDA, (c) Processo de due diligence.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Feedback de 3 investidores anjo; tempo de DD &lt; 2 semanas.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X86c1dda94639c806cd01bedf293a1b51860c731"/>
    <w:p>
      <w:pPr>
        <w:pStyle w:val="2"/>
      </w:pPr>
      <w:r>
        <w:t xml:space="preserve">CAPÍTULO 8: GOVERNANÇA DOCUMENTAL E QUALIDADE</w:t>
      </w:r>
    </w:p>
    <w:bookmarkStart w:id="80" w:name="Xf8eb8a86abf5c046cd9cb3a4d88d794ea971e54"/>
    <w:p>
      <w:pPr>
        <w:pStyle w:val="3"/>
      </w:pPr>
      <w:r>
        <w:t xml:space="preserve">Página 8.1: Single Source of Truth — Hierarquia de Documentos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Mapa de documentos: quem depende de quem, (b) Versionamento semântico (v1.0.0), (c) Changelog obrigatório, (d) Autor e aprovador por documento, (e) Ferramenta: Git + Markdown + MkDocs.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Git + GitHub/GitLab + MkDocs + Markdown.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Mapa de documentos, (b) Template de documento, (c) Guia de contribuição.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Zero duplicações; 100% dos docs versionados.</w:t>
      </w:r>
    </w:p>
    <w:bookmarkEnd w:id="80"/>
    <w:bookmarkStart w:id="81" w:name="X74b14ca12d98427f9f905bcaabadfdf0f2035dc"/>
    <w:p>
      <w:pPr>
        <w:pStyle w:val="3"/>
      </w:pPr>
      <w:r>
        <w:t xml:space="preserve">Página 8.2: RACI Matrix — Responsabilidades Claras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Quem cria cada documento (R), (b) Quem aprova (A), (c) Quem consulta (C), (d) Quem é informado (I), (e) Exemplos por função (CTO, CPO, CFO, CCO).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N/A (processo).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RACI matrix completa, (b) Aprovações documentadas, (c) Revisão trimestral.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Zero ambiguidades; accountability 100%.</w:t>
      </w:r>
    </w:p>
    <w:bookmarkEnd w:id="81"/>
    <w:bookmarkStart w:id="82" w:name="página-8.3-processo-de-change-management"/>
    <w:p>
      <w:pPr>
        <w:pStyle w:val="3"/>
      </w:pPr>
      <w:r>
        <w:t xml:space="preserve">Página 8.3: Processo de Change Management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Solicitação de mudança, (b) Análise de impacto, (c) Aprovação (board para estratégico, CTO para técnico), (d) Implementação, (e) Comunicação, (f) Retrospectiva.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Jira / Linear + Confluence + Slack.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Template de change request, (b) Log de mudanças, (c) Métricas de lead time.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Lead time de mudança &lt; 5 dias úteis.</w:t>
      </w:r>
    </w:p>
    <w:bookmarkEnd w:id="82"/>
    <w:bookmarkStart w:id="83" w:name="X6f6d0f9bc01c9c0265b7f37313646d32652a1c4"/>
    <w:p>
      <w:pPr>
        <w:pStyle w:val="3"/>
      </w:pPr>
      <w:r>
        <w:t xml:space="preserve">Página 8.4: Treinamento e Onboarding de Equipe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Academy FLUXUS: cursos por função, (b) Certificações (compliance, técnico, produto), (c) Simulações (matching, liquidação, crisis), (d) Avaliação de proficiência.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LMS (Teachable/Thinkific) + Notion + Slack.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Currículo de treinamento, (b) Certificados, (c) Avaliações.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100% da equipe certificada em 30 dias.</w:t>
      </w:r>
    </w:p>
    <w:bookmarkEnd w:id="83"/>
    <w:bookmarkStart w:id="84" w:name="Xd2b53b7861d6bec737777bfbd5ea2f90a9b6570"/>
    <w:p>
      <w:pPr>
        <w:pStyle w:val="3"/>
      </w:pPr>
      <w:r>
        <w:t xml:space="preserve">Página 8.5: Retrospectiva e Melhoria Contínua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Sprint retrospectives, (b) OKRs trimestrais, (c) Post-mortems de incidentes, (d) Benchmarking com concorrentes, (e) Inovação e R&amp;D.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Jira + Notion + Metabase.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Template de retrospective, (b) OKRs, (c) Post-mortems.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Velocity estável; bugs críticos &lt; 1 por mês.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Xf0bf8006d7838d82604c2b77ef97297b8ab40d5"/>
    <w:p>
      <w:pPr>
        <w:pStyle w:val="2"/>
      </w:pPr>
      <w:r>
        <w:t xml:space="preserve">CAPÍTULO 9: NOVOS BRAÇOS DE NEGÓCIO (EXPANSÃO DE ESCOPO)</w:t>
      </w:r>
    </w:p>
    <w:bookmarkStart w:id="86" w:name="X6232f512e2caabf3bd2c793702cbe5f0b1e19ee"/>
    <w:p>
      <w:pPr>
        <w:pStyle w:val="3"/>
      </w:pPr>
      <w:r>
        <w:t xml:space="preserve">Página 9.1: FLUXUS Treasury — Gestão Multi-Moeda para PMEs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Conta unificada multi-moeda, (b) Conversão spot + forward, (c) Redução de capital de giro em 60%, (d) API para ERPs.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FastAPI + Chainlink + Integrações ERP.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Especificação de API, (b) ROI calculator, (c) Case studies.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Piloto com 10 PMEs; NPS &gt; 50.</w:t>
      </w:r>
    </w:p>
    <w:bookmarkEnd w:id="86"/>
    <w:bookmarkStart w:id="87" w:name="X7cf100fd93c14a22daf201810397c72c5d503cb"/>
    <w:p>
      <w:pPr>
        <w:pStyle w:val="3"/>
      </w:pPr>
      <w:r>
        <w:t xml:space="preserve">Página 9.2: FLUXUS Payroll — Folha de Pagamento Global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Integração com Deel, Remote, Gusto, (b) Pagamento em stablecoin → liquidação local, (c) Compliance trabalhista, (d) Relatórios de withholdings.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APIs de RH + Smart Contracts + Rails de liquidação.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Documentação de integração, (b) Matriz de compliance, (c) Simulador de custo.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Parceria com 1 plataforma de RH.</w:t>
      </w:r>
    </w:p>
    <w:bookmarkEnd w:id="87"/>
    <w:bookmarkStart w:id="88" w:name="Xd56058d4fdba4f34f82ff56afd7ee0e17cc228a"/>
    <w:p>
      <w:pPr>
        <w:pStyle w:val="3"/>
      </w:pPr>
      <w:r>
        <w:t xml:space="preserve">Página 9.3: FLUXUS Credit — Microcrédito e Crédito Garantido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Scoring alternativo baseado em histórico on-chain, (b) Microcrédito instantâneo, (c) Empréstimos garantidos por stablecoin (LTV 70%), (d) Recuperação de crédito.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ML (scoring) + Smart Contracts + APIs de bureau.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Modelo de scoring, (b) Política de crédito, (c) Provisão para perdas.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NPL &lt; 5%.</w:t>
      </w:r>
    </w:p>
    <w:bookmarkEnd w:id="88"/>
    <w:bookmarkStart w:id="89" w:name="Xc0a22ae0906aac24c7fd1323a29a682ab30d132"/>
    <w:p>
      <w:pPr>
        <w:pStyle w:val="3"/>
      </w:pPr>
      <w:r>
        <w:t xml:space="preserve">Página 9.4: FLUXUS Yield — Renda Passiva para LPs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Alocação automática em pools DeFi (Aave, Compound), (b) RWA autorizados, (c) Bônus em token FLX, (d) Dashboard de yield.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Aave/Compound + Chainlink + Token ERC-20 (FLX).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Especificação do token FLX, (b) Modelo de distribuição, (c) Análise de risco.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Auditoria de contratos; stress test de liquidez.</w:t>
      </w:r>
    </w:p>
    <w:bookmarkEnd w:id="89"/>
    <w:bookmarkStart w:id="90" w:name="X11d29b29cde86094eea52141cb43eb15be43c32"/>
    <w:p>
      <w:pPr>
        <w:pStyle w:val="3"/>
      </w:pPr>
      <w:r>
        <w:t xml:space="preserve">Página 9.5: FLUXUS Merchant — Checkout Global para E-commerce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Plugin Shopify/WooCommerce, (b) Taxa total de 2,0%, (c) Liquidação em 24h, (d) Visibilidade total via Minihash.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SDK JavaScript + APIs REST + Webhooks.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SDK documentado, (b) Plugin publicado, (c) Case studies.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50 lojas piloto.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271bbf7b2fd3268889fe5c07832765cfb90dcc8"/>
    <w:p>
      <w:pPr>
        <w:pStyle w:val="2"/>
      </w:pPr>
      <w:r>
        <w:t xml:space="preserve">CAPÍTULO 10: ROADMAP, MÉTRICAS E GOVERNANCE</w:t>
      </w:r>
    </w:p>
    <w:bookmarkStart w:id="92" w:name="X7006d5a9d53f31f7d86e83031a4f8b3323321f8"/>
    <w:p>
      <w:pPr>
        <w:pStyle w:val="3"/>
      </w:pPr>
      <w:r>
        <w:t xml:space="preserve">Página 10.1: Roadmap de Processos (24 Meses)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Fase 1: Fundação (processos básicos, 3 corredores), (b) Fase 2: Escala (10 corredores, novos braços), (c) Fase 3: Consolidação (20+ países, institucional), (d) Fase 4: Dominância (IPO/aquisição).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Jira + OKR framework + Gantt.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Roadmap Gantt, (b) OKRs trimestrais, (c) Relatório de progresso.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Revisão mensal de OKRs.</w:t>
      </w:r>
    </w:p>
    <w:bookmarkEnd w:id="92"/>
    <w:bookmarkStart w:id="93" w:name="X10835bd8d5f196e3204b39d6014503d984c5670"/>
    <w:p>
      <w:pPr>
        <w:pStyle w:val="3"/>
      </w:pPr>
      <w:r>
        <w:t xml:space="preserve">Página 10.2: KPIs Operacionais e Dashboards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GTV, take rate, net revenue, (b) CAC, LTV, churn, (c) NPS, CSAT, CES, (d) Capital velocity, spread médio, taxa de netting.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Metabase / Looker + PostgreSQL + Redshift.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Dashboard executivo, (b) Dashboard operacional, (c) Alertas automáticos.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Revisão mensal pelo board.</w:t>
      </w:r>
    </w:p>
    <w:bookmarkEnd w:id="93"/>
    <w:bookmarkStart w:id="94" w:name="página-10.3-governance-e-conselho"/>
    <w:p>
      <w:pPr>
        <w:pStyle w:val="3"/>
      </w:pPr>
      <w:r>
        <w:t xml:space="preserve">Página 10.3: Governance e Conselho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 que conter:</w:t>
      </w:r>
      <w:r>
        <w:t xml:space="preserve"> </w:t>
      </w:r>
      <w:r>
        <w:t xml:space="preserve">(a) Estrutura do board, (b) Comitês técnicos, (c) Política de conflito, (d) Remuneração executiva, (e) ESG e sustentabilidade.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N/A (governança).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Artefatos:</w:t>
      </w:r>
      <w:r>
        <w:t xml:space="preserve"> </w:t>
      </w:r>
      <w:r>
        <w:t xml:space="preserve">(a) Regimento interno, (b) Carta de princípios, (c) Relatório anual.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Avaliação 360° do board.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9" w:name="parte-v-matriz-de-cobertura-de-processos"/>
    <w:p>
      <w:pPr>
        <w:pStyle w:val="1"/>
      </w:pPr>
      <w:r>
        <w:t xml:space="preserve">PARTE V: MATRIZ DE COBERTURA DE PROCESSOS</w:t>
      </w:r>
    </w:p>
    <w:bookmarkStart w:id="97" w:name="X8ddc071c17d3b186b7b112040d69ac242326af3"/>
    <w:p>
      <w:pPr>
        <w:pStyle w:val="2"/>
      </w:pPr>
      <w:r>
        <w:t xml:space="preserve">5.1 O que ESTÁ presente na base de processos atual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936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de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Conceito Shadow-Crypto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PROCESS_MODUS_OPERANDI.md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Três Modalidades de Re-Liquidação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PROCESS_LP_CASH_CYCLE.md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de LP com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PROCESS_LP_DASHBOARD_SPEC.md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Glossário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PROCESS_TECHNICAL_GLOSSARY.md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 como Camada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PROCESS_USDT_MODUS_OPERANDI.md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Tese de Isenção Fiscal (PF)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PROCESS_LP_TAX_PLAN_BR.md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Matching Engine (em handbook)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PROCESS_OPERATIONAL_HANDBOOK.docx</w:t>
            </w:r>
          </w:p>
        </w:tc>
      </w:tr>
    </w:tbl>
    <w:bookmarkEnd w:id="97"/>
    <w:bookmarkStart w:id="98" w:name="X8398cf66c8994d204ed31274551311684f29122"/>
    <w:p>
      <w:pPr>
        <w:pStyle w:val="2"/>
      </w:pPr>
      <w:r>
        <w:t xml:space="preserve">5.2 O que NÃO ESTÁ presente e foi criado nesta expansão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2184"/>
        <w:gridCol w:w="3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Matemática da Rentabilidade do LP (com IOF)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Fallback de Re-Liquidação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Risco de Despeg/Blacklist de Stablecoin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Alternativas a USDT (USDC, PYUSD, Drex)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Cenário Fiscal Acima de R$ 35k/mês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 como PJ — Estruturação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ISS, PIS/COFINS da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IOF na Re-Liquidação (impacto 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Simulação de Escala (1000+ LPs)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Mecanismo de Incentivo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App para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do Dashboard — Especificação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Source of Truth / Versionamento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RACI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Room para Investidores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Relatórios Regulatórios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Novos Braços de Negócio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4" w:name="parte-vi-plano-de-validação-aprofundada"/>
    <w:p>
      <w:pPr>
        <w:pStyle w:val="1"/>
      </w:pPr>
      <w:r>
        <w:t xml:space="preserve">PARTE VI: PLANO DE VALIDAÇÃO APROFUNDADA</w:t>
      </w:r>
    </w:p>
    <w:bookmarkStart w:id="100" w:name="fase-1-fundação-meses-1-3"/>
    <w:p>
      <w:pPr>
        <w:pStyle w:val="2"/>
      </w:pPr>
      <w:r>
        <w:t xml:space="preserve">6.1 Fase 1: Fundação (Meses 1-3)</w:t>
      </w:r>
    </w:p>
    <w:p>
      <w:pPr>
        <w:pStyle w:val="Compact"/>
        <w:numPr>
          <w:ilvl w:val="0"/>
          <w:numId w:val="1054"/>
        </w:numPr>
      </w:pPr>
      <w:r>
        <w:t xml:space="preserve">☐ Resolver o</w:t>
      </w:r>
      <w:r>
        <w:t xml:space="preserve"> </w:t>
      </w:r>
      <w:r>
        <w:t xml:space="preserve">“</w:t>
      </w:r>
      <w:r>
        <w:t xml:space="preserve">IOF mata LP</w:t>
      </w:r>
      <w:r>
        <w:t xml:space="preserve">”</w:t>
      </w:r>
      <w:r>
        <w:t xml:space="preserve">: subsídio Cold Start + ticket mínimo + netting prioritário</w:t>
      </w:r>
    </w:p>
    <w:p>
      <w:pPr>
        <w:pStyle w:val="Compact"/>
        <w:numPr>
          <w:ilvl w:val="0"/>
          <w:numId w:val="1054"/>
        </w:numPr>
      </w:pPr>
      <w:r>
        <w:t xml:space="preserve">☐ Especificar fallback de re-liquidação (VASP secundária + saque manual automático)</w:t>
      </w:r>
    </w:p>
    <w:p>
      <w:pPr>
        <w:pStyle w:val="Compact"/>
        <w:numPr>
          <w:ilvl w:val="0"/>
          <w:numId w:val="1054"/>
        </w:numPr>
      </w:pPr>
      <w:r>
        <w:t xml:space="preserve">☐ Criar plano de contingência para blacklist de USDT (circuit breaker + migração USDC)</w:t>
      </w:r>
    </w:p>
    <w:p>
      <w:pPr>
        <w:pStyle w:val="Compact"/>
        <w:numPr>
          <w:ilvl w:val="0"/>
          <w:numId w:val="1054"/>
        </w:numPr>
      </w:pPr>
      <w:r>
        <w:t xml:space="preserve">☐ Desenvolver calculadora de rentabilidade real para LP (com todos os custos)</w:t>
      </w:r>
    </w:p>
    <w:p>
      <w:pPr>
        <w:pStyle w:val="Compact"/>
        <w:numPr>
          <w:ilvl w:val="0"/>
          <w:numId w:val="1054"/>
        </w:numPr>
      </w:pPr>
      <w:r>
        <w:t xml:space="preserve">☐ Estruturar fiscal: cenário PF vs. PJ, acima de R$ 35k, ISS/PIS/COFINS</w:t>
      </w:r>
    </w:p>
    <w:p>
      <w:pPr>
        <w:pStyle w:val="Compact"/>
        <w:numPr>
          <w:ilvl w:val="0"/>
          <w:numId w:val="1054"/>
        </w:numPr>
      </w:pPr>
      <w:r>
        <w:t xml:space="preserve">☐ Implementar versionamento semântico e single source of truth</w:t>
      </w:r>
    </w:p>
    <w:bookmarkEnd w:id="100"/>
    <w:bookmarkStart w:id="101" w:name="fase-2-escala-meses-4-9"/>
    <w:p>
      <w:pPr>
        <w:pStyle w:val="2"/>
      </w:pPr>
      <w:r>
        <w:t xml:space="preserve">6.2 Fase 2: Escala (Meses 4-9)</w:t>
      </w:r>
    </w:p>
    <w:p>
      <w:pPr>
        <w:pStyle w:val="Compact"/>
        <w:numPr>
          <w:ilvl w:val="0"/>
          <w:numId w:val="1055"/>
        </w:numPr>
      </w:pPr>
      <w:r>
        <w:t xml:space="preserve">☐ Simulação de 1.000 LPs: competição, concentração, sybil attacks</w:t>
      </w:r>
    </w:p>
    <w:p>
      <w:pPr>
        <w:pStyle w:val="Compact"/>
        <w:numPr>
          <w:ilvl w:val="0"/>
          <w:numId w:val="1055"/>
        </w:numPr>
      </w:pPr>
      <w:r>
        <w:t xml:space="preserve">☐ Programa de incentivo Cold Start: 100 LPs ativos em 90 dias</w:t>
      </w:r>
    </w:p>
    <w:p>
      <w:pPr>
        <w:pStyle w:val="Compact"/>
        <w:numPr>
          <w:ilvl w:val="0"/>
          <w:numId w:val="1055"/>
        </w:numPr>
      </w:pPr>
      <w:r>
        <w:t xml:space="preserve">☐ Mobile app para LP: notificações push, ações rápidas, biometria</w:t>
      </w:r>
    </w:p>
    <w:p>
      <w:pPr>
        <w:pStyle w:val="Compact"/>
        <w:numPr>
          <w:ilvl w:val="0"/>
          <w:numId w:val="1055"/>
        </w:numPr>
      </w:pPr>
      <w:r>
        <w:t xml:space="preserve">☐ API do dashboard: especificação OpenAPI, testes de carga</w:t>
      </w:r>
    </w:p>
    <w:p>
      <w:pPr>
        <w:pStyle w:val="Compact"/>
        <w:numPr>
          <w:ilvl w:val="0"/>
          <w:numId w:val="1055"/>
        </w:numPr>
      </w:pPr>
      <w:r>
        <w:t xml:space="preserve">☐ Relatórios regulatórios automatizados: BACEN, FinCEN, FCA</w:t>
      </w:r>
    </w:p>
    <w:bookmarkEnd w:id="101"/>
    <w:bookmarkStart w:id="102" w:name="fase-3-consolidação-meses-10-18"/>
    <w:p>
      <w:pPr>
        <w:pStyle w:val="2"/>
      </w:pPr>
      <w:r>
        <w:t xml:space="preserve">6.3 Fase 3: Consolidação (Meses 10-18)</w:t>
      </w:r>
    </w:p>
    <w:p>
      <w:pPr>
        <w:pStyle w:val="Compact"/>
        <w:numPr>
          <w:ilvl w:val="0"/>
          <w:numId w:val="1056"/>
        </w:numPr>
      </w:pPr>
      <w:r>
        <w:t xml:space="preserve">☐ Liquidez institucional: market makers, B2B API</w:t>
      </w:r>
    </w:p>
    <w:p>
      <w:pPr>
        <w:pStyle w:val="Compact"/>
        <w:numPr>
          <w:ilvl w:val="0"/>
          <w:numId w:val="1056"/>
        </w:numPr>
      </w:pPr>
      <w:r>
        <w:t xml:space="preserve">☐ Novos braços de negócio: Treasury, Payroll, Credit, Yield, Merchant</w:t>
      </w:r>
    </w:p>
    <w:p>
      <w:pPr>
        <w:pStyle w:val="Compact"/>
        <w:numPr>
          <w:ilvl w:val="0"/>
          <w:numId w:val="1056"/>
        </w:numPr>
      </w:pPr>
      <w:r>
        <w:t xml:space="preserve">☐ Data room para investidores: due diligence &lt; 2 semanas</w:t>
      </w:r>
    </w:p>
    <w:p>
      <w:pPr>
        <w:pStyle w:val="Compact"/>
        <w:numPr>
          <w:ilvl w:val="0"/>
          <w:numId w:val="1056"/>
        </w:numPr>
      </w:pPr>
      <w:r>
        <w:t xml:space="preserve">☐ Auditoria externa anual: zero divergências Macrohash/Minihash</w:t>
      </w:r>
    </w:p>
    <w:p>
      <w:pPr>
        <w:pStyle w:val="Compact"/>
        <w:numPr>
          <w:ilvl w:val="0"/>
          <w:numId w:val="1056"/>
        </w:numPr>
      </w:pPr>
      <w:r>
        <w:t xml:space="preserve">☐ Parceria estratégica: 1 gigante (Stripe, Mastercard, Visa)</w:t>
      </w:r>
    </w:p>
    <w:bookmarkEnd w:id="102"/>
    <w:bookmarkStart w:id="103" w:name="fase-4-dominância-meses-19-24"/>
    <w:p>
      <w:pPr>
        <w:pStyle w:val="2"/>
      </w:pPr>
      <w:r>
        <w:t xml:space="preserve">6.4 Fase 4: Dominância (Meses 19-24)</w:t>
      </w:r>
    </w:p>
    <w:p>
      <w:pPr>
        <w:pStyle w:val="Compact"/>
        <w:numPr>
          <w:ilvl w:val="0"/>
          <w:numId w:val="1057"/>
        </w:numPr>
      </w:pPr>
      <w:r>
        <w:t xml:space="preserve">☐ 20+ países, GTV US$ 500M+</w:t>
      </w:r>
    </w:p>
    <w:p>
      <w:pPr>
        <w:pStyle w:val="Compact"/>
        <w:numPr>
          <w:ilvl w:val="0"/>
          <w:numId w:val="1057"/>
        </w:numPr>
      </w:pPr>
      <w:r>
        <w:t xml:space="preserve">☐ Valuation US$ 150M–500M</w:t>
      </w:r>
    </w:p>
    <w:p>
      <w:pPr>
        <w:pStyle w:val="Compact"/>
        <w:numPr>
          <w:ilvl w:val="0"/>
          <w:numId w:val="1057"/>
        </w:numPr>
      </w:pPr>
      <w:r>
        <w:t xml:space="preserve">☐ IPO ou aquisição estratégica (opcional)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Xe5b4cee2e2df605d35aff1c4512074031af249f"/>
    <w:p>
      <w:pPr>
        <w:pStyle w:val="1"/>
      </w:pPr>
      <w:r>
        <w:t xml:space="preserve">PARTE VII: CONCLUSÃO DA AUDITORIA DE PROCESSOS</w:t>
      </w:r>
    </w:p>
    <w:bookmarkStart w:id="105" w:name="veredicto-final"/>
    <w:p>
      <w:pPr>
        <w:pStyle w:val="2"/>
      </w:pPr>
      <w:r>
        <w:t xml:space="preserve">7.1 Veredicto Final</w:t>
      </w:r>
    </w:p>
    <w:p>
      <w:pPr>
        <w:pStyle w:val="FirstParagraph"/>
      </w:pPr>
      <w:r>
        <w:t xml:space="preserve">A base de processos do FLUXUS é</w:t>
      </w:r>
      <w:r>
        <w:t xml:space="preserve"> </w:t>
      </w:r>
      <w:r>
        <w:rPr>
          <w:b/>
          <w:bCs/>
        </w:rPr>
        <w:t xml:space="preserve">conceitualmente forte</w:t>
      </w:r>
      <w:r>
        <w:t xml:space="preserve">, com inovações genuínas (Shadow-Crypto, Alocação Híbrida, Três Modalidades de Re-Liquidação). No entanto,</w:t>
      </w:r>
      <w:r>
        <w:t xml:space="preserve"> </w:t>
      </w:r>
      <w:r>
        <w:rPr>
          <w:b/>
          <w:bCs/>
        </w:rPr>
        <w:t xml:space="preserve">existem lacunas operacionais graves que podem matar o projeto antes do lançamento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 IOF mata o LP em tickets pequenos</w:t>
      </w:r>
      <w:r>
        <w:t xml:space="preserve"> </w:t>
      </w:r>
      <w:r>
        <w:t xml:space="preserve">— Problema identificado em discussão interna, mas não incorporado nos documentos oficiais.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Sem fallback se VASP falhar</w:t>
      </w:r>
      <w:r>
        <w:t xml:space="preserve"> </w:t>
      </w:r>
      <w:r>
        <w:t xml:space="preserve">— LP fica com capital travado, confiança quebra.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Sem plano para blacklist de USDT</w:t>
      </w:r>
      <w:r>
        <w:t xml:space="preserve"> </w:t>
      </w:r>
      <w:r>
        <w:t xml:space="preserve">— Risco existencial ignorado.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Fiscal incompleto</w:t>
      </w:r>
      <w:r>
        <w:t xml:space="preserve"> </w:t>
      </w:r>
      <w:r>
        <w:t xml:space="preserve">— Tese de isenção é boa, mas não cobre cenários reais de escala.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Governança documental fraca</w:t>
      </w:r>
      <w:r>
        <w:t xml:space="preserve"> </w:t>
      </w:r>
      <w:r>
        <w:t xml:space="preserve">— Duplicações, sem versionamento, sem RACI.</w:t>
      </w:r>
    </w:p>
    <w:p>
      <w:pPr>
        <w:pStyle w:val="FirstParagraph"/>
      </w:pPr>
      <w:r>
        <w:rPr>
          <w:b/>
          <w:bCs/>
        </w:rPr>
        <w:t xml:space="preserve">Pontuação Geral da Base de Processos:</w:t>
      </w:r>
      <w:r>
        <w:t xml:space="preserve"> </w:t>
      </w:r>
      <w:r>
        <w:t xml:space="preserve">6,6/10</w:t>
      </w:r>
      <w:r>
        <w:t xml:space="preserve"> </w:t>
      </w:r>
      <w:r>
        <w:rPr>
          <w:b/>
          <w:bCs/>
        </w:rPr>
        <w:t xml:space="preserve">Pontuação Pós-Expansão Proposta:</w:t>
      </w:r>
      <w:r>
        <w:t xml:space="preserve"> </w:t>
      </w:r>
      <w:r>
        <w:t xml:space="preserve">9,0/10</w:t>
      </w:r>
    </w:p>
    <w:bookmarkEnd w:id="105"/>
    <w:bookmarkStart w:id="106" w:name="recomendações-prioritárias"/>
    <w:p>
      <w:pPr>
        <w:pStyle w:val="2"/>
      </w:pPr>
      <w:r>
        <w:t xml:space="preserve">7.2 Recomendações Prioritárias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🔴 URGENTE (Semana 1):</w:t>
      </w:r>
      <w:r>
        <w:t xml:space="preserve"> </w:t>
      </w:r>
      <w:r>
        <w:t xml:space="preserve">Criar calculadora de rentabilidade real e comunicar aos LPs beta o risco do IOF.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🔴 URGENTE (Mês 1):</w:t>
      </w:r>
      <w:r>
        <w:t xml:space="preserve"> </w:t>
      </w:r>
      <w:r>
        <w:t xml:space="preserve">Especificar fallback de re-liquidação e testar com 3 VASPs.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🔴 URGENTE (Mês 1):</w:t>
      </w:r>
      <w:r>
        <w:t xml:space="preserve"> </w:t>
      </w:r>
      <w:r>
        <w:t xml:space="preserve">Criar circuit breaker para blacklist de USDT e integrar USDC como backup.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🟡 ALTA (Mês 2):</w:t>
      </w:r>
      <w:r>
        <w:t xml:space="preserve"> </w:t>
      </w:r>
      <w:r>
        <w:t xml:space="preserve">Completar análise fiscal (PJ vs. PF, acima de R$ 35k, ISS/PIS/COFINS).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🟡 ALTA (Mês 2):</w:t>
      </w:r>
      <w:r>
        <w:t xml:space="preserve"> </w:t>
      </w:r>
      <w:r>
        <w:t xml:space="preserve">Implementar single source of truth e eliminar duplicações.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🟢 MÉDIA (Mês 3):</w:t>
      </w:r>
      <w:r>
        <w:t xml:space="preserve"> </w:t>
      </w:r>
      <w:r>
        <w:t xml:space="preserve">Desenvolver mobile app para LP e API do dashboard.</w:t>
      </w:r>
    </w:p>
    <w:bookmarkEnd w:id="106"/>
    <w:bookmarkStart w:id="107" w:name="mensagem-final"/>
    <w:p>
      <w:pPr>
        <w:pStyle w:val="2"/>
      </w:pPr>
      <w:r>
        <w:t xml:space="preserve">7.3 Mensagem Final</w:t>
      </w:r>
    </w:p>
    <w:p>
      <w:pPr>
        <w:pStyle w:val="aa"/>
      </w:pPr>
      <w:r>
        <w:t xml:space="preserve">O FLUXUS tem um modelo de negócio que pode revolucionar remessas globais. Mas revoluções precisam de</w:t>
      </w:r>
      <w:r>
        <w:t xml:space="preserve"> </w:t>
      </w:r>
      <w:r>
        <w:rPr>
          <w:b/>
          <w:bCs/>
        </w:rPr>
        <w:t xml:space="preserve">fundamentos operacionais sólidos</w:t>
      </w:r>
      <w:r>
        <w:t xml:space="preserve">. Um LP que perde dinheiro na primeira transação não volta. Uma VASP que falha e não tem fallback quebra a rede. Uma stablecoin blacklistada para o sistema. Esta auditoria fornece o mapa para transformar uma excelente visão em uma</w:t>
      </w:r>
      <w:r>
        <w:t xml:space="preserve"> </w:t>
      </w:r>
      <w:r>
        <w:rPr>
          <w:b/>
          <w:bCs/>
        </w:rPr>
        <w:t xml:space="preserve">máquina operacional imbatível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elaborado por Antigravity — Engenharia de Orquestração FLUXUS</w:t>
      </w:r>
      <w:r>
        <w:br/>
      </w:r>
      <w:r>
        <w:rPr>
          <w:i/>
          <w:iCs/>
        </w:rPr>
        <w:t xml:space="preserve">Abril 2026 | Consolidação de 9 documentos de processos + análise de gaps + expansão de escopo operacional</w:t>
      </w:r>
    </w:p>
    <w:bookmarkEnd w:id="107"/>
    <w:bookmarkEnd w:id="10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2026-04-26T13:21:40Z</dcterms:created>
  <dcterms:modified xsi:type="dcterms:W3CDTF">2026-04-26T13:21:40Z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vpvlb2ulb3dru88a1g-19dc8cc3-a312-8891-8000-09eeb28ffe33-20260426132140","ReservedCode1":"","ContentPropagator":"001191110108MACG2KBH8F20000","PropagateID":"d5vpvlb2ulb3dru88a1g-19dc8cc3-a312-8891-8000-09eeb28ffe33-20260426132140","ReservedCode2":""}</vt:lpwstr>
  </property>
</Properties>
</file>