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b w:val="1"/>
          <w:bCs w:val="1"/>
          <w:color w:val="2e75b6"/>
          <w:rtl w:val="0"/>
        </w:rPr>
        <w:t xml:space="preserve">DOCTORADO EN CIENCIAS DE LA COMPUTACION</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color w:val="404040"/>
          <w:sz w:val="20"/>
          <w:szCs w:val="20"/>
          <w:rtl w:val="0"/>
        </w:rPr>
        <w:t xml:space="preserve">Calidad del Software con IA — 2026</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Grupo 5</w:t>
      </w:r>
    </w:p>
    <w:p w:rsidR="00000000" w:rsidDel="00000000" w:rsidP="00000000" w:rsidRDefault="00000000" w:rsidRPr="00000000" w14:paraId="0000000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CALLE TERRAZAS EDWIN</w:t>
      </w:r>
    </w:p>
    <w:p w:rsidR="00000000" w:rsidDel="00000000" w:rsidP="00000000" w:rsidRDefault="00000000" w:rsidRPr="00000000" w14:paraId="0000000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FERNANDEZ GUZMAN HELDER OCTAVIO</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LUNA MAMANI EFRAIN FERNANDO</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PEINADO PEREIRA JUAN CARLOS</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40" w:before="40" w:line="240" w:lineRule="auto"/>
        <w:ind w:left="1440"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VILLAZON VALDEZ JOSE PABLO</w:t>
      </w:r>
    </w:p>
    <w:p w:rsidR="00000000" w:rsidDel="00000000" w:rsidP="00000000" w:rsidRDefault="00000000" w:rsidRPr="00000000" w14:paraId="00000009">
      <w:pPr>
        <w:pBdr>
          <w:left w:color="2e75b6" w:space="1" w:sz="12" w:val="single"/>
        </w:pBdr>
        <w:spacing w:after="80" w:before="80" w:lineRule="auto"/>
        <w:rPr/>
      </w:pPr>
      <w:r w:rsidDel="00000000" w:rsidR="00000000" w:rsidRPr="00000000">
        <w:rPr>
          <w:b w:val="1"/>
          <w:bCs w:val="1"/>
          <w:color w:val="1f3864"/>
          <w:sz w:val="20"/>
          <w:szCs w:val="20"/>
          <w:rtl w:val="0"/>
        </w:rPr>
        <w:t xml:space="preserve">Nota: </w:t>
      </w:r>
      <w:r w:rsidDel="00000000" w:rsidR="00000000" w:rsidRPr="00000000">
        <w:rPr>
          <w:color w:val="404040"/>
          <w:sz w:val="20"/>
          <w:szCs w:val="20"/>
          <w:rtl w:val="0"/>
        </w:rPr>
        <w:t xml:space="preserve">Este documento constituye el informe escrito del Grupo 5, sobre el que se fue desarrollando y estructurando el contenido en base al formato guía provisto. La presentación (8-10 diapositivas) que incluye la matriz de evidencia y el Top 5 se encuentran en el repositorio del grupo en la carpeta /final, mismo lugar donde debería estar este documento.</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60.0" w:type="dxa"/>
              <w:left w:w="240.0" w:type="dxa"/>
              <w:bottom w:w="160.0" w:type="dxa"/>
              <w:right w:w="240.0" w:type="dxa"/>
            </w:tcMar>
          </w:tcPr>
          <w:p w:rsidR="00000000" w:rsidDel="00000000" w:rsidP="00000000" w:rsidRDefault="00000000" w:rsidRPr="00000000" w14:paraId="0000000C">
            <w:pPr>
              <w:jc w:val="center"/>
              <w:rPr/>
            </w:pPr>
            <w:r w:rsidDel="00000000" w:rsidR="00000000" w:rsidRPr="00000000">
              <w:rPr>
                <w:b w:val="1"/>
                <w:bCs w:val="1"/>
                <w:color w:val="ffffff"/>
                <w:sz w:val="36"/>
                <w:szCs w:val="36"/>
                <w:rtl w:val="0"/>
              </w:rPr>
              <w:t xml:space="preserve">RIESGOS MODERNOS EN CALIDAD DEL SOFTWARE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40.0" w:type="dxa"/>
              <w:left w:w="240.0" w:type="dxa"/>
              <w:bottom w:w="160.0" w:type="dxa"/>
              <w:right w:w="240.0" w:type="dxa"/>
            </w:tcMar>
          </w:tcPr>
          <w:p w:rsidR="00000000" w:rsidDel="00000000" w:rsidP="00000000" w:rsidRDefault="00000000" w:rsidRPr="00000000" w14:paraId="0000000D">
            <w:pPr>
              <w:jc w:val="center"/>
              <w:rPr/>
            </w:pPr>
            <w:r w:rsidDel="00000000" w:rsidR="00000000" w:rsidRPr="00000000">
              <w:rPr>
                <w:b w:val="1"/>
                <w:bCs w:val="1"/>
                <w:color w:val="bdd7ee"/>
                <w:sz w:val="26"/>
                <w:szCs w:val="26"/>
                <w:rtl w:val="0"/>
              </w:rPr>
              <w:t xml:space="preserve">Ley de Goodhart e IA: Gaming, Auditoría, Controles y Responsabilidad</w:t>
            </w:r>
            <w:r w:rsidDel="00000000" w:rsidR="00000000" w:rsidRPr="00000000">
              <w:rPr>
                <w:rtl w:val="0"/>
              </w:rPr>
            </w:r>
          </w:p>
        </w:tc>
      </w:tr>
    </w:tbl>
    <w:p w:rsidR="00000000" w:rsidDel="00000000" w:rsidP="00000000" w:rsidRDefault="00000000" w:rsidRPr="00000000" w14:paraId="0000000E">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4800"/>
        <w:tblGridChange w:id="0">
          <w:tblGrid>
            <w:gridCol w:w="4560"/>
            <w:gridCol w:w="480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100.0" w:type="dxa"/>
              <w:left w:w="160.0" w:type="dxa"/>
              <w:bottom w:w="100.0" w:type="dxa"/>
              <w:right w:w="160.0" w:type="dxa"/>
            </w:tcMar>
          </w:tcPr>
          <w:p w:rsidR="00000000" w:rsidDel="00000000" w:rsidP="00000000" w:rsidRDefault="00000000" w:rsidRPr="00000000" w14:paraId="0000000F">
            <w:pPr>
              <w:rPr/>
            </w:pPr>
            <w:r w:rsidDel="00000000" w:rsidR="00000000" w:rsidRPr="00000000">
              <w:rPr>
                <w:b w:val="1"/>
                <w:bCs w:val="1"/>
                <w:color w:val="1f3864"/>
                <w:rtl w:val="0"/>
              </w:rPr>
              <w:t xml:space="preserve">Grupo</w:t>
            </w:r>
            <w:r w:rsidDel="00000000" w:rsidR="00000000" w:rsidRPr="00000000">
              <w:rPr>
                <w:rtl w:val="0"/>
              </w:rPr>
            </w:r>
          </w:p>
          <w:p w:rsidR="00000000" w:rsidDel="00000000" w:rsidP="00000000" w:rsidRDefault="00000000" w:rsidRPr="00000000" w14:paraId="00000010">
            <w:pPr>
              <w:rPr/>
            </w:pPr>
            <w:r w:rsidDel="00000000" w:rsidR="00000000" w:rsidRPr="00000000">
              <w:rPr>
                <w:color w:val="404040"/>
                <w:rtl w:val="0"/>
              </w:rPr>
              <w:t xml:space="preserve">Grupo 5 — Tema 6</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d6e4f0" w:val="clear"/>
            <w:tcMar>
              <w:top w:w="100.0" w:type="dxa"/>
              <w:left w:w="160.0" w:type="dxa"/>
              <w:bottom w:w="100.0" w:type="dxa"/>
              <w:right w:w="160.0" w:type="dxa"/>
            </w:tcMar>
          </w:tcPr>
          <w:p w:rsidR="00000000" w:rsidDel="00000000" w:rsidP="00000000" w:rsidRDefault="00000000" w:rsidRPr="00000000" w14:paraId="00000011">
            <w:pPr>
              <w:rPr/>
            </w:pPr>
            <w:r w:rsidDel="00000000" w:rsidR="00000000" w:rsidRPr="00000000">
              <w:rPr>
                <w:b w:val="1"/>
                <w:bCs w:val="1"/>
                <w:color w:val="1f3864"/>
                <w:rtl w:val="0"/>
              </w:rPr>
              <w:t xml:space="preserve">Año académico</w:t>
            </w:r>
            <w:r w:rsidDel="00000000" w:rsidR="00000000" w:rsidRPr="00000000">
              <w:rPr>
                <w:rtl w:val="0"/>
              </w:rPr>
            </w:r>
          </w:p>
          <w:p w:rsidR="00000000" w:rsidDel="00000000" w:rsidP="00000000" w:rsidRDefault="00000000" w:rsidRPr="00000000" w14:paraId="00000012">
            <w:pPr>
              <w:rPr/>
            </w:pPr>
            <w:r w:rsidDel="00000000" w:rsidR="00000000" w:rsidRPr="00000000">
              <w:rPr>
                <w:color w:val="404040"/>
                <w:rtl w:val="0"/>
              </w:rPr>
              <w:t xml:space="preserve">2026</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100.0" w:type="dxa"/>
              <w:left w:w="160.0" w:type="dxa"/>
              <w:bottom w:w="100.0" w:type="dxa"/>
              <w:right w:w="160.0" w:type="dxa"/>
            </w:tcMar>
          </w:tcPr>
          <w:p w:rsidR="00000000" w:rsidDel="00000000" w:rsidP="00000000" w:rsidRDefault="00000000" w:rsidRPr="00000000" w14:paraId="00000013">
            <w:pPr>
              <w:rPr/>
            </w:pPr>
            <w:r w:rsidDel="00000000" w:rsidR="00000000" w:rsidRPr="00000000">
              <w:rPr>
                <w:b w:val="1"/>
                <w:bCs w:val="1"/>
                <w:color w:val="1f3864"/>
                <w:rtl w:val="0"/>
              </w:rPr>
              <w:t xml:space="preserve">Modalidad</w:t>
            </w:r>
            <w:r w:rsidDel="00000000" w:rsidR="00000000" w:rsidRPr="00000000">
              <w:rPr>
                <w:rtl w:val="0"/>
              </w:rPr>
            </w:r>
          </w:p>
          <w:p w:rsidR="00000000" w:rsidDel="00000000" w:rsidP="00000000" w:rsidRDefault="00000000" w:rsidRPr="00000000" w14:paraId="00000014">
            <w:pPr>
              <w:rPr/>
            </w:pPr>
            <w:r w:rsidDel="00000000" w:rsidR="00000000" w:rsidRPr="00000000">
              <w:rPr>
                <w:color w:val="404040"/>
                <w:rtl w:val="0"/>
              </w:rPr>
              <w:t xml:space="preserve">Presentación de hallazgos — Sesión final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60.0" w:type="dxa"/>
              <w:bottom w:w="100.0" w:type="dxa"/>
              <w:right w:w="160.0" w:type="dxa"/>
            </w:tcMar>
          </w:tcPr>
          <w:p w:rsidR="00000000" w:rsidDel="00000000" w:rsidP="00000000" w:rsidRDefault="00000000" w:rsidRPr="00000000" w14:paraId="00000015">
            <w:pPr>
              <w:rPr/>
            </w:pPr>
            <w:r w:rsidDel="00000000" w:rsidR="00000000" w:rsidRPr="00000000">
              <w:rPr>
                <w:b w:val="1"/>
                <w:bCs w:val="1"/>
                <w:color w:val="1f3864"/>
                <w:rtl w:val="0"/>
              </w:rPr>
              <w:t xml:space="preserve">Entregable</w:t>
            </w:r>
            <w:r w:rsidDel="00000000" w:rsidR="00000000" w:rsidRPr="00000000">
              <w:rPr>
                <w:rtl w:val="0"/>
              </w:rPr>
            </w:r>
          </w:p>
          <w:p w:rsidR="00000000" w:rsidDel="00000000" w:rsidP="00000000" w:rsidRDefault="00000000" w:rsidRPr="00000000" w14:paraId="00000016">
            <w:pPr>
              <w:rPr/>
            </w:pPr>
            <w:r w:rsidDel="00000000" w:rsidR="00000000" w:rsidRPr="00000000">
              <w:rPr>
                <w:color w:val="404040"/>
                <w:rtl w:val="0"/>
              </w:rPr>
              <w:t xml:space="preserve">Informe + Matriz de Evidencia + Top 5</w:t>
            </w:r>
            <w:r w:rsidDel="00000000" w:rsidR="00000000" w:rsidRPr="00000000">
              <w:rPr>
                <w:rtl w:val="0"/>
              </w:rPr>
            </w:r>
          </w:p>
        </w:tc>
      </w:tr>
    </w:tbl>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pBdr>
          <w:left w:color="2e75b6" w:space="1" w:sz="12" w:val="single"/>
        </w:pBdr>
        <w:spacing w:after="80" w:before="80" w:lineRule="auto"/>
        <w:ind w:left="240" w:firstLine="0"/>
        <w:rPr/>
      </w:pPr>
      <w:r w:rsidDel="00000000" w:rsidR="00000000" w:rsidRPr="00000000">
        <w:rPr>
          <w:b w:val="1"/>
          <w:bCs w:val="1"/>
          <w:color w:val="1f3864"/>
          <w:rtl w:val="0"/>
        </w:rPr>
        <w:t xml:space="preserve">Pregunta guía: </w:t>
      </w:r>
      <w:r w:rsidDel="00000000" w:rsidR="00000000" w:rsidRPr="00000000">
        <w:rPr>
          <w:i w:val="1"/>
          <w:iCs w:val="1"/>
          <w:color w:val="404040"/>
          <w:rtl w:val="0"/>
        </w:rPr>
        <w:t xml:space="preserve">¿Cómo impacta la Ley de Goodhart en sistemas de software basados en IA y qué mecanismos de auditoría, control y responsabilidad permiten mitigar el gaming de métricas sin degradar la calidad ni generar riesgos sistémicos?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pBdr>
          <w:left w:color="c00000" w:space="1" w:sz="12" w:val="single"/>
        </w:pBdr>
        <w:spacing w:after="80" w:before="80" w:lineRule="auto"/>
        <w:ind w:left="708" w:hanging="468"/>
        <w:rPr/>
      </w:pPr>
      <w:r w:rsidDel="00000000" w:rsidR="00000000" w:rsidRPr="00000000">
        <w:rPr>
          <w:b w:val="1"/>
          <w:bCs w:val="1"/>
          <w:color w:val="c00000"/>
          <w:rtl w:val="0"/>
        </w:rPr>
        <w:t xml:space="preserve">Tesis principal: </w:t>
      </w:r>
      <w:r w:rsidDel="00000000" w:rsidR="00000000" w:rsidRPr="00000000">
        <w:rPr>
          <w:color w:val="404040"/>
          <w:rtl w:val="0"/>
        </w:rPr>
        <w:t xml:space="preserve">En sistemas basados en IA, la optimización intensiva de métricas formalizadas activa la Ley de Goodhart: cuando una medida se convierte en objetivo, deja de ser una buena medida. Esto incentiva comportamientos de gaming, desplaza la calidad sustantiva y genera riesgos técnicos y éticos. Los marcos de QA deben rediseñarse hacia modelos auditables, multicriterio y con responsabilidad explícita.</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1C">
            <w:pPr>
              <w:rPr/>
            </w:pPr>
            <w:r w:rsidDel="00000000" w:rsidR="00000000" w:rsidRPr="00000000">
              <w:rPr>
                <w:b w:val="1"/>
                <w:bCs w:val="1"/>
                <w:color w:val="1f3864"/>
                <w:sz w:val="24"/>
                <w:szCs w:val="24"/>
                <w:rtl w:val="0"/>
              </w:rPr>
              <w:t xml:space="preserve">SLIDE 1 — CONTEXTO Y PROPÓSITO</w:t>
            </w:r>
            <w:r w:rsidDel="00000000" w:rsidR="00000000" w:rsidRPr="00000000">
              <w:rPr>
                <w:rtl w:val="0"/>
              </w:rPr>
            </w:r>
          </w:p>
        </w:tc>
      </w:tr>
    </w:tbl>
    <w:p w:rsidR="00000000" w:rsidDel="00000000" w:rsidP="00000000" w:rsidRDefault="00000000" w:rsidRPr="00000000" w14:paraId="0000001D">
      <w:pPr>
        <w:spacing w:after="40" w:before="4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¿Por qué este tema es relevante ahora?</w:t>
      </w:r>
    </w:p>
    <w:p w:rsidR="00000000" w:rsidDel="00000000" w:rsidP="00000000" w:rsidRDefault="00000000" w:rsidRPr="00000000" w14:paraId="0000001F">
      <w:pPr>
        <w:spacing w:after="80" w:before="60" w:lineRule="auto"/>
        <w:rPr/>
      </w:pPr>
      <w:r w:rsidDel="00000000" w:rsidR="00000000" w:rsidRPr="00000000">
        <w:rPr>
          <w:color w:val="404040"/>
          <w:rtl w:val="0"/>
        </w:rPr>
        <w:t xml:space="preserve">La expansión de sistemas de IA generativa y predictiva en entornos críticos —finanzas, salud, educación y sector público— ha intensificado la dependencia de métricas como proxies de calidad y seguridad (OECD, 2023; European Commission, 2021). Sin embargo, cuando una métrica se convierte en objetivo, deja de ser una buena medida: este fenómeno, descrito por la Ley de Goodhart (1975), se manifiesta hoy como optimización estratégica de indicadores, sobreajuste a benchmarks y pérdida de alineación con el valor real (Strathern, 1997; Murphy, 2021).</w:t>
      </w:r>
      <w:r w:rsidDel="00000000" w:rsidR="00000000" w:rsidRPr="00000000">
        <w:rPr>
          <w:rtl w:val="0"/>
        </w:rPr>
      </w:r>
    </w:p>
    <w:p w:rsidR="00000000" w:rsidDel="00000000" w:rsidP="00000000" w:rsidRDefault="00000000" w:rsidRPr="00000000" w14:paraId="00000020">
      <w:pPr>
        <w:spacing w:after="40" w:before="40" w:lineRule="auto"/>
        <w:rPr/>
      </w:pPr>
      <w:r w:rsidDel="00000000" w:rsidR="00000000" w:rsidRPr="00000000">
        <w:rPr>
          <w:rtl w:val="0"/>
        </w:rPr>
      </w:r>
    </w:p>
    <w:p w:rsidR="00000000" w:rsidDel="00000000" w:rsidP="00000000" w:rsidRDefault="00000000" w:rsidRPr="00000000" w14:paraId="00000021">
      <w:pPr>
        <w:pStyle w:val="Heading3"/>
        <w:rPr/>
      </w:pPr>
      <w:r w:rsidDel="00000000" w:rsidR="00000000" w:rsidRPr="00000000">
        <w:rPr>
          <w:rtl w:val="0"/>
        </w:rPr>
        <w:t xml:space="preserve">Problemas de QA/ingeniería que aborda</w:t>
      </w:r>
    </w:p>
    <w:p w:rsidR="00000000" w:rsidDel="00000000" w:rsidP="00000000" w:rsidRDefault="00000000" w:rsidRPr="00000000" w14:paraId="00000022">
      <w:pPr>
        <w:rPr/>
      </w:pPr>
      <w:r w:rsidDel="00000000" w:rsidR="00000000" w:rsidRPr="00000000">
        <w:rPr>
          <w:rtl w:val="0"/>
        </w:rPr>
        <w:t xml:space="preserve">A diferencia del software tradicional, donde la calidad puede evaluarse mediante pruebas funcionales relativamente deterministas, los sistemas basados en IA presentan comportamientos probabilísticos y dependen de métricas y benchmarks como proxies de desempeño. En este contexto, la calidad del sistema se vuelve inseparable de la forma en que se definen, utilizan y gobiernan estas métricas, lo que introduce nuevos riesgos asociados a la Ley de Goodhart y al gaming de indicadores.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Optimización adversarial de métricas (gaming interno o externo), coherente con la dinámica descrita en sistemas socio-técnicos (Goodhart, 1975; Strathern, 1997).</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Sobreajuste a benchmarks y datasets estáticos, fenómeno documentado en evaluación de modelos de IA (Murphy, 2021; Singh et al., 2025).</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Falta de auditabilidad y explicabilidad en modelos complejos, especialmente en deep learning (Doshi-Velez &amp; Kim, 2017).</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Ambigüedad en la asignación de responsabilidad algorítmica, cuestión central en marcos de gobernanza de IA (European Commission, 2021; OECD, 2023).</w:t>
      </w:r>
      <w:r w:rsidDel="00000000" w:rsidR="00000000" w:rsidRPr="00000000">
        <w:rPr>
          <w:rtl w:val="0"/>
        </w:rPr>
      </w:r>
    </w:p>
    <w:p w:rsidR="00000000" w:rsidDel="00000000" w:rsidP="00000000" w:rsidRDefault="00000000" w:rsidRPr="00000000" w14:paraId="00000028">
      <w:pPr>
        <w:spacing w:after="40" w:before="40" w:lineRule="auto"/>
        <w:ind w:left="0" w:firstLine="0"/>
        <w:rPr/>
      </w:pPr>
      <w:r w:rsidDel="00000000" w:rsidR="00000000" w:rsidRPr="00000000">
        <w:rPr>
          <w:rtl w:val="0"/>
        </w:rPr>
      </w:r>
    </w:p>
    <w:p w:rsidR="00000000" w:rsidDel="00000000" w:rsidP="00000000" w:rsidRDefault="00000000" w:rsidRPr="00000000" w14:paraId="00000029">
      <w:pPr>
        <w:pStyle w:val="Heading3"/>
        <w:rPr/>
      </w:pPr>
      <w:r w:rsidDel="00000000" w:rsidR="00000000" w:rsidRPr="00000000">
        <w:rPr>
          <w:rtl w:val="0"/>
        </w:rPr>
        <w:t xml:space="preserve">Qué mejora o decisión habilita</w:t>
      </w:r>
    </w:p>
    <w:p w:rsidR="00000000" w:rsidDel="00000000" w:rsidP="00000000" w:rsidRDefault="00000000" w:rsidRPr="00000000" w14:paraId="0000002A">
      <w:pPr>
        <w:spacing w:after="80" w:before="60" w:lineRule="auto"/>
        <w:rPr/>
      </w:pPr>
      <w:r w:rsidDel="00000000" w:rsidR="00000000" w:rsidRPr="00000000">
        <w:rPr>
          <w:color w:val="404040"/>
          <w:rtl w:val="0"/>
        </w:rPr>
        <w:t xml:space="preserve">Permite rediseñar marcos de QA para IA hacia modelos multicriterio, auditables y con accountability explícita, alineados con principios de IA confiable y gobernanza responsable (European Commission, 2021; OECD, 2023).</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2C">
            <w:pPr>
              <w:rPr/>
            </w:pPr>
            <w:r w:rsidDel="00000000" w:rsidR="00000000" w:rsidRPr="00000000">
              <w:rPr>
                <w:b w:val="1"/>
                <w:bCs w:val="1"/>
                <w:color w:val="1f3864"/>
                <w:sz w:val="24"/>
                <w:szCs w:val="24"/>
                <w:rtl w:val="0"/>
              </w:rPr>
              <w:t xml:space="preserve">SLIDE 2 — PREGUNTA GUÍA Y ALCANCE</w:t>
            </w:r>
            <w:r w:rsidDel="00000000" w:rsidR="00000000" w:rsidRPr="00000000">
              <w:rPr>
                <w:rtl w:val="0"/>
              </w:rPr>
            </w:r>
          </w:p>
        </w:tc>
      </w:tr>
    </w:tbl>
    <w:p w:rsidR="00000000" w:rsidDel="00000000" w:rsidP="00000000" w:rsidRDefault="00000000" w:rsidRPr="00000000" w14:paraId="0000002D">
      <w:pPr>
        <w:spacing w:after="40" w:before="40" w:lineRule="auto"/>
        <w:rPr/>
      </w:pPr>
      <w:r w:rsidDel="00000000" w:rsidR="00000000" w:rsidRPr="00000000">
        <w:rPr>
          <w:rtl w:val="0"/>
        </w:rPr>
      </w:r>
    </w:p>
    <w:p w:rsidR="00000000" w:rsidDel="00000000" w:rsidP="00000000" w:rsidRDefault="00000000" w:rsidRPr="00000000" w14:paraId="0000002E">
      <w:pPr>
        <w:pBdr>
          <w:left w:color="2e75b6" w:space="1" w:sz="12" w:val="single"/>
        </w:pBdr>
        <w:spacing w:after="60" w:before="60" w:lineRule="auto"/>
        <w:ind w:left="240" w:firstLine="0"/>
        <w:rPr/>
      </w:pPr>
      <w:r w:rsidDel="00000000" w:rsidR="00000000" w:rsidRPr="00000000">
        <w:rPr>
          <w:b w:val="1"/>
          <w:bCs w:val="1"/>
          <w:color w:val="1f3864"/>
          <w:rtl w:val="0"/>
        </w:rPr>
        <w:t xml:space="preserve">Pregunta guía: </w:t>
      </w:r>
      <w:r w:rsidDel="00000000" w:rsidR="00000000" w:rsidRPr="00000000">
        <w:rPr>
          <w:i w:val="1"/>
          <w:iCs w:val="1"/>
          <w:color w:val="404040"/>
          <w:rtl w:val="0"/>
        </w:rPr>
        <w:t xml:space="preserve">¿Cómo impacta la Ley de Goodhart en sistemas de software basados en IA y qué mecanismos de auditoría, control y responsabilidad permiten mitigar el gaming de métricas sin degradar la calidad ni generar riesgos sistémicos?</w:t>
      </w:r>
      <w:r w:rsidDel="00000000" w:rsidR="00000000" w:rsidRPr="00000000">
        <w:rPr>
          <w:rtl w:val="0"/>
        </w:rPr>
      </w:r>
    </w:p>
    <w:p w:rsidR="00000000" w:rsidDel="00000000" w:rsidP="00000000" w:rsidRDefault="00000000" w:rsidRPr="00000000" w14:paraId="0000002F">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4800"/>
        <w:tblGridChange w:id="0">
          <w:tblGrid>
            <w:gridCol w:w="4560"/>
            <w:gridCol w:w="480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2e75b6" w:val="clear"/>
            <w:tcMar>
              <w:top w:w="80.0" w:type="dxa"/>
              <w:left w:w="160.0" w:type="dxa"/>
              <w:bottom w:w="80.0" w:type="dxa"/>
              <w:right w:w="160.0" w:type="dxa"/>
            </w:tcMar>
          </w:tcPr>
          <w:p w:rsidR="00000000" w:rsidDel="00000000" w:rsidP="00000000" w:rsidRDefault="00000000" w:rsidRPr="00000000" w14:paraId="00000030">
            <w:pPr>
              <w:rPr/>
            </w:pPr>
            <w:sdt>
              <w:sdtPr>
                <w:id w:val="-784675875"/>
                <w:tag w:val="goog_rdk_0"/>
              </w:sdtPr>
              <w:sdtContent>
                <w:r w:rsidDel="00000000" w:rsidR="00000000" w:rsidRPr="00000000">
                  <w:rPr>
                    <w:rFonts w:ascii="Arial Unicode MS" w:cs="Arial Unicode MS" w:eastAsia="Arial Unicode MS" w:hAnsi="Arial Unicode MS"/>
                    <w:b w:val="1"/>
                    <w:bCs w:val="1"/>
                    <w:color w:val="ffffff"/>
                    <w:rtl w:val="0"/>
                  </w:rPr>
                  <w:t xml:space="preserve">✔ INCLUYE</w:t>
                </w:r>
              </w:sdtContent>
            </w:sdt>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c00000" w:val="clear"/>
            <w:tcMar>
              <w:top w:w="80.0" w:type="dxa"/>
              <w:left w:w="160.0" w:type="dxa"/>
              <w:bottom w:w="80.0" w:type="dxa"/>
              <w:right w:w="160.0" w:type="dxa"/>
            </w:tcMar>
          </w:tcPr>
          <w:p w:rsidR="00000000" w:rsidDel="00000000" w:rsidP="00000000" w:rsidRDefault="00000000" w:rsidRPr="00000000" w14:paraId="00000031">
            <w:pPr>
              <w:rPr/>
            </w:pPr>
            <w:sdt>
              <w:sdtPr>
                <w:id w:val="1321415228"/>
                <w:tag w:val="goog_rdk_1"/>
              </w:sdtPr>
              <w:sdtContent>
                <w:r w:rsidDel="00000000" w:rsidR="00000000" w:rsidRPr="00000000">
                  <w:rPr>
                    <w:rFonts w:ascii="Arial Unicode MS" w:cs="Arial Unicode MS" w:eastAsia="Arial Unicode MS" w:hAnsi="Arial Unicode MS"/>
                    <w:b w:val="1"/>
                    <w:bCs w:val="1"/>
                    <w:color w:val="ffffff"/>
                    <w:rtl w:val="0"/>
                  </w:rPr>
                  <w:t xml:space="preserve">✘ EXCLUYE</w:t>
                </w:r>
              </w:sdtContent>
            </w:sdt>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60.0" w:type="dxa"/>
              <w:bottom w:w="80.0" w:type="dxa"/>
              <w:right w:w="160.0" w:type="dxa"/>
            </w:tcMa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Gaming y optimización adversarial de métricas (Goodhart, 1975; Strathern, 1997)</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Riesgos en ML: sobreajuste a benchmarks, reward hacking (Murphy, 2021; NIST, 2023)</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Marcos de auditoría algorítmica y gobernanza de IA (EU AI Act, OECD, 2023)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2f2" w:val="clear"/>
            <w:tcMar>
              <w:top w:w="80.0" w:type="dxa"/>
              <w:left w:w="160.0" w:type="dxa"/>
              <w:bottom w:w="80.0" w:type="dxa"/>
              <w:right w:w="160.0" w:type="dxa"/>
            </w:tcMar>
          </w:tcPr>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Desarrollo técnico detallado de arquitecturas específicas de deep learning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Análisis filosófico exhaustivo de ética de IA más allá de su conexión con QA</w:t>
            </w:r>
            <w:r w:rsidDel="00000000" w:rsidR="00000000" w:rsidRPr="00000000">
              <w:rPr>
                <w:rtl w:val="0"/>
              </w:rPr>
            </w:r>
          </w:p>
        </w:tc>
      </w:tr>
    </w:tbl>
    <w:p w:rsidR="00000000" w:rsidDel="00000000" w:rsidP="00000000" w:rsidRDefault="00000000" w:rsidRPr="00000000" w14:paraId="00000037">
      <w:pPr>
        <w:spacing w:after="40" w:before="40" w:lineRule="auto"/>
        <w:rPr/>
      </w:pPr>
      <w:r w:rsidDel="00000000" w:rsidR="00000000" w:rsidRPr="00000000">
        <w:rPr>
          <w:rtl w:val="0"/>
        </w:rPr>
      </w:r>
    </w:p>
    <w:p w:rsidR="00000000" w:rsidDel="00000000" w:rsidP="00000000" w:rsidRDefault="00000000" w:rsidRPr="00000000" w14:paraId="00000038">
      <w:pPr>
        <w:pStyle w:val="Heading3"/>
        <w:rPr/>
      </w:pPr>
      <w:r w:rsidDel="00000000" w:rsidR="00000000" w:rsidRPr="00000000">
        <w:rPr>
          <w:rtl w:val="0"/>
        </w:rPr>
        <w:t xml:space="preserve">Definiciones clave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7275"/>
        <w:tblGridChange w:id="0">
          <w:tblGrid>
            <w:gridCol w:w="2085"/>
            <w:gridCol w:w="7275"/>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b w:val="1"/>
                <w:bCs w:val="1"/>
                <w:color w:val="ffffff"/>
                <w:sz w:val="20"/>
                <w:szCs w:val="20"/>
                <w:rtl w:val="0"/>
              </w:rPr>
              <w:t xml:space="preserve">Término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ffffff"/>
                <w:sz w:val="20"/>
                <w:szCs w:val="20"/>
                <w:rtl w:val="0"/>
              </w:rPr>
              <w:t xml:space="preserve">Definición</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404040"/>
                <w:sz w:val="20"/>
                <w:szCs w:val="20"/>
                <w:rtl w:val="0"/>
              </w:rPr>
              <w:t xml:space="preserve">Ley de Goodhart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404040"/>
                <w:sz w:val="20"/>
                <w:szCs w:val="20"/>
                <w:rtl w:val="0"/>
              </w:rPr>
              <w:t xml:space="preserve">Cuando una medida se convierte en objetivo, deja de ser una buena medida (Goodhart, 1975). En IA: el modelo aprende a optimizar la proxy en vez del objetivo real.</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404040"/>
                <w:sz w:val="20"/>
                <w:szCs w:val="20"/>
                <w:rtl w:val="0"/>
              </w:rPr>
              <w:t xml:space="preserve">Gaming de métricas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404040"/>
                <w:sz w:val="20"/>
                <w:szCs w:val="20"/>
                <w:rtl w:val="0"/>
              </w:rPr>
              <w:t xml:space="preserve">Manipulación deliberada o emergente de indicadores para obtener resultados favorables sin mejorar la calidad sustantiva.</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404040"/>
                <w:sz w:val="20"/>
                <w:szCs w:val="20"/>
                <w:rtl w:val="0"/>
              </w:rPr>
              <w:t xml:space="preserve">Auditoría algorítmica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color w:val="404040"/>
                <w:sz w:val="20"/>
                <w:szCs w:val="20"/>
                <w:rtl w:val="0"/>
              </w:rPr>
              <w:t xml:space="preserve">Proceso sistemático de evaluación técnica y organizacional de sistemas de IA para verificar desempeño, riesgos y cumplimiento normativo (NIST, 2023).</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404040"/>
                <w:sz w:val="20"/>
                <w:szCs w:val="20"/>
                <w:rtl w:val="0"/>
              </w:rPr>
              <w:t xml:space="preserve">Accountability</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404040"/>
                <w:sz w:val="20"/>
                <w:szCs w:val="20"/>
                <w:rtl w:val="0"/>
              </w:rPr>
              <w:t xml:space="preserve">Responsabilidad explícita y rastreable sobre decisiones y resultados de sistemas de IA ante actores internos y externos.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3">
            <w:pPr>
              <w:rPr>
                <w:color w:val="404040"/>
                <w:sz w:val="20"/>
                <w:szCs w:val="20"/>
              </w:rPr>
            </w:pPr>
            <w:r w:rsidDel="00000000" w:rsidR="00000000" w:rsidRPr="00000000">
              <w:rPr>
                <w:color w:val="404040"/>
                <w:sz w:val="20"/>
                <w:szCs w:val="20"/>
                <w:rtl w:val="0"/>
              </w:rPr>
              <w:t xml:space="preserve">Regresional (Categoria de Ley de Goodhart)</w:t>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rPr>
                <w:color w:val="404040"/>
                <w:sz w:val="20"/>
                <w:szCs w:val="20"/>
              </w:rPr>
            </w:pPr>
            <w:r w:rsidDel="00000000" w:rsidR="00000000" w:rsidRPr="00000000">
              <w:rPr>
                <w:color w:val="404040"/>
                <w:sz w:val="20"/>
                <w:szCs w:val="20"/>
                <w:rtl w:val="0"/>
              </w:rPr>
              <w:t xml:space="preserve">Ocurre cuando al seleccionar para una métrica imperfecta (proxy), se selecciona inevitablemente tanto el objetivo real como el "ruido" o la diferencia entre ambos.</w:t>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5">
            <w:pPr>
              <w:rPr>
                <w:color w:val="404040"/>
                <w:sz w:val="20"/>
                <w:szCs w:val="20"/>
              </w:rPr>
            </w:pPr>
            <w:r w:rsidDel="00000000" w:rsidR="00000000" w:rsidRPr="00000000">
              <w:rPr>
                <w:color w:val="404040"/>
                <w:sz w:val="20"/>
                <w:szCs w:val="20"/>
                <w:rtl w:val="0"/>
              </w:rPr>
              <w:t xml:space="preserve">Extrema (Categoria de Ley de Goodhart)</w:t>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rPr>
                <w:color w:val="404040"/>
                <w:sz w:val="20"/>
                <w:szCs w:val="20"/>
              </w:rPr>
            </w:pPr>
            <w:r w:rsidDel="00000000" w:rsidR="00000000" w:rsidRPr="00000000">
              <w:rPr>
                <w:color w:val="404040"/>
                <w:sz w:val="20"/>
                <w:szCs w:val="20"/>
                <w:rtl w:val="0"/>
              </w:rPr>
              <w:t xml:space="preserve">Sucede cuando la optimización empuja al sistema a regiones (estados del mundo) donde las relaciones estadísticas previas entre la métrica y el objetivo dejan de ser válidas</w:t>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7">
            <w:pPr>
              <w:rPr>
                <w:color w:val="404040"/>
                <w:sz w:val="20"/>
                <w:szCs w:val="20"/>
              </w:rPr>
            </w:pPr>
            <w:r w:rsidDel="00000000" w:rsidR="00000000" w:rsidRPr="00000000">
              <w:rPr>
                <w:color w:val="404040"/>
                <w:sz w:val="20"/>
                <w:szCs w:val="20"/>
                <w:rtl w:val="0"/>
              </w:rPr>
              <w:t xml:space="preserve">Causal (Categoria de Ley de Goodhart)</w:t>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rPr>
                <w:color w:val="404040"/>
                <w:sz w:val="20"/>
                <w:szCs w:val="20"/>
              </w:rPr>
            </w:pPr>
            <w:r w:rsidDel="00000000" w:rsidR="00000000" w:rsidRPr="00000000">
              <w:rPr>
                <w:color w:val="404040"/>
                <w:sz w:val="20"/>
                <w:szCs w:val="20"/>
                <w:rtl w:val="0"/>
              </w:rPr>
              <w:t xml:space="preserve">Se presenta cuando una intervención directa del regulador para maximizar una métrica altera la estructura causal del sistema, invalidando la métrica como indicador del objetivo</w:t>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9">
            <w:pPr>
              <w:rPr>
                <w:color w:val="404040"/>
                <w:sz w:val="20"/>
                <w:szCs w:val="20"/>
              </w:rPr>
            </w:pPr>
            <w:r w:rsidDel="00000000" w:rsidR="00000000" w:rsidRPr="00000000">
              <w:rPr>
                <w:color w:val="404040"/>
                <w:sz w:val="20"/>
                <w:szCs w:val="20"/>
                <w:rtl w:val="0"/>
              </w:rPr>
              <w:t xml:space="preserve">Adversarial (Categoria de Ley de Goodhart)</w:t>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color w:val="404040"/>
                <w:sz w:val="20"/>
                <w:szCs w:val="20"/>
              </w:rPr>
            </w:pPr>
            <w:r w:rsidDel="00000000" w:rsidR="00000000" w:rsidRPr="00000000">
              <w:rPr>
                <w:color w:val="404040"/>
                <w:sz w:val="20"/>
                <w:szCs w:val="20"/>
                <w:rtl w:val="0"/>
              </w:rPr>
              <w:t xml:space="preserve">Ocurre cuando agentes externos con objetivos distintos a los del regulador actúan para manipular la métrica en su beneficio, lo que incluye el Efecto Cobra y la Ley de Campbell</w:t>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4C">
            <w:pPr>
              <w:rPr/>
            </w:pPr>
            <w:r w:rsidDel="00000000" w:rsidR="00000000" w:rsidRPr="00000000">
              <w:rPr>
                <w:b w:val="1"/>
                <w:bCs w:val="1"/>
                <w:color w:val="1f3864"/>
                <w:sz w:val="24"/>
                <w:szCs w:val="24"/>
                <w:rtl w:val="0"/>
              </w:rPr>
              <w:t xml:space="preserve">SLIDE 3 — MÉTODO DE REVISIÓN</w:t>
            </w:r>
            <w:r w:rsidDel="00000000" w:rsidR="00000000" w:rsidRPr="00000000">
              <w:rPr>
                <w:rtl w:val="0"/>
              </w:rPr>
            </w:r>
          </w:p>
        </w:tc>
      </w:tr>
    </w:tbl>
    <w:p w:rsidR="00000000" w:rsidDel="00000000" w:rsidP="00000000" w:rsidRDefault="00000000" w:rsidRPr="00000000" w14:paraId="0000004D">
      <w:pPr>
        <w:spacing w:after="40" w:before="40" w:lineRule="auto"/>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Estrategia de búsqueda</w:t>
      </w:r>
    </w:p>
    <w:p w:rsidR="00000000" w:rsidDel="00000000" w:rsidP="00000000" w:rsidRDefault="00000000" w:rsidRPr="00000000" w14:paraId="0000004F">
      <w:pPr>
        <w:spacing w:after="80" w:before="60" w:lineRule="auto"/>
        <w:rPr/>
      </w:pPr>
      <w:r w:rsidDel="00000000" w:rsidR="00000000" w:rsidRPr="00000000">
        <w:rPr>
          <w:color w:val="404040"/>
          <w:rtl w:val="0"/>
        </w:rPr>
        <w:t xml:space="preserve">Revisión narrativa estructurada con búsqueda en bases académicas (Scopus, Google Scholar), repositorios técnicos (arXiv) y documentos regulatorios oficiales (UE, OCDE, NIST), utilizando términos: Goodhart's Law, metric gaming, AI governance, algorithmic auditing, AI risk management, benchmark manipulation.</w:t>
      </w:r>
      <w:r w:rsidDel="00000000" w:rsidR="00000000" w:rsidRPr="00000000">
        <w:rPr>
          <w:rtl w:val="0"/>
        </w:rPr>
      </w:r>
    </w:p>
    <w:p w:rsidR="00000000" w:rsidDel="00000000" w:rsidP="00000000" w:rsidRDefault="00000000" w:rsidRPr="00000000" w14:paraId="00000050">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2e75b6"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b w:val="1"/>
                <w:bCs w:val="1"/>
                <w:color w:val="ffffff"/>
                <w:sz w:val="20"/>
                <w:szCs w:val="20"/>
                <w:rtl w:val="0"/>
              </w:rPr>
              <w:t xml:space="preserve">Criterios de INCLUSIÓN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c00000"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b w:val="1"/>
                <w:bCs w:val="1"/>
                <w:color w:val="ffffff"/>
                <w:sz w:val="20"/>
                <w:szCs w:val="20"/>
                <w:rtl w:val="0"/>
              </w:rPr>
              <w:t xml:space="preserve">Criterios de EXCLUSIÓN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b w:val="1"/>
                <w:bCs w:val="1"/>
                <w:color w:val="ffffff"/>
                <w:sz w:val="20"/>
                <w:szCs w:val="20"/>
                <w:rtl w:val="0"/>
              </w:rPr>
              <w:t xml:space="preserve">Tipos de FUENTE</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tcPr>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Publicaciones académicas y técnicas post-2015 sobre riesgos en IA y métricas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Documentos regulatorios: EU AI Act, NIST, OECD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Literatura fundacional sobre Ley de Goodhart (Goodhart, 1975; Strathern, 1997)</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2f2" w:val="clear"/>
            <w:tcMar>
              <w:top w:w="80.0" w:type="dxa"/>
              <w:left w:w="120.0" w:type="dxa"/>
              <w:bottom w:w="80.0" w:type="dxa"/>
              <w:right w:w="120.0" w:type="dxa"/>
            </w:tcMar>
          </w:tcPr>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Opiniones sin fundamento empírico o sin revisión técnica</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Literatura centrada en rendimiento sin análisis de riesgo o gobernanza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tcPr>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Industrial: NIST AI RMF, prácticas de gestión de riesgo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Estándar/Regulación: EU AI Act (2021), OECD (2023)</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Académico/Estudio: Goodhart (1975), Murphy (2021), Singh et al. (2025)</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El análisis comparativo de las fuentes seleccionadas permitió identificar patrones recurrentes en torno al uso de métricas, auditoría algorítmica y gobernanza de sistemas de IA. A partir de estos patrones se sintetizaron cinco hallazgos estructurales (H1–H5), que resumen los principales riesgos y mecanismos de mitigación descritos en la literatura reciente.</w:t>
      </w:r>
      <w:r w:rsidDel="00000000" w:rsidR="00000000" w:rsidRPr="00000000">
        <w:br w:type="page"/>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5E">
            <w:pPr>
              <w:rPr/>
            </w:pPr>
            <w:r w:rsidDel="00000000" w:rsidR="00000000" w:rsidRPr="00000000">
              <w:rPr>
                <w:b w:val="1"/>
                <w:bCs w:val="1"/>
                <w:color w:val="1f3864"/>
                <w:sz w:val="24"/>
                <w:szCs w:val="24"/>
                <w:rtl w:val="0"/>
              </w:rPr>
              <w:t xml:space="preserve">SLIDE 4 — PANORAMA: MAPA DE HALLAZGOS</w:t>
            </w:r>
            <w:r w:rsidDel="00000000" w:rsidR="00000000" w:rsidRPr="00000000">
              <w:rPr>
                <w:rtl w:val="0"/>
              </w:rPr>
            </w:r>
          </w:p>
        </w:tc>
      </w:tr>
    </w:tbl>
    <w:p w:rsidR="00000000" w:rsidDel="00000000" w:rsidP="00000000" w:rsidRDefault="00000000" w:rsidRPr="00000000" w14:paraId="0000005F">
      <w:pPr>
        <w:spacing w:after="40" w:before="40" w:lineRule="auto"/>
        <w:rPr/>
      </w:pPr>
      <w:r w:rsidDel="00000000" w:rsidR="00000000" w:rsidRPr="00000000">
        <w:rPr>
          <w:rtl w:val="0"/>
        </w:rPr>
      </w:r>
    </w:p>
    <w:p w:rsidR="00000000" w:rsidDel="00000000" w:rsidP="00000000" w:rsidRDefault="00000000" w:rsidRPr="00000000" w14:paraId="00000060">
      <w:pPr>
        <w:spacing w:after="80" w:before="60" w:lineRule="auto"/>
        <w:rPr/>
      </w:pPr>
      <w:r w:rsidDel="00000000" w:rsidR="00000000" w:rsidRPr="00000000">
        <w:rPr>
          <w:color w:val="404040"/>
          <w:rtl w:val="0"/>
        </w:rPr>
        <w:t xml:space="preserve">La revisión sistemática identificó cinco hallazgos estructurales con implicaciones directas para la calidad del software basado en IA:</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7000"/>
        <w:gridCol w:w="1160"/>
        <w:tblGridChange w:id="0">
          <w:tblGrid>
            <w:gridCol w:w="1200"/>
            <w:gridCol w:w="7000"/>
            <w:gridCol w:w="11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b w:val="1"/>
                <w:bCs w:val="1"/>
                <w:color w:val="ffffff"/>
                <w:sz w:val="20"/>
                <w:szCs w:val="20"/>
                <w:rtl w:val="0"/>
              </w:rPr>
              <w:t xml:space="preserve">Descripción del Hallazgo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color w:val="ffffff"/>
                <w:sz w:val="20"/>
                <w:szCs w:val="20"/>
                <w:rtl w:val="0"/>
              </w:rPr>
              <w:t xml:space="preserve">Fuentes</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b w:val="1"/>
                <w:bCs w:val="1"/>
                <w:color w:val="1f3864"/>
                <w:rtl w:val="0"/>
              </w:rPr>
              <w:t xml:space="preserve">H1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404040"/>
                <w:sz w:val="20"/>
                <w:szCs w:val="20"/>
                <w:rtl w:val="0"/>
              </w:rPr>
              <w:t xml:space="preserve">Las métricas y benchmarks de IA pueden ser manipulados o 'optimizados' de forma que producen resultados aparentes positivos sin mejorar la capacidad real del sistema (efecto Goodhart).</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b w:val="1"/>
                <w:bCs w:val="1"/>
                <w:color w:val="2e75b6"/>
                <w:sz w:val="18"/>
                <w:szCs w:val="18"/>
                <w:rtl w:val="0"/>
              </w:rPr>
              <w:t xml:space="preserve">S1, S2</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color w:val="1f3864"/>
                <w:rtl w:val="0"/>
              </w:rPr>
              <w:t xml:space="preserve">H2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404040"/>
                <w:sz w:val="20"/>
                <w:szCs w:val="20"/>
                <w:rtl w:val="0"/>
              </w:rPr>
              <w:t xml:space="preserve">Las auditorías algorítmicas con acceso limitado (black-box) no permiten evaluar completamente riesgos y comportamientos emergentes de los modelos de IA.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1"/>
                <w:bCs w:val="1"/>
                <w:color w:val="2e75b6"/>
                <w:sz w:val="18"/>
                <w:szCs w:val="18"/>
                <w:rtl w:val="0"/>
              </w:rPr>
              <w:t xml:space="preserve">S3</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b w:val="1"/>
                <w:bCs w:val="1"/>
                <w:color w:val="1f3864"/>
                <w:rtl w:val="0"/>
              </w:rPr>
              <w:t xml:space="preserve">H3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404040"/>
                <w:sz w:val="20"/>
                <w:szCs w:val="20"/>
                <w:rtl w:val="0"/>
              </w:rPr>
              <w:t xml:space="preserve">La ausencia de estándares consolidados para auditoría y certificación de IA dificulta garantizar accountability y confiabilidad real en la práctica.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b w:val="1"/>
                <w:bCs w:val="1"/>
                <w:color w:val="2e75b6"/>
                <w:sz w:val="18"/>
                <w:szCs w:val="18"/>
                <w:rtl w:val="0"/>
              </w:rPr>
              <w:t xml:space="preserve">S4</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b w:val="1"/>
                <w:bCs w:val="1"/>
                <w:color w:val="1f3864"/>
                <w:rtl w:val="0"/>
              </w:rPr>
              <w:t xml:space="preserve">H4</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404040"/>
                <w:sz w:val="20"/>
                <w:szCs w:val="20"/>
                <w:rtl w:val="0"/>
              </w:rPr>
              <w:t xml:space="preserve">Los marcos de métricas responsables buscan operacionalizar la accountability evaluando el ciclo de vida completo: datos, entrenamiento, evaluación y despliegue.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1"/>
                <w:bCs w:val="1"/>
                <w:color w:val="2e75b6"/>
                <w:sz w:val="18"/>
                <w:szCs w:val="18"/>
                <w:rtl w:val="0"/>
              </w:rPr>
              <w:t xml:space="preserve">S5</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color w:val="1f3864"/>
                <w:rtl w:val="0"/>
              </w:rPr>
              <w:t xml:space="preserve">H5</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404040"/>
                <w:sz w:val="20"/>
                <w:szCs w:val="20"/>
                <w:rtl w:val="0"/>
              </w:rPr>
              <w:t xml:space="preserve">La combinación de gaming de métricas y opacidad algorítmica genera riesgos significativos para la responsabilidad técnica y legal de organizaciones que desarrollan o despliegan IA.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b w:val="1"/>
                <w:bCs w:val="1"/>
                <w:color w:val="2e75b6"/>
                <w:sz w:val="18"/>
                <w:szCs w:val="18"/>
                <w:rtl w:val="0"/>
              </w:rPr>
              <w:t xml:space="preserve">S6</w:t>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Síntesis conceptual de los hallazgos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En conjunto, los hallazgos identificados muestran que los riesgos emergentes en sistemas de IA no se originan únicamente en limitaciones técnicas de los modelos, sino en dinámicas socio-técnicas asociadas al uso intensivo de métricas como proxies de calidad. La interacción entre optimización de indicadores, opacidad algorítmica y ausencia de estándares consolidados crea condiciones propicias para el gaming de métricas y la degradación de la calidad sustantiva. En consecuencia, los enfoques contemporáneos de QA para sistemas de IA tienden a evolucionar hacia marcos multicriterio, auditables y con mecanismos explícitos de responsabilidad.</w:t>
      </w: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78">
            <w:pPr>
              <w:rPr/>
            </w:pPr>
            <w:r w:rsidDel="00000000" w:rsidR="00000000" w:rsidRPr="00000000">
              <w:rPr>
                <w:b w:val="1"/>
                <w:bCs w:val="1"/>
                <w:color w:val="1f3864"/>
                <w:sz w:val="24"/>
                <w:szCs w:val="24"/>
                <w:rtl w:val="0"/>
              </w:rPr>
              <w:t xml:space="preserve">SLIDES 5–9 — HALLAZGOS CLAVE CON PROS, CONTRAS Y CONDICIONES</w:t>
            </w:r>
            <w:r w:rsidDel="00000000" w:rsidR="00000000" w:rsidRPr="00000000">
              <w:rPr>
                <w:rtl w:val="0"/>
              </w:rPr>
            </w:r>
          </w:p>
        </w:tc>
      </w:tr>
    </w:tbl>
    <w:p w:rsidR="00000000" w:rsidDel="00000000" w:rsidP="00000000" w:rsidRDefault="00000000" w:rsidRPr="00000000" w14:paraId="00000079">
      <w:pPr>
        <w:spacing w:after="4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20.0" w:type="dxa"/>
              <w:bottom w:w="120.0" w:type="dxa"/>
              <w:right w:w="120.0" w:type="dxa"/>
            </w:tcMar>
            <w:vAlign w:val="center"/>
          </w:tcPr>
          <w:p w:rsidR="00000000" w:rsidDel="00000000" w:rsidP="00000000" w:rsidRDefault="00000000" w:rsidRPr="00000000" w14:paraId="0000007A">
            <w:pPr>
              <w:jc w:val="center"/>
              <w:rPr/>
            </w:pPr>
            <w:r w:rsidDel="00000000" w:rsidR="00000000" w:rsidRPr="00000000">
              <w:rPr>
                <w:b w:val="1"/>
                <w:bCs w:val="1"/>
                <w:color w:val="ffffff"/>
                <w:sz w:val="28"/>
                <w:szCs w:val="28"/>
                <w:rtl w:val="0"/>
              </w:rPr>
              <w:t xml:space="preserve">H1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20.0" w:type="dxa"/>
            </w:tcMar>
          </w:tcPr>
          <w:p w:rsidR="00000000" w:rsidDel="00000000" w:rsidP="00000000" w:rsidRDefault="00000000" w:rsidRPr="00000000" w14:paraId="0000007B">
            <w:pPr>
              <w:rPr/>
            </w:pPr>
            <w:r w:rsidDel="00000000" w:rsidR="00000000" w:rsidRPr="00000000">
              <w:rPr>
                <w:b w:val="1"/>
                <w:bCs w:val="1"/>
                <w:color w:val="1f3864"/>
                <w:sz w:val="24"/>
                <w:szCs w:val="24"/>
                <w:rtl w:val="0"/>
              </w:rPr>
              <w:t xml:space="preserve">Gaming de benchmarks: resultados aparentes sin mejora real</w:t>
            </w:r>
            <w:r w:rsidDel="00000000" w:rsidR="00000000" w:rsidRPr="00000000">
              <w:rPr>
                <w:rtl w:val="0"/>
              </w:rPr>
            </w:r>
          </w:p>
        </w:tc>
      </w:tr>
      <w:tr>
        <w:trPr>
          <w:cantSplit w:val="0"/>
          <w:tblHeader w:val="0"/>
        </w:trPr>
        <w:tc>
          <w:tcPr>
            <w:gridSpan w:val="2"/>
            <w:tcBorders>
              <w:top w:color="bbcde0" w:space="0" w:sz="4" w:val="single"/>
              <w:left w:color="bbcde0" w:space="0" w:sz="4" w:val="single"/>
              <w:bottom w:color="bbcde0" w:space="0" w:sz="4" w:val="single"/>
              <w:right w:color="bbcde0" w:space="0" w:sz="4" w:val="single"/>
            </w:tcBorders>
            <w:shd w:fill="ffffff" w:val="clear"/>
            <w:tcMar>
              <w:top w:w="100.0" w:type="dxa"/>
              <w:left w:w="200.0" w:type="dxa"/>
              <w:bottom w:w="100.0" w:type="dxa"/>
              <w:right w:w="200.0" w:type="dxa"/>
            </w:tcMar>
          </w:tcPr>
          <w:p w:rsidR="00000000" w:rsidDel="00000000" w:rsidP="00000000" w:rsidRDefault="00000000" w:rsidRPr="00000000" w14:paraId="0000007C">
            <w:pPr>
              <w:spacing w:after="60" w:lineRule="auto"/>
              <w:rPr/>
            </w:pPr>
            <w:r w:rsidDel="00000000" w:rsidR="00000000" w:rsidRPr="00000000">
              <w:rPr>
                <w:b w:val="1"/>
                <w:bCs w:val="1"/>
                <w:color w:val="1f3864"/>
                <w:rtl w:val="0"/>
              </w:rPr>
              <w:t xml:space="preserve">Qué afirma: </w:t>
            </w:r>
            <w:r w:rsidDel="00000000" w:rsidR="00000000" w:rsidRPr="00000000">
              <w:rPr>
                <w:color w:val="404040"/>
                <w:rtl w:val="0"/>
              </w:rPr>
              <w:t xml:space="preserve">La optimización de métricas y benchmarks en sistemas de IA puede generar resultados positivos aparentes sin mejorar la capacidad real del sistema, ilustrando directamente el efecto Goodhart. Singh et al. (2025) documentaron que proveedores de LLM prueban múltiples variantes privadas y publican solo los mejores resultados, distorsionando rankings públicos.</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b w:val="1"/>
                <w:bCs w:val="1"/>
                <w:color w:val="1f3864"/>
                <w:rtl w:val="0"/>
              </w:rPr>
              <w:t xml:space="preserve">Evidencia: </w:t>
            </w:r>
            <w:r w:rsidDel="00000000" w:rsidR="00000000" w:rsidRPr="00000000">
              <w:rPr>
                <w:color w:val="404040"/>
                <w:rtl w:val="0"/>
              </w:rPr>
              <w:t xml:space="preserve">S1 (Goodhart, 1975) — ley fundacional; S2 (Singh et al., 2025) — estudio empírico sobre manipulación de leaderboards LLM.</w:t>
            </w:r>
            <w:r w:rsidDel="00000000" w:rsidR="00000000" w:rsidRPr="00000000">
              <w:rPr>
                <w:rtl w:val="0"/>
              </w:rPr>
            </w:r>
          </w:p>
          <w:p w:rsidR="00000000" w:rsidDel="00000000" w:rsidP="00000000" w:rsidRDefault="00000000" w:rsidRPr="00000000" w14:paraId="0000007E">
            <w:pPr>
              <w:spacing w:after="40" w:before="80" w:lineRule="auto"/>
              <w:rPr/>
            </w:pPr>
            <w:sdt>
              <w:sdtPr>
                <w:id w:val="-346725328"/>
                <w:tag w:val="goog_rdk_2"/>
              </w:sdtPr>
              <w:sdtContent>
                <w:r w:rsidDel="00000000" w:rsidR="00000000" w:rsidRPr="00000000">
                  <w:rPr>
                    <w:rFonts w:ascii="Arial Unicode MS" w:cs="Arial Unicode MS" w:eastAsia="Arial Unicode MS" w:hAnsi="Arial Unicode MS"/>
                    <w:b w:val="1"/>
                    <w:bCs w:val="1"/>
                    <w:color w:val="1e7d3a"/>
                    <w:rtl w:val="0"/>
                  </w:rPr>
                  <w:t xml:space="preserve">✔ Pros / Beneficios</w:t>
                </w:r>
              </w:sdtContent>
            </w:sdt>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Incentiva diseños de evaluación más robustos y diversificados.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Promueve el uso de datasets de prueba no públicos y rotación de benchmarks.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Aumenta la confianza en los resultados al detectar gaming tempranamente.</w:t>
            </w:r>
            <w:r w:rsidDel="00000000" w:rsidR="00000000" w:rsidRPr="00000000">
              <w:rPr>
                <w:rtl w:val="0"/>
              </w:rPr>
            </w:r>
          </w:p>
          <w:p w:rsidR="00000000" w:rsidDel="00000000" w:rsidP="00000000" w:rsidRDefault="00000000" w:rsidRPr="00000000" w14:paraId="00000082">
            <w:pPr>
              <w:spacing w:after="40" w:before="80" w:lineRule="auto"/>
              <w:rPr/>
            </w:pPr>
            <w:sdt>
              <w:sdtPr>
                <w:id w:val="-654663811"/>
                <w:tag w:val="goog_rdk_3"/>
              </w:sdtPr>
              <w:sdtContent>
                <w:r w:rsidDel="00000000" w:rsidR="00000000" w:rsidRPr="00000000">
                  <w:rPr>
                    <w:rFonts w:ascii="Arial Unicode MS" w:cs="Arial Unicode MS" w:eastAsia="Arial Unicode MS" w:hAnsi="Arial Unicode MS"/>
                    <w:b w:val="1"/>
                    <w:bCs w:val="1"/>
                    <w:color w:val="c00000"/>
                    <w:rtl w:val="0"/>
                  </w:rPr>
                  <w:t xml:space="preserve">✘ Contras / Riesgos</w:t>
                </w:r>
              </w:sdtContent>
            </w:sdt>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Rediseñar métricas requiere esfuerzo organizacional significativo.</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gaming puede migrar hacia las nuevas métricas si no se abordan incentivos sistémicos.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Benchmarks privados pueden introducir sesgo de evaluación si no tienen gobernanza independiente.</w:t>
            </w:r>
            <w:r w:rsidDel="00000000" w:rsidR="00000000" w:rsidRPr="00000000">
              <w:rPr>
                <w:rtl w:val="0"/>
              </w:rPr>
            </w:r>
          </w:p>
          <w:p w:rsidR="00000000" w:rsidDel="00000000" w:rsidP="00000000" w:rsidRDefault="00000000" w:rsidRPr="00000000" w14:paraId="00000086">
            <w:pPr>
              <w:spacing w:after="40" w:before="80" w:lineRule="auto"/>
              <w:rPr/>
            </w:pPr>
            <w:r w:rsidDel="00000000" w:rsidR="00000000" w:rsidRPr="00000000">
              <w:rPr>
                <w:b w:val="1"/>
                <w:bCs w:val="1"/>
                <w:color w:val="1f3864"/>
                <w:rtl w:val="0"/>
              </w:rPr>
              <w:t xml:space="preserve">Cuándo aplicar: </w:t>
            </w:r>
            <w:r w:rsidDel="00000000" w:rsidR="00000000" w:rsidRPr="00000000">
              <w:rPr>
                <w:color w:val="404040"/>
                <w:rtl w:val="0"/>
              </w:rPr>
              <w:t xml:space="preserve">Aplicable a sistemas de IA evaluados mediante métricas cuantitativas o rankings públicos, especialmente cuando los resultados afectan decisiones de producción o reputación institucional.</w:t>
            </w:r>
            <w:r w:rsidDel="00000000" w:rsidR="00000000" w:rsidRPr="00000000">
              <w:rPr>
                <w:rtl w:val="0"/>
              </w:rPr>
            </w:r>
          </w:p>
        </w:tc>
      </w:tr>
    </w:tbl>
    <w:p w:rsidR="00000000" w:rsidDel="00000000" w:rsidP="00000000" w:rsidRDefault="00000000" w:rsidRPr="00000000" w14:paraId="00000088">
      <w:pPr>
        <w:spacing w:after="4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20.0" w:type="dxa"/>
              <w:bottom w:w="12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8"/>
                <w:szCs w:val="28"/>
                <w:rtl w:val="0"/>
              </w:rPr>
              <w:t xml:space="preserve">H2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20.0" w:type="dxa"/>
            </w:tcMar>
          </w:tcPr>
          <w:p w:rsidR="00000000" w:rsidDel="00000000" w:rsidP="00000000" w:rsidRDefault="00000000" w:rsidRPr="00000000" w14:paraId="0000008A">
            <w:pPr>
              <w:rPr/>
            </w:pPr>
            <w:r w:rsidDel="00000000" w:rsidR="00000000" w:rsidRPr="00000000">
              <w:rPr>
                <w:b w:val="1"/>
                <w:bCs w:val="1"/>
                <w:color w:val="1f3864"/>
                <w:sz w:val="24"/>
                <w:szCs w:val="24"/>
                <w:rtl w:val="0"/>
              </w:rPr>
              <w:t xml:space="preserve">Auditorías black-box: acceso limitado = evaluación incompleta</w:t>
            </w:r>
            <w:r w:rsidDel="00000000" w:rsidR="00000000" w:rsidRPr="00000000">
              <w:rPr>
                <w:rtl w:val="0"/>
              </w:rPr>
            </w:r>
          </w:p>
        </w:tc>
      </w:tr>
      <w:tr>
        <w:trPr>
          <w:cantSplit w:val="0"/>
          <w:tblHeader w:val="0"/>
        </w:trPr>
        <w:tc>
          <w:tcPr>
            <w:gridSpan w:val="2"/>
            <w:tcBorders>
              <w:top w:color="bbcde0" w:space="0" w:sz="4" w:val="single"/>
              <w:left w:color="bbcde0" w:space="0" w:sz="4" w:val="single"/>
              <w:bottom w:color="bbcde0" w:space="0" w:sz="4" w:val="single"/>
              <w:right w:color="bbcde0" w:space="0" w:sz="4" w:val="single"/>
            </w:tcBorders>
            <w:shd w:fill="ffffff" w:val="clear"/>
            <w:tcMar>
              <w:top w:w="100.0" w:type="dxa"/>
              <w:left w:w="200.0" w:type="dxa"/>
              <w:bottom w:w="100.0" w:type="dxa"/>
              <w:right w:w="200.0" w:type="dxa"/>
            </w:tcMar>
          </w:tcPr>
          <w:p w:rsidR="00000000" w:rsidDel="00000000" w:rsidP="00000000" w:rsidRDefault="00000000" w:rsidRPr="00000000" w14:paraId="0000008B">
            <w:pPr>
              <w:spacing w:after="60" w:lineRule="auto"/>
              <w:rPr/>
            </w:pPr>
            <w:r w:rsidDel="00000000" w:rsidR="00000000" w:rsidRPr="00000000">
              <w:rPr>
                <w:b w:val="1"/>
                <w:bCs w:val="1"/>
                <w:color w:val="1f3864"/>
                <w:rtl w:val="0"/>
              </w:rPr>
              <w:t xml:space="preserve">Qué afirma: </w:t>
            </w:r>
            <w:r w:rsidDel="00000000" w:rsidR="00000000" w:rsidRPr="00000000">
              <w:rPr>
                <w:color w:val="404040"/>
                <w:rtl w:val="0"/>
              </w:rPr>
              <w:t xml:space="preserve">Las auditorías algorítmicas con acceso limitado (black-box) no permiten evaluar de manera completa los riesgos y comportamientos emergentes de los modelos de IA. Casper et al. (2024) demostraron que este modo de auditoría falla especialmente en detectar fallas ocultas, backdoors y comportamientos adversariales.</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b w:val="1"/>
                <w:bCs w:val="1"/>
                <w:color w:val="1f3864"/>
                <w:rtl w:val="0"/>
              </w:rPr>
              <w:t xml:space="preserve">Evidencia: </w:t>
            </w:r>
            <w:r w:rsidDel="00000000" w:rsidR="00000000" w:rsidRPr="00000000">
              <w:rPr>
                <w:color w:val="404040"/>
                <w:rtl w:val="0"/>
              </w:rPr>
              <w:t xml:space="preserve">S3 (Casper et al., 2024) — paper arXiv con evidencia empírica sobre limitaciones de black-box audits.</w:t>
            </w:r>
            <w:r w:rsidDel="00000000" w:rsidR="00000000" w:rsidRPr="00000000">
              <w:rPr>
                <w:rtl w:val="0"/>
              </w:rPr>
            </w:r>
          </w:p>
          <w:p w:rsidR="00000000" w:rsidDel="00000000" w:rsidP="00000000" w:rsidRDefault="00000000" w:rsidRPr="00000000" w14:paraId="0000008D">
            <w:pPr>
              <w:spacing w:after="40" w:before="80" w:lineRule="auto"/>
              <w:rPr/>
            </w:pPr>
            <w:sdt>
              <w:sdtPr>
                <w:id w:val="1461708622"/>
                <w:tag w:val="goog_rdk_4"/>
              </w:sdtPr>
              <w:sdtContent>
                <w:r w:rsidDel="00000000" w:rsidR="00000000" w:rsidRPr="00000000">
                  <w:rPr>
                    <w:rFonts w:ascii="Arial Unicode MS" w:cs="Arial Unicode MS" w:eastAsia="Arial Unicode MS" w:hAnsi="Arial Unicode MS"/>
                    <w:b w:val="1"/>
                    <w:bCs w:val="1"/>
                    <w:color w:val="1e7d3a"/>
                    <w:rtl w:val="0"/>
                  </w:rPr>
                  <w:t xml:space="preserve">✔ Pros / Beneficios</w:t>
                </w:r>
              </w:sdtContent>
            </w:sdt>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Impulsa el desarrollo de estándares de auditoría más completos (white-box + black-box).</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Estimula la negociación de acuerdos de acceso técnico entre auditores y desarrolladores.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Mejora la detección de riesgos ocultos y comportamientos emergentes.</w:t>
            </w:r>
            <w:r w:rsidDel="00000000" w:rsidR="00000000" w:rsidRPr="00000000">
              <w:rPr>
                <w:rtl w:val="0"/>
              </w:rPr>
            </w:r>
          </w:p>
          <w:p w:rsidR="00000000" w:rsidDel="00000000" w:rsidP="00000000" w:rsidRDefault="00000000" w:rsidRPr="00000000" w14:paraId="00000091">
            <w:pPr>
              <w:spacing w:after="40" w:before="80" w:lineRule="auto"/>
              <w:rPr/>
            </w:pPr>
            <w:sdt>
              <w:sdtPr>
                <w:id w:val="1607828854"/>
                <w:tag w:val="goog_rdk_5"/>
              </w:sdtPr>
              <w:sdtContent>
                <w:r w:rsidDel="00000000" w:rsidR="00000000" w:rsidRPr="00000000">
                  <w:rPr>
                    <w:rFonts w:ascii="Arial Unicode MS" w:cs="Arial Unicode MS" w:eastAsia="Arial Unicode MS" w:hAnsi="Arial Unicode MS"/>
                    <w:b w:val="1"/>
                    <w:bCs w:val="1"/>
                    <w:color w:val="c00000"/>
                    <w:rtl w:val="0"/>
                  </w:rPr>
                  <w:t xml:space="preserve">✘ Contras / Riesgos</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auditoría white-box requiere acceso al código y arquitectura, que muchos proveedores no comparten.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Mayor coste y complejidad operativa de las auditorías.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Riesgo de filtración de propiedad intelectual si el acceso no está bien regulado.</w:t>
            </w:r>
            <w:r w:rsidDel="00000000" w:rsidR="00000000" w:rsidRPr="00000000">
              <w:rPr>
                <w:rtl w:val="0"/>
              </w:rPr>
            </w:r>
          </w:p>
          <w:p w:rsidR="00000000" w:rsidDel="00000000" w:rsidP="00000000" w:rsidRDefault="00000000" w:rsidRPr="00000000" w14:paraId="00000095">
            <w:pPr>
              <w:spacing w:after="40" w:before="80" w:lineRule="auto"/>
              <w:rPr/>
            </w:pPr>
            <w:r w:rsidDel="00000000" w:rsidR="00000000" w:rsidRPr="00000000">
              <w:rPr>
                <w:b w:val="1"/>
                <w:bCs w:val="1"/>
                <w:color w:val="1f3864"/>
                <w:rtl w:val="0"/>
              </w:rPr>
              <w:t xml:space="preserve">Cuándo aplicar: </w:t>
            </w:r>
            <w:r w:rsidDel="00000000" w:rsidR="00000000" w:rsidRPr="00000000">
              <w:rPr>
                <w:color w:val="404040"/>
                <w:rtl w:val="0"/>
              </w:rPr>
              <w:t xml:space="preserve">Relevante para organizaciones que despliegan sistemas de IA complejos y no tienen acceso completo al código o arquitectura interna del modelo (especialmente sistemas de terceros o SaaS de IA).</w:t>
            </w:r>
            <w:r w:rsidDel="00000000" w:rsidR="00000000" w:rsidRPr="00000000">
              <w:rPr>
                <w:rtl w:val="0"/>
              </w:rPr>
            </w:r>
          </w:p>
        </w:tc>
      </w:tr>
    </w:tbl>
    <w:p w:rsidR="00000000" w:rsidDel="00000000" w:rsidP="00000000" w:rsidRDefault="00000000" w:rsidRPr="00000000" w14:paraId="00000097">
      <w:pPr>
        <w:spacing w:after="4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20.0" w:type="dxa"/>
              <w:bottom w:w="120.0" w:type="dxa"/>
              <w:right w:w="120.0" w:type="dxa"/>
            </w:tcMar>
            <w:vAlign w:val="center"/>
          </w:tcPr>
          <w:p w:rsidR="00000000" w:rsidDel="00000000" w:rsidP="00000000" w:rsidRDefault="00000000" w:rsidRPr="00000000" w14:paraId="00000098">
            <w:pPr>
              <w:jc w:val="center"/>
              <w:rPr/>
            </w:pPr>
            <w:r w:rsidDel="00000000" w:rsidR="00000000" w:rsidRPr="00000000">
              <w:rPr>
                <w:b w:val="1"/>
                <w:bCs w:val="1"/>
                <w:color w:val="ffffff"/>
                <w:sz w:val="28"/>
                <w:szCs w:val="28"/>
                <w:rtl w:val="0"/>
              </w:rPr>
              <w:t xml:space="preserve">H3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20.0" w:type="dxa"/>
            </w:tcMar>
          </w:tcPr>
          <w:p w:rsidR="00000000" w:rsidDel="00000000" w:rsidP="00000000" w:rsidRDefault="00000000" w:rsidRPr="00000000" w14:paraId="00000099">
            <w:pPr>
              <w:rPr/>
            </w:pPr>
            <w:r w:rsidDel="00000000" w:rsidR="00000000" w:rsidRPr="00000000">
              <w:rPr>
                <w:b w:val="1"/>
                <w:bCs w:val="1"/>
                <w:color w:val="1f3864"/>
                <w:sz w:val="24"/>
                <w:szCs w:val="24"/>
                <w:rtl w:val="0"/>
              </w:rPr>
              <w:t xml:space="preserve">Déficit de estándares: ecosistema de auditoría de IA fragmentado</w:t>
            </w:r>
            <w:r w:rsidDel="00000000" w:rsidR="00000000" w:rsidRPr="00000000">
              <w:rPr>
                <w:rtl w:val="0"/>
              </w:rPr>
            </w:r>
          </w:p>
        </w:tc>
      </w:tr>
      <w:tr>
        <w:trPr>
          <w:cantSplit w:val="0"/>
          <w:tblHeader w:val="0"/>
        </w:trPr>
        <w:tc>
          <w:tcPr>
            <w:gridSpan w:val="2"/>
            <w:tcBorders>
              <w:top w:color="bbcde0" w:space="0" w:sz="4" w:val="single"/>
              <w:left w:color="bbcde0" w:space="0" w:sz="4" w:val="single"/>
              <w:bottom w:color="bbcde0" w:space="0" w:sz="4" w:val="single"/>
              <w:right w:color="bbcde0" w:space="0" w:sz="4" w:val="single"/>
            </w:tcBorders>
            <w:shd w:fill="ffffff" w:val="clear"/>
            <w:tcMar>
              <w:top w:w="100.0" w:type="dxa"/>
              <w:left w:w="200.0" w:type="dxa"/>
              <w:bottom w:w="100.0" w:type="dxa"/>
              <w:right w:w="200.0" w:type="dxa"/>
            </w:tcMar>
          </w:tcPr>
          <w:p w:rsidR="00000000" w:rsidDel="00000000" w:rsidP="00000000" w:rsidRDefault="00000000" w:rsidRPr="00000000" w14:paraId="0000009A">
            <w:pPr>
              <w:spacing w:after="60" w:lineRule="auto"/>
              <w:rPr/>
            </w:pPr>
            <w:r w:rsidDel="00000000" w:rsidR="00000000" w:rsidRPr="00000000">
              <w:rPr>
                <w:b w:val="1"/>
                <w:bCs w:val="1"/>
                <w:color w:val="1f3864"/>
                <w:rtl w:val="0"/>
              </w:rPr>
              <w:t xml:space="preserve">Qué afirma: </w:t>
            </w:r>
            <w:r w:rsidDel="00000000" w:rsidR="00000000" w:rsidRPr="00000000">
              <w:rPr>
                <w:color w:val="404040"/>
                <w:rtl w:val="0"/>
              </w:rPr>
              <w:t xml:space="preserve">La ausencia de estándares consolidados para auditoría y certificación de sistemas de IA dificulta garantizar accountability y confiabilidad. Costanza-Chock et al. (2023) identifican que el ecosistema carece de mecanismos de verificación independientes, lo que produce auditorías inconsistentes y no comparables entre organizaciones.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b w:val="1"/>
                <w:bCs w:val="1"/>
                <w:color w:val="1f3864"/>
                <w:rtl w:val="0"/>
              </w:rPr>
              <w:t xml:space="preserve">Evidencia: </w:t>
            </w:r>
            <w:r w:rsidDel="00000000" w:rsidR="00000000" w:rsidRPr="00000000">
              <w:rPr>
                <w:color w:val="404040"/>
                <w:rtl w:val="0"/>
              </w:rPr>
              <w:t xml:space="preserve">S4 (Costanza-Chock et al., 2023) — Who Audits the Auditors? arXiv; complementado con NIST AI RMF (2023).</w:t>
            </w:r>
            <w:r w:rsidDel="00000000" w:rsidR="00000000" w:rsidRPr="00000000">
              <w:rPr>
                <w:rtl w:val="0"/>
              </w:rPr>
            </w:r>
          </w:p>
          <w:p w:rsidR="00000000" w:rsidDel="00000000" w:rsidP="00000000" w:rsidRDefault="00000000" w:rsidRPr="00000000" w14:paraId="0000009C">
            <w:pPr>
              <w:spacing w:after="40" w:before="80" w:lineRule="auto"/>
              <w:rPr/>
            </w:pPr>
            <w:sdt>
              <w:sdtPr>
                <w:id w:val="-220340744"/>
                <w:tag w:val="goog_rdk_6"/>
              </w:sdtPr>
              <w:sdtContent>
                <w:r w:rsidDel="00000000" w:rsidR="00000000" w:rsidRPr="00000000">
                  <w:rPr>
                    <w:rFonts w:ascii="Arial Unicode MS" w:cs="Arial Unicode MS" w:eastAsia="Arial Unicode MS" w:hAnsi="Arial Unicode MS"/>
                    <w:b w:val="1"/>
                    <w:bCs w:val="1"/>
                    <w:color w:val="1e7d3a"/>
                    <w:rtl w:val="0"/>
                  </w:rPr>
                  <w:t xml:space="preserve">✔ Pros / Beneficios</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estandarización reduciría la variabilidad y aumentaría la confianza entre partes.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Facilita la comparación y benchmarking entre organizaciones.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Los marcos existentes (NIST AI RMF, ISO/IEC 42001) proveen una base de partida sólida.</w:t>
            </w:r>
            <w:r w:rsidDel="00000000" w:rsidR="00000000" w:rsidRPr="00000000">
              <w:rPr>
                <w:rtl w:val="0"/>
              </w:rPr>
            </w:r>
          </w:p>
          <w:p w:rsidR="00000000" w:rsidDel="00000000" w:rsidP="00000000" w:rsidRDefault="00000000" w:rsidRPr="00000000" w14:paraId="000000A0">
            <w:pPr>
              <w:spacing w:after="40" w:before="80" w:lineRule="auto"/>
              <w:rPr/>
            </w:pPr>
            <w:sdt>
              <w:sdtPr>
                <w:id w:val="-1079295015"/>
                <w:tag w:val="goog_rdk_7"/>
              </w:sdtPr>
              <w:sdtContent>
                <w:r w:rsidDel="00000000" w:rsidR="00000000" w:rsidRPr="00000000">
                  <w:rPr>
                    <w:rFonts w:ascii="Arial Unicode MS" w:cs="Arial Unicode MS" w:eastAsia="Arial Unicode MS" w:hAnsi="Arial Unicode MS"/>
                    <w:b w:val="1"/>
                    <w:bCs w:val="1"/>
                    <w:color w:val="c00000"/>
                    <w:rtl w:val="0"/>
                  </w:rPr>
                  <w:t xml:space="preserve">✘ Contras / Riesgos</w:t>
                </w:r>
              </w:sdtContent>
            </w:sdt>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ritmo de cambio tecnológico supera la velocidad de estandarización.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Riesgo de que los estándares se conviertan en checklists superficiales (gaming del estándar).</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Pueden surgir conflictos entre estándares de distintas jurisdicciones (UE vs. EE.UU. vs. Asia).</w:t>
            </w:r>
            <w:r w:rsidDel="00000000" w:rsidR="00000000" w:rsidRPr="00000000">
              <w:rPr>
                <w:rtl w:val="0"/>
              </w:rPr>
            </w:r>
          </w:p>
          <w:p w:rsidR="00000000" w:rsidDel="00000000" w:rsidP="00000000" w:rsidRDefault="00000000" w:rsidRPr="00000000" w14:paraId="000000A4">
            <w:pPr>
              <w:spacing w:after="40" w:before="80" w:lineRule="auto"/>
              <w:rPr/>
            </w:pPr>
            <w:r w:rsidDel="00000000" w:rsidR="00000000" w:rsidRPr="00000000">
              <w:rPr>
                <w:b w:val="1"/>
                <w:bCs w:val="1"/>
                <w:color w:val="1f3864"/>
                <w:rtl w:val="0"/>
              </w:rPr>
              <w:t xml:space="preserve">Cuándo aplicar: </w:t>
            </w:r>
            <w:r w:rsidDel="00000000" w:rsidR="00000000" w:rsidRPr="00000000">
              <w:rPr>
                <w:color w:val="404040"/>
                <w:rtl w:val="0"/>
              </w:rPr>
              <w:t xml:space="preserve">Aplica a cualquier organización que dependa de auditorías externas o internas para certificar calidad, seguridad o cumplimiento normativo de sistemas de IA, especialmente en sectores regulados.</w:t>
            </w:r>
            <w:r w:rsidDel="00000000" w:rsidR="00000000" w:rsidRPr="00000000">
              <w:rPr>
                <w:rtl w:val="0"/>
              </w:rPr>
            </w:r>
          </w:p>
        </w:tc>
      </w:tr>
    </w:tbl>
    <w:p w:rsidR="00000000" w:rsidDel="00000000" w:rsidP="00000000" w:rsidRDefault="00000000" w:rsidRPr="00000000" w14:paraId="000000A6">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20.0" w:type="dxa"/>
              <w:bottom w:w="12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28"/>
                <w:szCs w:val="28"/>
                <w:rtl w:val="0"/>
              </w:rPr>
              <w:t xml:space="preserve">H4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20.0" w:type="dxa"/>
            </w:tcMar>
          </w:tcPr>
          <w:p w:rsidR="00000000" w:rsidDel="00000000" w:rsidP="00000000" w:rsidRDefault="00000000" w:rsidRPr="00000000" w14:paraId="000000A8">
            <w:pPr>
              <w:rPr/>
            </w:pPr>
            <w:r w:rsidDel="00000000" w:rsidR="00000000" w:rsidRPr="00000000">
              <w:rPr>
                <w:b w:val="1"/>
                <w:bCs w:val="1"/>
                <w:color w:val="1f3864"/>
                <w:sz w:val="24"/>
                <w:szCs w:val="24"/>
                <w:rtl w:val="0"/>
              </w:rPr>
              <w:t xml:space="preserve">Métricas responsables: evaluar el ciclo de vida completo de la IA</w:t>
            </w:r>
            <w:r w:rsidDel="00000000" w:rsidR="00000000" w:rsidRPr="00000000">
              <w:rPr>
                <w:rtl w:val="0"/>
              </w:rPr>
            </w:r>
          </w:p>
        </w:tc>
      </w:tr>
      <w:tr>
        <w:trPr>
          <w:cantSplit w:val="0"/>
          <w:tblHeader w:val="0"/>
        </w:trPr>
        <w:tc>
          <w:tcPr>
            <w:gridSpan w:val="2"/>
            <w:tcBorders>
              <w:top w:color="bbcde0" w:space="0" w:sz="4" w:val="single"/>
              <w:left w:color="bbcde0" w:space="0" w:sz="4" w:val="single"/>
              <w:bottom w:color="bbcde0" w:space="0" w:sz="4" w:val="single"/>
              <w:right w:color="bbcde0" w:space="0" w:sz="4" w:val="single"/>
            </w:tcBorders>
            <w:shd w:fill="ffffff" w:val="clear"/>
            <w:tcMar>
              <w:top w:w="100.0" w:type="dxa"/>
              <w:left w:w="200.0" w:type="dxa"/>
              <w:bottom w:w="100.0" w:type="dxa"/>
              <w:right w:w="200.0" w:type="dxa"/>
            </w:tcMar>
          </w:tcPr>
          <w:p w:rsidR="00000000" w:rsidDel="00000000" w:rsidP="00000000" w:rsidRDefault="00000000" w:rsidRPr="00000000" w14:paraId="000000A9">
            <w:pPr>
              <w:spacing w:after="60" w:lineRule="auto"/>
              <w:rPr/>
            </w:pPr>
            <w:r w:rsidDel="00000000" w:rsidR="00000000" w:rsidRPr="00000000">
              <w:rPr>
                <w:b w:val="1"/>
                <w:bCs w:val="1"/>
                <w:color w:val="1f3864"/>
                <w:rtl w:val="0"/>
              </w:rPr>
              <w:t xml:space="preserve">Qué afirma: </w:t>
            </w:r>
            <w:r w:rsidDel="00000000" w:rsidR="00000000" w:rsidRPr="00000000">
              <w:rPr>
                <w:color w:val="404040"/>
                <w:rtl w:val="0"/>
              </w:rPr>
              <w:t xml:space="preserve">Los marcos de métricas responsables y gobernanza de IA buscan operacionalizar la accountability mediante indicadores que evalúan no solo el desempeño del modelo, sino también los procesos y recursos involucrados en su desarrollo. Xia et al. (2023) proponen un catálogo estructurado de métricas para el ciclo de vida completo.</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b w:val="1"/>
                <w:bCs w:val="1"/>
                <w:color w:val="1f3864"/>
                <w:rtl w:val="0"/>
              </w:rPr>
              <w:t xml:space="preserve">Evidencia: </w:t>
            </w:r>
            <w:r w:rsidDel="00000000" w:rsidR="00000000" w:rsidRPr="00000000">
              <w:rPr>
                <w:color w:val="404040"/>
                <w:rtl w:val="0"/>
              </w:rPr>
              <w:t xml:space="preserve">S5 (Xia et al., 2023) — Towards a Responsible AI Metrics Catalogue, arXiv; OECD (2023) — framework de clasificación de IA.</w:t>
            </w:r>
            <w:r w:rsidDel="00000000" w:rsidR="00000000" w:rsidRPr="00000000">
              <w:rPr>
                <w:rtl w:val="0"/>
              </w:rPr>
            </w:r>
          </w:p>
          <w:p w:rsidR="00000000" w:rsidDel="00000000" w:rsidP="00000000" w:rsidRDefault="00000000" w:rsidRPr="00000000" w14:paraId="000000AB">
            <w:pPr>
              <w:spacing w:after="40" w:before="80" w:lineRule="auto"/>
              <w:rPr/>
            </w:pPr>
            <w:sdt>
              <w:sdtPr>
                <w:id w:val="-7587286"/>
                <w:tag w:val="goog_rdk_8"/>
              </w:sdtPr>
              <w:sdtContent>
                <w:r w:rsidDel="00000000" w:rsidR="00000000" w:rsidRPr="00000000">
                  <w:rPr>
                    <w:rFonts w:ascii="Arial Unicode MS" w:cs="Arial Unicode MS" w:eastAsia="Arial Unicode MS" w:hAnsi="Arial Unicode MS"/>
                    <w:b w:val="1"/>
                    <w:bCs w:val="1"/>
                    <w:color w:val="1e7d3a"/>
                    <w:rtl w:val="0"/>
                  </w:rPr>
                  <w:t xml:space="preserve">✔ Pros / Beneficios</w:t>
                </w:r>
              </w:sdtContent>
            </w:sdt>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Ofrece una visión holística que reduce puntos ciegos en la evaluación.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Mejora la trazabilidad y documentación del ciclo de vida del sistema.</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Facilita el cumplimiento regulatorio (EU AI Act, ISO/IEC 42001).</w:t>
            </w:r>
            <w:r w:rsidDel="00000000" w:rsidR="00000000" w:rsidRPr="00000000">
              <w:rPr>
                <w:rtl w:val="0"/>
              </w:rPr>
            </w:r>
          </w:p>
          <w:p w:rsidR="00000000" w:rsidDel="00000000" w:rsidP="00000000" w:rsidRDefault="00000000" w:rsidRPr="00000000" w14:paraId="000000AF">
            <w:pPr>
              <w:spacing w:after="40" w:before="80" w:lineRule="auto"/>
              <w:rPr/>
            </w:pPr>
            <w:sdt>
              <w:sdtPr>
                <w:id w:val="-996268187"/>
                <w:tag w:val="goog_rdk_9"/>
              </w:sdtPr>
              <w:sdtContent>
                <w:r w:rsidDel="00000000" w:rsidR="00000000" w:rsidRPr="00000000">
                  <w:rPr>
                    <w:rFonts w:ascii="Arial Unicode MS" w:cs="Arial Unicode MS" w:eastAsia="Arial Unicode MS" w:hAnsi="Arial Unicode MS"/>
                    <w:b w:val="1"/>
                    <w:bCs w:val="1"/>
                    <w:color w:val="c00000"/>
                    <w:rtl w:val="0"/>
                  </w:rPr>
                  <w:t xml:space="preserve">✘ Contras / Riesgos</w:t>
                </w:r>
              </w:sdtContent>
            </w:sdt>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Mayor complejidad de implementación y overhead de documentación.</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Riesgo de que métricas de proceso también sean gamificadas si se vuelven KPIs formales.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Requiere cultura organizacional de calidad madura para ser efectivo.</w:t>
            </w:r>
            <w:r w:rsidDel="00000000" w:rsidR="00000000" w:rsidRPr="00000000">
              <w:rPr>
                <w:rtl w:val="0"/>
              </w:rPr>
            </w:r>
          </w:p>
          <w:p w:rsidR="00000000" w:rsidDel="00000000" w:rsidP="00000000" w:rsidRDefault="00000000" w:rsidRPr="00000000" w14:paraId="000000B3">
            <w:pPr>
              <w:spacing w:after="40" w:before="80" w:lineRule="auto"/>
              <w:rPr/>
            </w:pPr>
            <w:r w:rsidDel="00000000" w:rsidR="00000000" w:rsidRPr="00000000">
              <w:rPr>
                <w:b w:val="1"/>
                <w:bCs w:val="1"/>
                <w:color w:val="1f3864"/>
                <w:rtl w:val="0"/>
              </w:rPr>
              <w:t xml:space="preserve">Cuándo aplicar: </w:t>
            </w:r>
            <w:r w:rsidDel="00000000" w:rsidR="00000000" w:rsidRPr="00000000">
              <w:rPr>
                <w:color w:val="404040"/>
                <w:rtl w:val="0"/>
              </w:rPr>
              <w:t xml:space="preserve">Aplicable en organizaciones que implementan marcos de gobernanza de IA o prácticas de Responsible AI en el desarrollo de software, especialmente en proyectos de alto riesgo o impacto social.</w:t>
            </w:r>
            <w:r w:rsidDel="00000000" w:rsidR="00000000" w:rsidRPr="00000000">
              <w:rPr>
                <w:rtl w:val="0"/>
              </w:rPr>
            </w:r>
          </w:p>
        </w:tc>
      </w:tr>
    </w:tbl>
    <w:p w:rsidR="00000000" w:rsidDel="00000000" w:rsidP="00000000" w:rsidRDefault="00000000" w:rsidRPr="00000000" w14:paraId="000000B5">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20.0" w:type="dxa"/>
              <w:bottom w:w="120.0" w:type="dxa"/>
              <w:right w:w="120.0" w:type="dxa"/>
            </w:tcMar>
            <w:vAlign w:val="center"/>
          </w:tcPr>
          <w:p w:rsidR="00000000" w:rsidDel="00000000" w:rsidP="00000000" w:rsidRDefault="00000000" w:rsidRPr="00000000" w14:paraId="000000B6">
            <w:pPr>
              <w:jc w:val="center"/>
              <w:rPr/>
            </w:pPr>
            <w:r w:rsidDel="00000000" w:rsidR="00000000" w:rsidRPr="00000000">
              <w:rPr>
                <w:b w:val="1"/>
                <w:bCs w:val="1"/>
                <w:color w:val="ffffff"/>
                <w:sz w:val="28"/>
                <w:szCs w:val="28"/>
                <w:rtl w:val="0"/>
              </w:rPr>
              <w:t xml:space="preserve">H5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0" w:val="clear"/>
            <w:tcMar>
              <w:top w:w="120.0" w:type="dxa"/>
              <w:left w:w="200.0" w:type="dxa"/>
              <w:bottom w:w="120.0" w:type="dxa"/>
              <w:right w:w="120.0" w:type="dxa"/>
            </w:tcMar>
          </w:tcPr>
          <w:p w:rsidR="00000000" w:rsidDel="00000000" w:rsidP="00000000" w:rsidRDefault="00000000" w:rsidRPr="00000000" w14:paraId="000000B7">
            <w:pPr>
              <w:rPr/>
            </w:pPr>
            <w:r w:rsidDel="00000000" w:rsidR="00000000" w:rsidRPr="00000000">
              <w:rPr>
                <w:b w:val="1"/>
                <w:bCs w:val="1"/>
                <w:color w:val="1f3864"/>
                <w:sz w:val="24"/>
                <w:szCs w:val="24"/>
                <w:rtl w:val="0"/>
              </w:rPr>
              <w:t xml:space="preserve">Gaming + opacidad = riesgo legal y técnico compuesto</w:t>
            </w:r>
            <w:r w:rsidDel="00000000" w:rsidR="00000000" w:rsidRPr="00000000">
              <w:rPr>
                <w:rtl w:val="0"/>
              </w:rPr>
            </w:r>
          </w:p>
        </w:tc>
      </w:tr>
      <w:tr>
        <w:trPr>
          <w:cantSplit w:val="0"/>
          <w:tblHeader w:val="0"/>
        </w:trPr>
        <w:tc>
          <w:tcPr>
            <w:gridSpan w:val="2"/>
            <w:tcBorders>
              <w:top w:color="bbcde0" w:space="0" w:sz="4" w:val="single"/>
              <w:left w:color="bbcde0" w:space="0" w:sz="4" w:val="single"/>
              <w:bottom w:color="bbcde0" w:space="0" w:sz="4" w:val="single"/>
              <w:right w:color="bbcde0" w:space="0" w:sz="4" w:val="single"/>
            </w:tcBorders>
            <w:shd w:fill="ffffff" w:val="clear"/>
            <w:tcMar>
              <w:top w:w="100.0" w:type="dxa"/>
              <w:left w:w="200.0" w:type="dxa"/>
              <w:bottom w:w="100.0" w:type="dxa"/>
              <w:right w:w="200.0" w:type="dxa"/>
            </w:tcMar>
          </w:tcPr>
          <w:p w:rsidR="00000000" w:rsidDel="00000000" w:rsidP="00000000" w:rsidRDefault="00000000" w:rsidRPr="00000000" w14:paraId="000000B8">
            <w:pPr>
              <w:spacing w:after="60" w:lineRule="auto"/>
              <w:rPr/>
            </w:pPr>
            <w:r w:rsidDel="00000000" w:rsidR="00000000" w:rsidRPr="00000000">
              <w:rPr>
                <w:b w:val="1"/>
                <w:bCs w:val="1"/>
                <w:color w:val="1f3864"/>
                <w:rtl w:val="0"/>
              </w:rPr>
              <w:t xml:space="preserve">Qué afirma: </w:t>
            </w:r>
            <w:r w:rsidDel="00000000" w:rsidR="00000000" w:rsidRPr="00000000">
              <w:rPr>
                <w:color w:val="404040"/>
                <w:rtl w:val="0"/>
              </w:rPr>
              <w:t xml:space="preserve">La combinación de gaming de métricas y opacidad en los sistemas de IA puede generar riesgos significativos para la responsabilidad técnica y legal. Kolt et al. (2026) advierten que incluso los benchmarks de cumplimiento legal pueden ser 'gamed', produciendo aparente conformidad sin alineación real con los valores y leyes que se busca cumplir.</w:t>
            </w: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b w:val="1"/>
                <w:bCs w:val="1"/>
                <w:color w:val="1f3864"/>
                <w:rtl w:val="0"/>
              </w:rPr>
              <w:t xml:space="preserve">Evidencia: </w:t>
            </w:r>
            <w:r w:rsidDel="00000000" w:rsidR="00000000" w:rsidRPr="00000000">
              <w:rPr>
                <w:color w:val="404040"/>
                <w:rtl w:val="0"/>
              </w:rPr>
              <w:t xml:space="preserve">S6 (Kolt et al., 2026) — Legal Alignment for Safe and Ethical AI, Oxford; EU AI Act (2021).</w:t>
            </w:r>
            <w:r w:rsidDel="00000000" w:rsidR="00000000" w:rsidRPr="00000000">
              <w:rPr>
                <w:rtl w:val="0"/>
              </w:rPr>
            </w:r>
          </w:p>
          <w:p w:rsidR="00000000" w:rsidDel="00000000" w:rsidP="00000000" w:rsidRDefault="00000000" w:rsidRPr="00000000" w14:paraId="000000BA">
            <w:pPr>
              <w:spacing w:after="40" w:before="80" w:lineRule="auto"/>
              <w:rPr/>
            </w:pPr>
            <w:sdt>
              <w:sdtPr>
                <w:id w:val="520050868"/>
                <w:tag w:val="goog_rdk_10"/>
              </w:sdtPr>
              <w:sdtContent>
                <w:r w:rsidDel="00000000" w:rsidR="00000000" w:rsidRPr="00000000">
                  <w:rPr>
                    <w:rFonts w:ascii="Arial Unicode MS" w:cs="Arial Unicode MS" w:eastAsia="Arial Unicode MS" w:hAnsi="Arial Unicode MS"/>
                    <w:b w:val="1"/>
                    <w:bCs w:val="1"/>
                    <w:color w:val="1e7d3a"/>
                    <w:rtl w:val="0"/>
                  </w:rPr>
                  <w:t xml:space="preserve">✔ Pros / Beneficios</w:t>
                </w:r>
              </w:sdtContent>
            </w:sdt>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integración de auditoría continua reduce la acumulación de riesgos ocultos.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definición de mecanismos de responsabilidad claros protege a la organización legalmente.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Promueve una cultura de transparencia que fortalece la confianza de stakeholders.</w:t>
            </w:r>
            <w:r w:rsidDel="00000000" w:rsidR="00000000" w:rsidRPr="00000000">
              <w:rPr>
                <w:rtl w:val="0"/>
              </w:rPr>
            </w:r>
          </w:p>
          <w:p w:rsidR="00000000" w:rsidDel="00000000" w:rsidP="00000000" w:rsidRDefault="00000000" w:rsidRPr="00000000" w14:paraId="000000BE">
            <w:pPr>
              <w:spacing w:after="40" w:before="80" w:lineRule="auto"/>
              <w:rPr/>
            </w:pPr>
            <w:sdt>
              <w:sdtPr>
                <w:id w:val="845438651"/>
                <w:tag w:val="goog_rdk_11"/>
              </w:sdtPr>
              <w:sdtContent>
                <w:r w:rsidDel="00000000" w:rsidR="00000000" w:rsidRPr="00000000">
                  <w:rPr>
                    <w:rFonts w:ascii="Arial Unicode MS" w:cs="Arial Unicode MS" w:eastAsia="Arial Unicode MS" w:hAnsi="Arial Unicode MS"/>
                    <w:b w:val="1"/>
                    <w:bCs w:val="1"/>
                    <w:color w:val="c00000"/>
                    <w:rtl w:val="0"/>
                  </w:rPr>
                  <w:t xml:space="preserve">✘ Contras / Riesgos</w:t>
                </w:r>
              </w:sdtContent>
            </w:sdt>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La responsabilidad difusa en sistemas de IA complejos dificulta la atribución clara.</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El cumplimiento legal aparente puede crear falsa sensación de seguridad.</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Los mecanismos de responsabilidad pueden inhibir la innovación si son excesivamente restrictivos.</w:t>
            </w:r>
            <w:r w:rsidDel="00000000" w:rsidR="00000000" w:rsidRPr="00000000">
              <w:rPr>
                <w:rtl w:val="0"/>
              </w:rPr>
            </w:r>
          </w:p>
          <w:p w:rsidR="00000000" w:rsidDel="00000000" w:rsidP="00000000" w:rsidRDefault="00000000" w:rsidRPr="00000000" w14:paraId="000000C2">
            <w:pPr>
              <w:spacing w:after="40" w:before="80" w:lineRule="auto"/>
              <w:rPr/>
            </w:pPr>
            <w:r w:rsidDel="00000000" w:rsidR="00000000" w:rsidRPr="00000000">
              <w:rPr>
                <w:b w:val="1"/>
                <w:bCs w:val="1"/>
                <w:color w:val="1f3864"/>
                <w:rtl w:val="0"/>
              </w:rPr>
              <w:t xml:space="preserve">Cuándo aplicar: </w:t>
            </w:r>
            <w:r w:rsidDel="00000000" w:rsidR="00000000" w:rsidRPr="00000000">
              <w:rPr>
                <w:color w:val="404040"/>
                <w:rtl w:val="0"/>
              </w:rPr>
              <w:t xml:space="preserve">Especialmente relevante en sistemas de IA utilizados en contextos sensibles (finanzas, salud, sector público) donde decisiones automatizadas pueden generar impactos sociales o legales significativos.</w:t>
            </w:r>
            <w:r w:rsidDel="00000000" w:rsidR="00000000" w:rsidRPr="00000000">
              <w:rPr>
                <w:rtl w:val="0"/>
              </w:rPr>
            </w:r>
          </w:p>
        </w:tc>
      </w:tr>
    </w:tbl>
    <w:p w:rsidR="00000000" w:rsidDel="00000000" w:rsidP="00000000" w:rsidRDefault="00000000" w:rsidRPr="00000000" w14:paraId="000000C4">
      <w:pPr>
        <w:spacing w:after="40" w:before="40" w:lineRule="auto"/>
        <w:rPr/>
      </w:pP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C6">
            <w:pPr>
              <w:rPr/>
            </w:pPr>
            <w:r w:rsidDel="00000000" w:rsidR="00000000" w:rsidRPr="00000000">
              <w:rPr>
                <w:b w:val="1"/>
                <w:bCs w:val="1"/>
                <w:color w:val="1f3864"/>
                <w:sz w:val="24"/>
                <w:szCs w:val="24"/>
                <w:rtl w:val="0"/>
              </w:rPr>
              <w:t xml:space="preserve">TOP 5: IDEAS PRÁCTICAS Y ANTI-PATRONES</w:t>
            </w:r>
            <w:r w:rsidDel="00000000" w:rsidR="00000000" w:rsidRPr="00000000">
              <w:rPr>
                <w:rtl w:val="0"/>
              </w:rPr>
            </w:r>
          </w:p>
        </w:tc>
      </w:tr>
    </w:tbl>
    <w:p w:rsidR="00000000" w:rsidDel="00000000" w:rsidP="00000000" w:rsidRDefault="00000000" w:rsidRPr="00000000" w14:paraId="000000C7">
      <w:pPr>
        <w:spacing w:after="40" w:before="4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3 Ideas Prácticas para Adoptar</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1f3864" w:val="clear"/>
            <w:tcMar>
              <w:top w:w="120.0" w:type="dxa"/>
              <w:left w:w="80.0" w:type="dxa"/>
              <w:bottom w:w="120.0" w:type="dxa"/>
              <w:right w:w="80.0" w:type="dxa"/>
            </w:tcMar>
            <w:vAlign w:val="center"/>
          </w:tcPr>
          <w:p w:rsidR="00000000" w:rsidDel="00000000" w:rsidP="00000000" w:rsidRDefault="00000000" w:rsidRPr="00000000" w14:paraId="000000C9">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100.0" w:type="dxa"/>
              <w:left w:w="160.0" w:type="dxa"/>
              <w:bottom w:w="100.0" w:type="dxa"/>
              <w:right w:w="160.0" w:type="dxa"/>
            </w:tcMar>
          </w:tcPr>
          <w:p w:rsidR="00000000" w:rsidDel="00000000" w:rsidP="00000000" w:rsidRDefault="00000000" w:rsidRPr="00000000" w14:paraId="000000CA">
            <w:pPr>
              <w:spacing w:after="40" w:lineRule="auto"/>
              <w:rPr/>
            </w:pPr>
            <w:r w:rsidDel="00000000" w:rsidR="00000000" w:rsidRPr="00000000">
              <w:rPr>
                <w:b w:val="1"/>
                <w:bCs w:val="1"/>
                <w:color w:val="1f3864"/>
                <w:rtl w:val="0"/>
              </w:rPr>
              <w:t xml:space="preserve">Diversificación y rotación de benchmarks</w:t>
            </w:r>
            <w:r w:rsidDel="00000000" w:rsidR="00000000" w:rsidRPr="00000000">
              <w:rPr>
                <w:rtl w:val="0"/>
              </w:rPr>
            </w:r>
          </w:p>
          <w:p w:rsidR="00000000" w:rsidDel="00000000" w:rsidP="00000000" w:rsidRDefault="00000000" w:rsidRPr="00000000" w14:paraId="000000CB">
            <w:pPr>
              <w:rPr/>
            </w:pPr>
            <w:r w:rsidDel="00000000" w:rsidR="00000000" w:rsidRPr="00000000">
              <w:rPr>
                <w:color w:val="404040"/>
                <w:sz w:val="20"/>
                <w:szCs w:val="20"/>
                <w:rtl w:val="0"/>
              </w:rPr>
              <w:t xml:space="preserve">No depender de un solo conjunto de métricas públicas. Combinar evaluaciones externas con pruebas internas no divulgadas, y rotar periódicamente los conjuntos de evaluación para dificultar el gaming sistemático (Singh et al., 2025; Goodhart, 1975).</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1f3864" w:val="clear"/>
            <w:tcMar>
              <w:top w:w="120.0" w:type="dxa"/>
              <w:left w:w="80.0" w:type="dxa"/>
              <w:bottom w:w="120.0" w:type="dxa"/>
              <w:right w:w="8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60.0" w:type="dxa"/>
              <w:bottom w:w="100.0" w:type="dxa"/>
              <w:right w:w="160.0" w:type="dxa"/>
            </w:tcMar>
          </w:tcPr>
          <w:p w:rsidR="00000000" w:rsidDel="00000000" w:rsidP="00000000" w:rsidRDefault="00000000" w:rsidRPr="00000000" w14:paraId="000000CD">
            <w:pPr>
              <w:spacing w:after="40" w:lineRule="auto"/>
              <w:rPr/>
            </w:pPr>
            <w:r w:rsidDel="00000000" w:rsidR="00000000" w:rsidRPr="00000000">
              <w:rPr>
                <w:b w:val="1"/>
                <w:bCs w:val="1"/>
                <w:color w:val="1f3864"/>
                <w:rtl w:val="0"/>
              </w:rPr>
              <w:t xml:space="preserve">Auditorías híbridas: black-box + white-box</w:t>
            </w:r>
            <w:r w:rsidDel="00000000" w:rsidR="00000000" w:rsidRPr="00000000">
              <w:rPr>
                <w:rtl w:val="0"/>
              </w:rPr>
            </w:r>
          </w:p>
          <w:p w:rsidR="00000000" w:rsidDel="00000000" w:rsidP="00000000" w:rsidRDefault="00000000" w:rsidRPr="00000000" w14:paraId="000000CE">
            <w:pPr>
              <w:rPr/>
            </w:pPr>
            <w:r w:rsidDel="00000000" w:rsidR="00000000" w:rsidRPr="00000000">
              <w:rPr>
                <w:color w:val="404040"/>
                <w:sz w:val="20"/>
                <w:szCs w:val="20"/>
                <w:rtl w:val="0"/>
              </w:rPr>
              <w:t xml:space="preserve">Complementar las evaluaciones externas de acceso limitado con análisis interno del código, arquitectura y datos de entrenamiento. Establecer acuerdos de acceso técnico con auditores independientes bajo NDA (Casper et al., 2024; NIST, 2023).</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1f3864" w:val="clear"/>
            <w:tcMar>
              <w:top w:w="120.0" w:type="dxa"/>
              <w:left w:w="80.0" w:type="dxa"/>
              <w:bottom w:w="120.0" w:type="dxa"/>
              <w:right w:w="80.0" w:type="dxa"/>
            </w:tcMar>
            <w:vAlign w:val="center"/>
          </w:tcPr>
          <w:p w:rsidR="00000000" w:rsidDel="00000000" w:rsidP="00000000" w:rsidRDefault="00000000" w:rsidRPr="00000000" w14:paraId="000000CF">
            <w:pPr>
              <w:jc w:val="center"/>
              <w:rPr/>
            </w:pPr>
            <w:r w:rsidDel="00000000" w:rsidR="00000000" w:rsidRPr="00000000">
              <w:rPr>
                <w:b w:val="1"/>
                <w:bCs w:val="1"/>
                <w:color w:val="ffffff"/>
                <w:sz w:val="28"/>
                <w:szCs w:val="28"/>
                <w:rtl w:val="0"/>
              </w:rPr>
              <w:t xml:space="preserve">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100.0" w:type="dxa"/>
              <w:left w:w="160.0" w:type="dxa"/>
              <w:bottom w:w="100.0" w:type="dxa"/>
              <w:right w:w="160.0" w:type="dxa"/>
            </w:tcMar>
          </w:tcPr>
          <w:p w:rsidR="00000000" w:rsidDel="00000000" w:rsidP="00000000" w:rsidRDefault="00000000" w:rsidRPr="00000000" w14:paraId="000000D0">
            <w:pPr>
              <w:spacing w:after="40" w:lineRule="auto"/>
              <w:rPr/>
            </w:pPr>
            <w:r w:rsidDel="00000000" w:rsidR="00000000" w:rsidRPr="00000000">
              <w:rPr>
                <w:b w:val="1"/>
                <w:bCs w:val="1"/>
                <w:color w:val="1f3864"/>
                <w:rtl w:val="0"/>
              </w:rPr>
              <w:t xml:space="preserve">Métricas de proceso, no solo de producto</w:t>
            </w:r>
            <w:r w:rsidDel="00000000" w:rsidR="00000000" w:rsidRPr="00000000">
              <w:rPr>
                <w:rtl w:val="0"/>
              </w:rPr>
            </w:r>
          </w:p>
          <w:p w:rsidR="00000000" w:rsidDel="00000000" w:rsidP="00000000" w:rsidRDefault="00000000" w:rsidRPr="00000000" w14:paraId="000000D1">
            <w:pPr>
              <w:rPr/>
            </w:pPr>
            <w:r w:rsidDel="00000000" w:rsidR="00000000" w:rsidRPr="00000000">
              <w:rPr>
                <w:color w:val="404040"/>
                <w:sz w:val="20"/>
                <w:szCs w:val="20"/>
                <w:rtl w:val="0"/>
              </w:rPr>
              <w:t xml:space="preserve">Incorporar indicadores de trazabilidad, documentación, gestión de datos y gobernanza del ciclo de vida, además de las métricas de desempeño del modelo. Esto dificulta el gaming puntual y evalúa la calidad sustantiva (Xia et al., 2023; OECD, 2023).</w:t>
            </w:r>
            <w:r w:rsidDel="00000000" w:rsidR="00000000" w:rsidRPr="00000000">
              <w:rPr>
                <w:rtl w:val="0"/>
              </w:rPr>
            </w:r>
          </w:p>
        </w:tc>
      </w:tr>
    </w:tbl>
    <w:p w:rsidR="00000000" w:rsidDel="00000000" w:rsidP="00000000" w:rsidRDefault="00000000" w:rsidRPr="00000000" w14:paraId="000000D2">
      <w:pPr>
        <w:spacing w:after="40" w:before="40" w:lineRule="auto"/>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color w:val="c00000"/>
          <w:rtl w:val="0"/>
        </w:rPr>
        <w:t xml:space="preserve">2 Anti-patrones a Evitar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560"/>
        <w:tblGridChange w:id="0">
          <w:tblGrid>
            <w:gridCol w:w="800"/>
            <w:gridCol w:w="85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c00000" w:val="clear"/>
            <w:tcMar>
              <w:top w:w="120.0" w:type="dxa"/>
              <w:left w:w="80.0" w:type="dxa"/>
              <w:bottom w:w="120.0" w:type="dxa"/>
              <w:right w:w="80.0" w:type="dxa"/>
            </w:tcMar>
            <w:vAlign w:val="center"/>
          </w:tcPr>
          <w:p w:rsidR="00000000" w:rsidDel="00000000" w:rsidP="00000000" w:rsidRDefault="00000000" w:rsidRPr="00000000" w14:paraId="000000D4">
            <w:pPr>
              <w:jc w:val="center"/>
              <w:rPr/>
            </w:pPr>
            <w:sdt>
              <w:sdtPr>
                <w:id w:val="-1671236905"/>
                <w:tag w:val="goog_rdk_12"/>
              </w:sdtPr>
              <w:sdtContent>
                <w:r w:rsidDel="00000000" w:rsidR="00000000" w:rsidRPr="00000000">
                  <w:rPr>
                    <w:rFonts w:ascii="Arial Unicode MS" w:cs="Arial Unicode MS" w:eastAsia="Arial Unicode MS" w:hAnsi="Arial Unicode MS"/>
                    <w:b w:val="1"/>
                    <w:bCs w:val="1"/>
                    <w:color w:val="ffffff"/>
                    <w:sz w:val="28"/>
                    <w:szCs w:val="28"/>
                    <w:rtl w:val="0"/>
                  </w:rPr>
                  <w:t xml:space="preserve">✘</w:t>
                </w:r>
              </w:sdtContent>
            </w:sdt>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2f2" w:val="clear"/>
            <w:tcMar>
              <w:top w:w="100.0" w:type="dxa"/>
              <w:left w:w="160.0" w:type="dxa"/>
              <w:bottom w:w="100.0" w:type="dxa"/>
              <w:right w:w="160.0" w:type="dxa"/>
            </w:tcMar>
          </w:tcPr>
          <w:p w:rsidR="00000000" w:rsidDel="00000000" w:rsidP="00000000" w:rsidRDefault="00000000" w:rsidRPr="00000000" w14:paraId="000000D5">
            <w:pPr>
              <w:spacing w:after="40" w:lineRule="auto"/>
              <w:rPr/>
            </w:pPr>
            <w:r w:rsidDel="00000000" w:rsidR="00000000" w:rsidRPr="00000000">
              <w:rPr>
                <w:b w:val="1"/>
                <w:bCs w:val="1"/>
                <w:color w:val="c00000"/>
                <w:rtl w:val="0"/>
              </w:rPr>
              <w:t xml:space="preserve">Benchmark-washing: publicar solo los mejores resultados</w:t>
            </w:r>
            <w:r w:rsidDel="00000000" w:rsidR="00000000" w:rsidRPr="00000000">
              <w:rPr>
                <w:rtl w:val="0"/>
              </w:rPr>
            </w:r>
          </w:p>
          <w:p w:rsidR="00000000" w:rsidDel="00000000" w:rsidP="00000000" w:rsidRDefault="00000000" w:rsidRPr="00000000" w14:paraId="000000D6">
            <w:pPr>
              <w:rPr/>
            </w:pPr>
            <w:r w:rsidDel="00000000" w:rsidR="00000000" w:rsidRPr="00000000">
              <w:rPr>
                <w:color w:val="404040"/>
                <w:sz w:val="20"/>
                <w:szCs w:val="20"/>
                <w:rtl w:val="0"/>
              </w:rPr>
              <w:t xml:space="preserve">Evaluar múltiples variantes privadas de un modelo y reportar únicamente los resultados más favorables en rankings públicos. Esto produce métricas engañosas que no reflejan el comportamiento real en producción y deteriora la confianza del ecosistema (Singh et al., 2025; Kolt et al., 2026).</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c00000" w:val="clear"/>
            <w:tcMar>
              <w:top w:w="120.0" w:type="dxa"/>
              <w:left w:w="80.0" w:type="dxa"/>
              <w:bottom w:w="120.0" w:type="dxa"/>
              <w:right w:w="80.0" w:type="dxa"/>
            </w:tcMar>
            <w:vAlign w:val="center"/>
          </w:tcPr>
          <w:p w:rsidR="00000000" w:rsidDel="00000000" w:rsidP="00000000" w:rsidRDefault="00000000" w:rsidRPr="00000000" w14:paraId="000000D7">
            <w:pPr>
              <w:jc w:val="center"/>
              <w:rPr/>
            </w:pPr>
            <w:sdt>
              <w:sdtPr>
                <w:id w:val="-1178034565"/>
                <w:tag w:val="goog_rdk_13"/>
              </w:sdtPr>
              <w:sdtContent>
                <w:r w:rsidDel="00000000" w:rsidR="00000000" w:rsidRPr="00000000">
                  <w:rPr>
                    <w:rFonts w:ascii="Arial Unicode MS" w:cs="Arial Unicode MS" w:eastAsia="Arial Unicode MS" w:hAnsi="Arial Unicode MS"/>
                    <w:b w:val="1"/>
                    <w:bCs w:val="1"/>
                    <w:color w:val="ffffff"/>
                    <w:sz w:val="28"/>
                    <w:szCs w:val="28"/>
                    <w:rtl w:val="0"/>
                  </w:rPr>
                  <w:t xml:space="preserve">✘</w:t>
                </w:r>
              </w:sdtContent>
            </w:sdt>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100.0" w:type="dxa"/>
              <w:left w:w="160.0" w:type="dxa"/>
              <w:bottom w:w="100.0" w:type="dxa"/>
              <w:right w:w="160.0" w:type="dxa"/>
            </w:tcMar>
          </w:tcPr>
          <w:p w:rsidR="00000000" w:rsidDel="00000000" w:rsidP="00000000" w:rsidRDefault="00000000" w:rsidRPr="00000000" w14:paraId="000000D8">
            <w:pPr>
              <w:spacing w:after="40" w:lineRule="auto"/>
              <w:rPr/>
            </w:pPr>
            <w:r w:rsidDel="00000000" w:rsidR="00000000" w:rsidRPr="00000000">
              <w:rPr>
                <w:b w:val="1"/>
                <w:bCs w:val="1"/>
                <w:color w:val="c00000"/>
                <w:rtl w:val="0"/>
              </w:rPr>
              <w:t xml:space="preserve">Compliance theater: auditorías de formulario sin profundidad</w:t>
            </w:r>
            <w:r w:rsidDel="00000000" w:rsidR="00000000" w:rsidRPr="00000000">
              <w:rPr>
                <w:rtl w:val="0"/>
              </w:rPr>
            </w:r>
          </w:p>
          <w:p w:rsidR="00000000" w:rsidDel="00000000" w:rsidP="00000000" w:rsidRDefault="00000000" w:rsidRPr="00000000" w14:paraId="000000D9">
            <w:pPr>
              <w:rPr/>
            </w:pPr>
            <w:r w:rsidDel="00000000" w:rsidR="00000000" w:rsidRPr="00000000">
              <w:rPr>
                <w:color w:val="404040"/>
                <w:sz w:val="20"/>
                <w:szCs w:val="20"/>
                <w:rtl w:val="0"/>
              </w:rPr>
              <w:t xml:space="preserve">Implementar procesos de auditoría que cumplen los requisitos formales de un estándar sin evaluar realmente los riesgos y comportamientos del sistema. El resultado es accountability aparente que da falsa sensación de seguridad y no previene fallos en producción (Costanza-Chock et al., 2023; Casper et al., 2024).</w:t>
            </w:r>
            <w:r w:rsidDel="00000000" w:rsidR="00000000" w:rsidRPr="00000000">
              <w:rPr>
                <w:rtl w:val="0"/>
              </w:rPr>
            </w:r>
          </w:p>
        </w:tc>
      </w:tr>
    </w:tbl>
    <w:p w:rsidR="00000000" w:rsidDel="00000000" w:rsidP="00000000" w:rsidRDefault="00000000" w:rsidRPr="00000000" w14:paraId="000000DA">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0DB">
            <w:pPr>
              <w:rPr/>
            </w:pPr>
            <w:r w:rsidDel="00000000" w:rsidR="00000000" w:rsidRPr="00000000">
              <w:rPr>
                <w:b w:val="1"/>
                <w:bCs w:val="1"/>
                <w:color w:val="1f3864"/>
                <w:sz w:val="24"/>
                <w:szCs w:val="24"/>
                <w:rtl w:val="0"/>
              </w:rPr>
              <w:t xml:space="preserve">MATRIZ DE EVIDENCIA (Última diapositiva)</w:t>
            </w:r>
            <w:r w:rsidDel="00000000" w:rsidR="00000000" w:rsidRPr="00000000">
              <w:rPr>
                <w:rtl w:val="0"/>
              </w:rPr>
            </w:r>
          </w:p>
        </w:tc>
      </w:tr>
    </w:tbl>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spacing w:after="80" w:before="60" w:lineRule="auto"/>
        <w:rPr/>
      </w:pPr>
      <w:r w:rsidDel="00000000" w:rsidR="00000000" w:rsidRPr="00000000">
        <w:rPr>
          <w:color w:val="404040"/>
          <w:rtl w:val="0"/>
        </w:rPr>
        <w:t xml:space="preserve">Cada hallazgo central está respaldado por al menos una fuente. La matriz incluye las 8 fuentes mínimas requeridas (fuentes industriales, estándares/regulaciones y estudios académicos).</w:t>
      </w:r>
      <w:r w:rsidDel="00000000" w:rsidR="00000000" w:rsidRPr="00000000">
        <w:rPr>
          <w:rtl w:val="0"/>
        </w:rPr>
      </w:r>
    </w:p>
    <w:p w:rsidR="00000000" w:rsidDel="00000000" w:rsidP="00000000" w:rsidRDefault="00000000" w:rsidRPr="00000000" w14:paraId="000000DE">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1"/>
        <w:gridCol w:w="4369"/>
        <w:gridCol w:w="2162"/>
        <w:gridCol w:w="1708"/>
        <w:tblGridChange w:id="0">
          <w:tblGrid>
            <w:gridCol w:w="1121"/>
            <w:gridCol w:w="4369"/>
            <w:gridCol w:w="2162"/>
            <w:gridCol w:w="1708"/>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color w:val="ffffff"/>
                <w:sz w:val="20"/>
                <w:szCs w:val="20"/>
                <w:rtl w:val="0"/>
              </w:rPr>
              <w:t xml:space="preserve">Fuente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b w:val="1"/>
                <w:bCs w:val="1"/>
                <w:color w:val="ffffff"/>
                <w:sz w:val="20"/>
                <w:szCs w:val="20"/>
                <w:rtl w:val="0"/>
              </w:rPr>
              <w:t xml:space="preserve">Tipo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ffffff"/>
                <w:sz w:val="20"/>
                <w:szCs w:val="20"/>
                <w:rtl w:val="0"/>
              </w:rPr>
              <w:t xml:space="preserve">Hallazgo</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b w:val="1"/>
                <w:bCs w:val="1"/>
                <w:color w:val="1f3864"/>
                <w:sz w:val="18"/>
                <w:szCs w:val="18"/>
                <w:rtl w:val="0"/>
              </w:rPr>
              <w:t xml:space="preserve">S1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color w:val="404040"/>
                <w:sz w:val="18"/>
                <w:szCs w:val="18"/>
                <w:rtl w:val="0"/>
              </w:rPr>
              <w:t xml:space="preserve">Goodhart, C. (1975). Problems of Monetary Management. Bank of England.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color w:val="404040"/>
                <w:sz w:val="18"/>
                <w:szCs w:val="18"/>
                <w:rtl w:val="0"/>
              </w:rPr>
              <w:t xml:space="preserve">Fundacional/Académico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color w:val="404040"/>
                <w:sz w:val="18"/>
                <w:szCs w:val="18"/>
                <w:rtl w:val="0"/>
              </w:rPr>
              <w:t xml:space="preserve">H1</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b w:val="1"/>
                <w:bCs w:val="1"/>
                <w:color w:val="1f3864"/>
                <w:sz w:val="18"/>
                <w:szCs w:val="18"/>
                <w:rtl w:val="0"/>
              </w:rPr>
              <w:t xml:space="preserve">S2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color w:val="404040"/>
                <w:sz w:val="18"/>
                <w:szCs w:val="18"/>
                <w:rtl w:val="0"/>
              </w:rPr>
              <w:t xml:space="preserve">Singh et al. (2025). The Leaderboard Illusion. Estudio empírico LLM benchmarks.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color w:val="404040"/>
                <w:sz w:val="18"/>
                <w:szCs w:val="18"/>
                <w:rtl w:val="0"/>
              </w:rPr>
              <w:t xml:space="preserve">Estudio/Industrial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color w:val="404040"/>
                <w:sz w:val="18"/>
                <w:szCs w:val="18"/>
                <w:rtl w:val="0"/>
              </w:rPr>
              <w:t xml:space="preserve">H1</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b w:val="1"/>
                <w:bCs w:val="1"/>
                <w:color w:val="1f3864"/>
                <w:sz w:val="18"/>
                <w:szCs w:val="18"/>
                <w:rtl w:val="0"/>
              </w:rPr>
              <w:t xml:space="preserve">S3</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color w:val="404040"/>
                <w:sz w:val="18"/>
                <w:szCs w:val="18"/>
                <w:rtl w:val="0"/>
              </w:rPr>
              <w:t xml:space="preserve">Casper, S. et al. (2024). Black-Box Access is Insufficient for Rigorous AI Audits. arXiv.</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color w:val="404040"/>
                <w:sz w:val="18"/>
                <w:szCs w:val="18"/>
                <w:rtl w:val="0"/>
              </w:rPr>
              <w:t xml:space="preserve">Estudio 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color w:val="404040"/>
                <w:sz w:val="18"/>
                <w:szCs w:val="18"/>
                <w:rtl w:val="0"/>
              </w:rPr>
              <w:t xml:space="preserve">H2</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b w:val="1"/>
                <w:bCs w:val="1"/>
                <w:color w:val="1f3864"/>
                <w:sz w:val="18"/>
                <w:szCs w:val="18"/>
                <w:rtl w:val="0"/>
              </w:rPr>
              <w:t xml:space="preserve">S4</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color w:val="404040"/>
                <w:sz w:val="18"/>
                <w:szCs w:val="18"/>
                <w:rtl w:val="0"/>
              </w:rPr>
              <w:t xml:space="preserve">Costanza-Chock, S. et al. (2023). Who Audits the Auditors? arXiv.</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color w:val="404040"/>
                <w:sz w:val="18"/>
                <w:szCs w:val="18"/>
                <w:rtl w:val="0"/>
              </w:rPr>
              <w:t xml:space="preserve">Estudio 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color w:val="404040"/>
                <w:sz w:val="18"/>
                <w:szCs w:val="18"/>
                <w:rtl w:val="0"/>
              </w:rPr>
              <w:t xml:space="preserve">H3</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b w:val="1"/>
                <w:bCs w:val="1"/>
                <w:color w:val="1f3864"/>
                <w:sz w:val="18"/>
                <w:szCs w:val="18"/>
                <w:rtl w:val="0"/>
              </w:rPr>
              <w:t xml:space="preserve">S5</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color w:val="404040"/>
                <w:sz w:val="18"/>
                <w:szCs w:val="18"/>
                <w:rtl w:val="0"/>
              </w:rPr>
              <w:t xml:space="preserve">Xia, B. et al. (2023). Towards a Responsible AI Metrics Catalogue. arXiv.</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color w:val="404040"/>
                <w:sz w:val="18"/>
                <w:szCs w:val="18"/>
                <w:rtl w:val="0"/>
              </w:rPr>
              <w:t xml:space="preserve">Estudio 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color w:val="404040"/>
                <w:sz w:val="18"/>
                <w:szCs w:val="18"/>
                <w:rtl w:val="0"/>
              </w:rPr>
              <w:t xml:space="preserve">H4</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b w:val="1"/>
                <w:bCs w:val="1"/>
                <w:color w:val="1f3864"/>
                <w:sz w:val="18"/>
                <w:szCs w:val="18"/>
                <w:rtl w:val="0"/>
              </w:rPr>
              <w:t xml:space="preserve">S6</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color w:val="404040"/>
                <w:sz w:val="18"/>
                <w:szCs w:val="18"/>
                <w:rtl w:val="0"/>
              </w:rPr>
              <w:t xml:space="preserve">Kolt, N. et al. (2026). Legal Alignment for Safe and Ethical AI. Oxford.</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color w:val="404040"/>
                <w:sz w:val="18"/>
                <w:szCs w:val="18"/>
                <w:rtl w:val="0"/>
              </w:rPr>
              <w:t xml:space="preserve">Estudio/Legal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color w:val="404040"/>
                <w:sz w:val="18"/>
                <w:szCs w:val="18"/>
                <w:rtl w:val="0"/>
              </w:rPr>
              <w:t xml:space="preserve">H5</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b w:val="1"/>
                <w:bCs w:val="1"/>
                <w:color w:val="1f3864"/>
                <w:sz w:val="18"/>
                <w:szCs w:val="18"/>
                <w:rtl w:val="0"/>
              </w:rPr>
              <w:t xml:space="preserve">S7</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color w:val="404040"/>
                <w:sz w:val="18"/>
                <w:szCs w:val="18"/>
                <w:rtl w:val="0"/>
              </w:rPr>
              <w:t xml:space="preserve">European Commission (2021). Proposal for AI Act. European Union.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color w:val="404040"/>
                <w:sz w:val="18"/>
                <w:szCs w:val="18"/>
                <w:rtl w:val="0"/>
              </w:rPr>
              <w:t xml:space="preserve">Estándar/Regulación</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color w:val="404040"/>
                <w:sz w:val="18"/>
                <w:szCs w:val="18"/>
                <w:rtl w:val="0"/>
              </w:rPr>
              <w:t xml:space="preserve">H3, H5</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b w:val="1"/>
                <w:bCs w:val="1"/>
                <w:color w:val="1f3864"/>
                <w:sz w:val="18"/>
                <w:szCs w:val="18"/>
                <w:rtl w:val="0"/>
              </w:rPr>
              <w:t xml:space="preserve">S8</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color w:val="404040"/>
                <w:sz w:val="18"/>
                <w:szCs w:val="18"/>
                <w:rtl w:val="0"/>
              </w:rPr>
              <w:t xml:space="preserve">NIST (2023). AI Risk Management Framework (AI RMF 1.0). U.S. Dept. of Commerce.</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color w:val="404040"/>
                <w:sz w:val="18"/>
                <w:szCs w:val="18"/>
                <w:rtl w:val="0"/>
              </w:rPr>
              <w:t xml:space="preserve">Estándar industrial</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color w:val="404040"/>
                <w:sz w:val="18"/>
                <w:szCs w:val="18"/>
                <w:rtl w:val="0"/>
              </w:rPr>
              <w:t xml:space="preserve">H2, H3</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b w:val="1"/>
                <w:bCs w:val="1"/>
                <w:color w:val="1f3864"/>
                <w:sz w:val="18"/>
                <w:szCs w:val="18"/>
                <w:rtl w:val="0"/>
              </w:rPr>
              <w:t xml:space="preserve">S9</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color w:val="404040"/>
                <w:sz w:val="18"/>
                <w:szCs w:val="18"/>
                <w:rtl w:val="0"/>
              </w:rPr>
              <w:t xml:space="preserve">OECD (2023). Framework for the Classification of AI Systems. OECD Publishing.</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color w:val="404040"/>
                <w:sz w:val="18"/>
                <w:szCs w:val="18"/>
                <w:rtl w:val="0"/>
              </w:rPr>
              <w:t xml:space="preserve">Estándar/Guía</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6">
            <w:pPr>
              <w:rPr/>
            </w:pPr>
            <w:r w:rsidDel="00000000" w:rsidR="00000000" w:rsidRPr="00000000">
              <w:rPr>
                <w:color w:val="404040"/>
                <w:sz w:val="18"/>
                <w:szCs w:val="18"/>
                <w:rtl w:val="0"/>
              </w:rPr>
              <w:t xml:space="preserve">H4</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7">
            <w:pPr>
              <w:rPr/>
            </w:pPr>
            <w:r w:rsidDel="00000000" w:rsidR="00000000" w:rsidRPr="00000000">
              <w:rPr>
                <w:b w:val="1"/>
                <w:bCs w:val="1"/>
                <w:color w:val="1f3864"/>
                <w:sz w:val="18"/>
                <w:szCs w:val="18"/>
                <w:rtl w:val="0"/>
              </w:rPr>
              <w:t xml:space="preserve">S10</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8">
            <w:pPr>
              <w:rPr/>
            </w:pPr>
            <w:r w:rsidDel="00000000" w:rsidR="00000000" w:rsidRPr="00000000">
              <w:rPr>
                <w:color w:val="404040"/>
                <w:sz w:val="18"/>
                <w:szCs w:val="18"/>
                <w:rtl w:val="0"/>
              </w:rPr>
              <w:t xml:space="preserve">Strathern, M. (1997). Improving ratings: Audit in the British university system. European Review.</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9">
            <w:pPr>
              <w:rPr/>
            </w:pPr>
            <w:r w:rsidDel="00000000" w:rsidR="00000000" w:rsidRPr="00000000">
              <w:rPr>
                <w:color w:val="404040"/>
                <w:sz w:val="18"/>
                <w:szCs w:val="18"/>
                <w:rtl w:val="0"/>
              </w:rPr>
              <w:t xml:space="preserve">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A">
            <w:pPr>
              <w:rPr/>
            </w:pPr>
            <w:r w:rsidDel="00000000" w:rsidR="00000000" w:rsidRPr="00000000">
              <w:rPr>
                <w:color w:val="404040"/>
                <w:sz w:val="18"/>
                <w:szCs w:val="18"/>
                <w:rtl w:val="0"/>
              </w:rPr>
              <w:t xml:space="preserve">H1</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B">
            <w:pPr>
              <w:rPr/>
            </w:pPr>
            <w:r w:rsidDel="00000000" w:rsidR="00000000" w:rsidRPr="00000000">
              <w:rPr>
                <w:b w:val="1"/>
                <w:bCs w:val="1"/>
                <w:color w:val="1f3864"/>
                <w:sz w:val="18"/>
                <w:szCs w:val="18"/>
                <w:rtl w:val="0"/>
              </w:rPr>
              <w:t xml:space="preserve">S11</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color w:val="404040"/>
                <w:sz w:val="18"/>
                <w:szCs w:val="18"/>
                <w:rtl w:val="0"/>
              </w:rPr>
              <w:t xml:space="preserve">Murphy, K. P. (2021). Probabilistic Machine Learning: An Introduction. MIT Press.</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D">
            <w:pPr>
              <w:rPr/>
            </w:pPr>
            <w:r w:rsidDel="00000000" w:rsidR="00000000" w:rsidRPr="00000000">
              <w:rPr>
                <w:color w:val="404040"/>
                <w:sz w:val="18"/>
                <w:szCs w:val="18"/>
                <w:rtl w:val="0"/>
              </w:rPr>
              <w:t xml:space="preserve">Académico/Libro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ebf3fb" w:val="clear"/>
            <w:tcMar>
              <w:top w:w="60.0" w:type="dxa"/>
              <w:left w:w="120.0" w:type="dxa"/>
              <w:bottom w:w="60.0" w:type="dxa"/>
              <w:right w:w="120.0" w:type="dxa"/>
            </w:tcMar>
          </w:tcPr>
          <w:p w:rsidR="00000000" w:rsidDel="00000000" w:rsidP="00000000" w:rsidRDefault="00000000" w:rsidRPr="00000000" w14:paraId="0000010E">
            <w:pPr>
              <w:rPr/>
            </w:pPr>
            <w:r w:rsidDel="00000000" w:rsidR="00000000" w:rsidRPr="00000000">
              <w:rPr>
                <w:color w:val="404040"/>
                <w:sz w:val="18"/>
                <w:szCs w:val="18"/>
                <w:rtl w:val="0"/>
              </w:rPr>
              <w:t xml:space="preserve">H1</w:t>
            </w:r>
            <w:r w:rsidDel="00000000" w:rsidR="00000000" w:rsidRPr="00000000">
              <w:rPr>
                <w:rtl w:val="0"/>
              </w:rPr>
            </w:r>
          </w:p>
        </w:tc>
      </w:tr>
      <w:tr>
        <w:trPr>
          <w:cantSplit w:val="0"/>
          <w:tblHeader w:val="0"/>
        </w:trPr>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0F">
            <w:pPr>
              <w:rPr/>
            </w:pPr>
            <w:r w:rsidDel="00000000" w:rsidR="00000000" w:rsidRPr="00000000">
              <w:rPr>
                <w:b w:val="1"/>
                <w:bCs w:val="1"/>
                <w:color w:val="1f3864"/>
                <w:sz w:val="18"/>
                <w:szCs w:val="18"/>
                <w:rtl w:val="0"/>
              </w:rPr>
              <w:t xml:space="preserve">S12</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10">
            <w:pPr>
              <w:rPr/>
            </w:pPr>
            <w:r w:rsidDel="00000000" w:rsidR="00000000" w:rsidRPr="00000000">
              <w:rPr>
                <w:color w:val="404040"/>
                <w:sz w:val="18"/>
                <w:szCs w:val="18"/>
                <w:rtl w:val="0"/>
              </w:rPr>
              <w:t xml:space="preserve">Doshi-Velez, F. &amp; Kim, B. (2017). Towards a rigorous science of interpretable ML. arXiv.</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11">
            <w:pPr>
              <w:rPr/>
            </w:pPr>
            <w:r w:rsidDel="00000000" w:rsidR="00000000" w:rsidRPr="00000000">
              <w:rPr>
                <w:color w:val="404040"/>
                <w:sz w:val="18"/>
                <w:szCs w:val="18"/>
                <w:rtl w:val="0"/>
              </w:rPr>
              <w:t xml:space="preserve">Estudio académico</w:t>
            </w:r>
            <w:r w:rsidDel="00000000" w:rsidR="00000000" w:rsidRPr="00000000">
              <w:rPr>
                <w:rtl w:val="0"/>
              </w:rPr>
            </w:r>
          </w:p>
        </w:tc>
        <w:tc>
          <w:tcPr>
            <w:tcBorders>
              <w:top w:color="bbcde0" w:space="0" w:sz="4" w:val="single"/>
              <w:left w:color="bbcde0" w:space="0" w:sz="4" w:val="single"/>
              <w:bottom w:color="bbcde0" w:space="0" w:sz="4" w:val="single"/>
              <w:right w:color="bbcde0" w:space="0" w:sz="4" w:val="single"/>
            </w:tcBorders>
            <w:shd w:fill="ffffff"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color w:val="404040"/>
                <w:sz w:val="18"/>
                <w:szCs w:val="18"/>
                <w:rtl w:val="0"/>
              </w:rPr>
              <w:t xml:space="preserve">H2</w:t>
            </w:r>
            <w:r w:rsidDel="00000000" w:rsidR="00000000" w:rsidRPr="00000000">
              <w:rPr>
                <w:rtl w:val="0"/>
              </w:rPr>
            </w:r>
          </w:p>
        </w:tc>
      </w:tr>
    </w:tbl>
    <w:p w:rsidR="00000000" w:rsidDel="00000000" w:rsidP="00000000" w:rsidRDefault="00000000" w:rsidRPr="00000000" w14:paraId="00000113">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bbcde0" w:space="0" w:sz="4" w:val="single"/>
              <w:left w:color="bbcde0" w:space="0" w:sz="4" w:val="single"/>
              <w:bottom w:color="bbcde0" w:space="0" w:sz="4" w:val="single"/>
              <w:right w:color="bbcde0" w:space="0" w:sz="4" w:val="single"/>
            </w:tcBorders>
            <w:shd w:fill="d6e4f0" w:val="clear"/>
            <w:tcMar>
              <w:top w:w="80.0" w:type="dxa"/>
              <w:left w:w="200.0" w:type="dxa"/>
              <w:bottom w:w="80.0" w:type="dxa"/>
              <w:right w:w="200.0" w:type="dxa"/>
            </w:tcMar>
          </w:tcPr>
          <w:p w:rsidR="00000000" w:rsidDel="00000000" w:rsidP="00000000" w:rsidRDefault="00000000" w:rsidRPr="00000000" w14:paraId="00000114">
            <w:pPr>
              <w:rPr/>
            </w:pPr>
            <w:r w:rsidDel="00000000" w:rsidR="00000000" w:rsidRPr="00000000">
              <w:rPr>
                <w:b w:val="1"/>
                <w:bCs w:val="1"/>
                <w:color w:val="1f3864"/>
                <w:sz w:val="24"/>
                <w:szCs w:val="24"/>
                <w:rtl w:val="0"/>
              </w:rPr>
              <w:t xml:space="preserve">REFERENCIAS BIBLIOGRÁFICAS</w:t>
            </w:r>
            <w:r w:rsidDel="00000000" w:rsidR="00000000" w:rsidRPr="00000000">
              <w:rPr>
                <w:rtl w:val="0"/>
              </w:rPr>
            </w:r>
          </w:p>
        </w:tc>
      </w:tr>
    </w:tbl>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Casper, S. et al. (2024). Black-Box Access is Insufficient for Rigorous AI Audits. arXiv. https://arxiv.org/abs/2401.14446</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Costanza-Chock, S. et al. (2023). Who Audits the Auditors? Recommendations from a Field Scan of the Algorithmic Auditing Ecosystem. arXiv.</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Doshi-Velez, F. &amp; Kim, B. (2017). Towards a rigorous science of interpretable machine learning. arXiv. https://arxiv.org/abs/1702.08608</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European Commission. (2021). Proposal for a Regulation laying down harmonised rules on artificial intelligence (Artificial Intelligence Act). European Union.</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Goodhart, C. A. E. (1975). Problems of monetary management: The U.K. experience. In Papers in Monetary Economics (Vol. 1). Reserve Bank of Australia.</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Kolt, N. et al. (2026). Legal Alignment for Safe and Ethical AI. Oxford.</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color w:val="404040"/>
          <w:sz w:val="18"/>
          <w:szCs w:val="18"/>
          <w:u w:val="none"/>
        </w:rPr>
      </w:pPr>
      <w:r w:rsidDel="00000000" w:rsidR="00000000" w:rsidRPr="00000000">
        <w:rPr>
          <w:color w:val="404040"/>
          <w:sz w:val="18"/>
          <w:szCs w:val="18"/>
          <w:rtl w:val="0"/>
        </w:rPr>
        <w:t xml:space="preserve">Manheim, D., &amp; Garrabrant, S. (2018). Categorizing Variants of Goodhart's Law.</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Murphy, K. P. (2021). Probabilistic machine learning: An introduction. MIT Press.</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National Institute of Standards and Technology. (2023). Artificial Intelligence Risk Management Framework (AI RMF 1.0). U.S. Department of Commerce.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OECD. (2023). OECD framework for the classification of AI systems: A tool for effective AI policies. OECD Publishing.</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Singh et al. (2025). The Leaderboard Illusion. [Estudio sobre manipulación de benchmarks de LLM].</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Strathern, M. (1997). 'Improving ratings': Audit in the British university system. European Review, 5(3), 305-321.</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8"/>
          <w:szCs w:val="18"/>
          <w:u w:val="none"/>
          <w:shd w:fill="auto" w:val="clear"/>
          <w:vertAlign w:val="baseline"/>
          <w:rtl w:val="0"/>
        </w:rPr>
        <w:t xml:space="preserve">Xia, B. et al. (2023). Towards a Responsible AI Metrics Catalogue. arXiv.</w:t>
      </w:r>
      <w:r w:rsidDel="00000000" w:rsidR="00000000" w:rsidRPr="00000000">
        <w:rPr>
          <w:rtl w:val="0"/>
        </w:rPr>
      </w:r>
    </w:p>
    <w:p w:rsidR="00000000" w:rsidDel="00000000" w:rsidP="00000000" w:rsidRDefault="00000000" w:rsidRPr="00000000" w14:paraId="00000123">
      <w:pPr>
        <w:spacing w:after="40" w:before="40" w:lineRule="auto"/>
        <w:rPr/>
      </w:pPr>
      <w:r w:rsidDel="00000000" w:rsidR="00000000" w:rsidRPr="00000000">
        <w:rPr>
          <w:rtl w:val="0"/>
        </w:rPr>
      </w:r>
    </w:p>
    <w:p w:rsidR="00000000" w:rsidDel="00000000" w:rsidP="00000000" w:rsidRDefault="00000000" w:rsidRPr="00000000" w14:paraId="00000124">
      <w:pPr>
        <w:spacing w:after="40" w:before="40" w:lineRule="auto"/>
        <w:rPr/>
      </w:pPr>
      <w:r w:rsidDel="00000000" w:rsidR="00000000" w:rsidRPr="00000000">
        <w:rPr>
          <w:rtl w:val="0"/>
        </w:rPr>
      </w:r>
    </w:p>
    <w:sectPr>
      <w:headerReference r:id="rId7" w:type="default"/>
      <w:footerReference r:id="rId8" w:type="default"/>
      <w:pgSz w:h="15840" w:w="12240"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pBdr>
        <w:top w:color="2e75b6" w:space="1" w:sz="4" w:val="single"/>
      </w:pBdr>
      <w:jc w:val="center"/>
      <w:rPr/>
    </w:pPr>
    <w:r w:rsidDel="00000000" w:rsidR="00000000" w:rsidRPr="00000000">
      <w:rPr>
        <w:color w:val="404040"/>
        <w:sz w:val="16"/>
        <w:szCs w:val="16"/>
        <w:rtl w:val="0"/>
      </w:rPr>
      <w:t xml:space="preserve">Riesgos modernos (Goodhart + IA): gaming, auditoría, controles y responsabilidad  |  Pág. </w:t>
    </w:r>
    <w:r w:rsidDel="00000000" w:rsidR="00000000" w:rsidRPr="00000000">
      <w:rPr>
        <w:color w:val="2e75b6"/>
        <w:sz w:val="16"/>
        <w:szCs w:val="16"/>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0"/>
      <w:gridCol w:w="2640"/>
      <w:tblGridChange w:id="0">
        <w:tblGrid>
          <w:gridCol w:w="7200"/>
          <w:gridCol w:w="2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126">
          <w:pPr>
            <w:rPr/>
          </w:pPr>
          <w:r w:rsidDel="00000000" w:rsidR="00000000" w:rsidRPr="00000000">
            <w:rPr>
              <w:color w:val="2e75b6"/>
              <w:sz w:val="16"/>
              <w:szCs w:val="16"/>
              <w:rtl w:val="0"/>
            </w:rPr>
            <w:t xml:space="preserve">ESTADO DEL ARTE — DOCTORADO QA/IA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127">
          <w:pPr>
            <w:jc w:val="right"/>
            <w:rPr/>
          </w:pPr>
          <w:r w:rsidDel="00000000" w:rsidR="00000000" w:rsidRPr="00000000">
            <w:rPr>
              <w:color w:val="404040"/>
              <w:sz w:val="16"/>
              <w:szCs w:val="16"/>
              <w:rtl w:val="0"/>
            </w:rPr>
            <w:t xml:space="preserve">Grupo 5 — Tema 6</w:t>
          </w:r>
          <w:r w:rsidDel="00000000" w:rsidR="00000000" w:rsidRPr="00000000">
            <w:rPr>
              <w:rtl w:val="0"/>
            </w:rPr>
          </w:r>
        </w:p>
      </w:tc>
    </w:tr>
  </w:tbl>
  <w:p w:rsidR="00000000" w:rsidDel="00000000" w:rsidP="00000000" w:rsidRDefault="00000000" w:rsidRPr="00000000" w14:paraId="00000128">
    <w:pPr>
      <w:pBdr>
        <w:bottom w:color="2e75b6" w:space="1" w:sz="4" w:val="single"/>
      </w:pBd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B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6QYqlZucNWdSNT2wGAl9EI3zg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4AHIhMWsxX0NlbkVGZ245V3NmT1F6UWtGT2NlNVZXcXdGSn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2026-03-07T04:58:00Z</dcterms:created>
  <dc:creator>Un-named</dc:creator>
</cp:coreProperties>
</file>