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3DB6" w14:textId="34C6B738" w:rsidR="004C18D9" w:rsidRDefault="00000000">
      <w:pPr>
        <w:spacing w:before="480" w:after="120"/>
        <w:jc w:val="center"/>
      </w:pPr>
      <w:r>
        <w:rPr>
          <w:b/>
          <w:bCs/>
          <w:color w:val="2E75B6"/>
        </w:rPr>
        <w:t xml:space="preserve">DOCTORADO EN </w:t>
      </w:r>
      <w:r w:rsidR="00563733">
        <w:rPr>
          <w:b/>
          <w:bCs/>
          <w:color w:val="2E75B6"/>
        </w:rPr>
        <w:t>CIENCIAS DE LA COMPUTACION</w:t>
      </w:r>
    </w:p>
    <w:p w14:paraId="29143C4C" w14:textId="77777777" w:rsidR="004C18D9" w:rsidRDefault="00000000">
      <w:pPr>
        <w:spacing w:after="60"/>
        <w:jc w:val="center"/>
      </w:pPr>
      <w:r>
        <w:rPr>
          <w:color w:val="404040"/>
          <w:sz w:val="20"/>
          <w:szCs w:val="20"/>
        </w:rPr>
        <w:t>Calidad del Software con IA — 2026</w:t>
      </w:r>
    </w:p>
    <w:p w14:paraId="77C8BC2B" w14:textId="2CD6BB0E" w:rsidR="001519CE" w:rsidRPr="001519CE" w:rsidRDefault="001519CE" w:rsidP="001519CE">
      <w:pPr>
        <w:pStyle w:val="Prrafodelista"/>
        <w:numPr>
          <w:ilvl w:val="0"/>
          <w:numId w:val="3"/>
        </w:numPr>
        <w:spacing w:before="40" w:after="40"/>
        <w:rPr>
          <w:color w:val="404040"/>
          <w:sz w:val="20"/>
          <w:szCs w:val="20"/>
        </w:rPr>
      </w:pPr>
      <w:r w:rsidRPr="001519CE">
        <w:rPr>
          <w:color w:val="404040"/>
          <w:sz w:val="20"/>
          <w:szCs w:val="20"/>
        </w:rPr>
        <w:t>Grupo 5</w:t>
      </w:r>
    </w:p>
    <w:p w14:paraId="4F9C8BB6" w14:textId="107BC888" w:rsidR="001519CE" w:rsidRPr="001519CE" w:rsidRDefault="001519CE" w:rsidP="001519CE">
      <w:pPr>
        <w:pStyle w:val="Prrafodelista"/>
        <w:numPr>
          <w:ilvl w:val="1"/>
          <w:numId w:val="3"/>
        </w:numPr>
        <w:spacing w:before="40" w:after="40"/>
        <w:rPr>
          <w:sz w:val="16"/>
          <w:szCs w:val="16"/>
        </w:rPr>
      </w:pPr>
      <w:r w:rsidRPr="001519CE">
        <w:rPr>
          <w:sz w:val="16"/>
          <w:szCs w:val="16"/>
        </w:rPr>
        <w:t>CALLE TERRAZAS EDWIN</w:t>
      </w:r>
    </w:p>
    <w:p w14:paraId="43A89B36" w14:textId="5D2406EA" w:rsidR="001519CE" w:rsidRPr="001519CE" w:rsidRDefault="001519CE" w:rsidP="001519CE">
      <w:pPr>
        <w:pStyle w:val="Prrafodelista"/>
        <w:numPr>
          <w:ilvl w:val="1"/>
          <w:numId w:val="3"/>
        </w:numPr>
        <w:spacing w:before="40" w:after="40"/>
        <w:rPr>
          <w:sz w:val="16"/>
          <w:szCs w:val="16"/>
        </w:rPr>
      </w:pPr>
      <w:r w:rsidRPr="001519CE">
        <w:rPr>
          <w:sz w:val="16"/>
          <w:szCs w:val="16"/>
        </w:rPr>
        <w:t>FERNANDEZ GUZMAN HELDER OCTAVIO</w:t>
      </w:r>
    </w:p>
    <w:p w14:paraId="36573525" w14:textId="09A18A12" w:rsidR="001519CE" w:rsidRPr="001519CE" w:rsidRDefault="001519CE" w:rsidP="001519CE">
      <w:pPr>
        <w:pStyle w:val="Prrafodelista"/>
        <w:numPr>
          <w:ilvl w:val="1"/>
          <w:numId w:val="3"/>
        </w:numPr>
        <w:spacing w:before="40" w:after="40"/>
        <w:rPr>
          <w:sz w:val="16"/>
          <w:szCs w:val="16"/>
        </w:rPr>
      </w:pPr>
      <w:r w:rsidRPr="001519CE">
        <w:rPr>
          <w:sz w:val="16"/>
          <w:szCs w:val="16"/>
        </w:rPr>
        <w:t>LUNA MAMANI EFRAIN FERNANDO</w:t>
      </w:r>
    </w:p>
    <w:p w14:paraId="4A9E8DB4" w14:textId="150F8C08" w:rsidR="001519CE" w:rsidRPr="001519CE" w:rsidRDefault="001519CE" w:rsidP="001519CE">
      <w:pPr>
        <w:pStyle w:val="Prrafodelista"/>
        <w:numPr>
          <w:ilvl w:val="1"/>
          <w:numId w:val="3"/>
        </w:numPr>
        <w:spacing w:before="40" w:after="40"/>
        <w:rPr>
          <w:sz w:val="16"/>
          <w:szCs w:val="16"/>
        </w:rPr>
      </w:pPr>
      <w:r w:rsidRPr="001519CE">
        <w:rPr>
          <w:sz w:val="16"/>
          <w:szCs w:val="16"/>
        </w:rPr>
        <w:t>PEINADO PEREIRA JUAN CARLOS</w:t>
      </w:r>
    </w:p>
    <w:p w14:paraId="0859E689" w14:textId="3FAF143F" w:rsidR="004C18D9" w:rsidRPr="001519CE" w:rsidRDefault="001519CE" w:rsidP="001519CE">
      <w:pPr>
        <w:pStyle w:val="Prrafodelista"/>
        <w:numPr>
          <w:ilvl w:val="1"/>
          <w:numId w:val="3"/>
        </w:numPr>
        <w:spacing w:before="40" w:after="40"/>
        <w:rPr>
          <w:sz w:val="16"/>
          <w:szCs w:val="16"/>
        </w:rPr>
      </w:pPr>
      <w:r w:rsidRPr="001519CE">
        <w:rPr>
          <w:sz w:val="16"/>
          <w:szCs w:val="16"/>
        </w:rPr>
        <w:t>VILLAZON VALDEZ JOSE PABLO</w:t>
      </w:r>
    </w:p>
    <w:p w14:paraId="48A38DE5" w14:textId="5699345F" w:rsidR="001519CE" w:rsidRDefault="001519CE" w:rsidP="001519CE">
      <w:pPr>
        <w:pBdr>
          <w:left w:val="single" w:sz="12" w:space="1" w:color="2E75B6"/>
        </w:pBdr>
        <w:spacing w:before="80" w:after="80"/>
      </w:pPr>
      <w:r w:rsidRPr="001519CE">
        <w:rPr>
          <w:b/>
          <w:bCs/>
          <w:color w:val="1F3864"/>
          <w:sz w:val="20"/>
          <w:szCs w:val="20"/>
        </w:rPr>
        <w:t xml:space="preserve">Nota: </w:t>
      </w:r>
      <w:r w:rsidRPr="001519CE">
        <w:rPr>
          <w:color w:val="404040"/>
          <w:sz w:val="20"/>
          <w:szCs w:val="20"/>
        </w:rPr>
        <w:t>Este documento constituye el informe escrito del Grupo 5</w:t>
      </w:r>
      <w:r>
        <w:rPr>
          <w:color w:val="404040"/>
          <w:sz w:val="20"/>
          <w:szCs w:val="20"/>
        </w:rPr>
        <w:t>, sobre el que se fue desarrollando y estructurando el contenido en base al formato guía provisto</w:t>
      </w:r>
      <w:r w:rsidRPr="001519CE">
        <w:rPr>
          <w:color w:val="404040"/>
          <w:sz w:val="20"/>
          <w:szCs w:val="20"/>
        </w:rPr>
        <w:t>. La presentación (8-10 diapositivas) que incluye la matriz de evidencia y el Top 5 se encuentran en el repositorio del grupo en la carpeta /final</w:t>
      </w:r>
      <w:r>
        <w:rPr>
          <w:color w:val="404040"/>
          <w:sz w:val="20"/>
          <w:szCs w:val="20"/>
        </w:rPr>
        <w:t>, mismo lugar donde debería estar este documento.</w:t>
      </w:r>
    </w:p>
    <w:p w14:paraId="45875CD6" w14:textId="77777777" w:rsidR="001519CE" w:rsidRDefault="001519CE" w:rsidP="001519CE"/>
    <w:p w14:paraId="70BFF87F" w14:textId="77777777" w:rsidR="001519CE" w:rsidRDefault="001519CE" w:rsidP="001519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6D201E1E" w14:textId="77777777">
        <w:tc>
          <w:tcPr>
            <w:tcW w:w="9360" w:type="dxa"/>
            <w:tcBorders>
              <w:top w:val="nil"/>
              <w:left w:val="nil"/>
              <w:bottom w:val="nil"/>
              <w:right w:val="nil"/>
            </w:tcBorders>
            <w:shd w:val="clear" w:color="auto" w:fill="1F3864"/>
            <w:tcMar>
              <w:top w:w="160" w:type="dxa"/>
              <w:left w:w="240" w:type="dxa"/>
              <w:bottom w:w="160" w:type="dxa"/>
              <w:right w:w="240" w:type="dxa"/>
            </w:tcMar>
          </w:tcPr>
          <w:p w14:paraId="7BEDCEB6" w14:textId="77777777" w:rsidR="004C18D9" w:rsidRDefault="00000000">
            <w:pPr>
              <w:jc w:val="center"/>
            </w:pPr>
            <w:r>
              <w:rPr>
                <w:b/>
                <w:bCs/>
                <w:color w:val="FFFFFF"/>
                <w:sz w:val="36"/>
                <w:szCs w:val="36"/>
              </w:rPr>
              <w:t>RIESGOS MODERNOS EN CALIDAD DEL SOFTWARE</w:t>
            </w:r>
          </w:p>
        </w:tc>
      </w:tr>
      <w:tr w:rsidR="004C18D9" w14:paraId="4ABE2094" w14:textId="77777777">
        <w:tc>
          <w:tcPr>
            <w:tcW w:w="9360" w:type="dxa"/>
            <w:tcBorders>
              <w:top w:val="nil"/>
              <w:left w:val="nil"/>
              <w:bottom w:val="nil"/>
              <w:right w:val="nil"/>
            </w:tcBorders>
            <w:shd w:val="clear" w:color="auto" w:fill="1F3864"/>
            <w:tcMar>
              <w:top w:w="40" w:type="dxa"/>
              <w:left w:w="240" w:type="dxa"/>
              <w:bottom w:w="160" w:type="dxa"/>
              <w:right w:w="240" w:type="dxa"/>
            </w:tcMar>
          </w:tcPr>
          <w:p w14:paraId="04304470" w14:textId="77777777" w:rsidR="004C18D9" w:rsidRDefault="00000000">
            <w:pPr>
              <w:jc w:val="center"/>
            </w:pPr>
            <w:r>
              <w:rPr>
                <w:b/>
                <w:bCs/>
                <w:color w:val="BDD7EE"/>
                <w:sz w:val="26"/>
                <w:szCs w:val="26"/>
              </w:rPr>
              <w:t xml:space="preserve">Ley de Goodhart e IA: </w:t>
            </w:r>
            <w:proofErr w:type="spellStart"/>
            <w:r>
              <w:rPr>
                <w:b/>
                <w:bCs/>
                <w:color w:val="BDD7EE"/>
                <w:sz w:val="26"/>
                <w:szCs w:val="26"/>
              </w:rPr>
              <w:t>Gaming</w:t>
            </w:r>
            <w:proofErr w:type="spellEnd"/>
            <w:r>
              <w:rPr>
                <w:b/>
                <w:bCs/>
                <w:color w:val="BDD7EE"/>
                <w:sz w:val="26"/>
                <w:szCs w:val="26"/>
              </w:rPr>
              <w:t>, Auditoría, Controles y Responsabilidad</w:t>
            </w:r>
          </w:p>
        </w:tc>
      </w:tr>
    </w:tbl>
    <w:p w14:paraId="7AF4A7D3"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4C18D9" w14:paraId="7FCA0C6B" w14:textId="77777777">
        <w:tc>
          <w:tcPr>
            <w:tcW w:w="4560" w:type="dxa"/>
            <w:tcBorders>
              <w:top w:val="single" w:sz="1" w:space="0" w:color="BBCDE0"/>
              <w:left w:val="single" w:sz="1" w:space="0" w:color="BBCDE0"/>
              <w:bottom w:val="single" w:sz="1" w:space="0" w:color="BBCDE0"/>
              <w:right w:val="single" w:sz="1" w:space="0" w:color="BBCDE0"/>
            </w:tcBorders>
            <w:shd w:val="clear" w:color="auto" w:fill="D6E4F0"/>
            <w:tcMar>
              <w:top w:w="100" w:type="dxa"/>
              <w:left w:w="160" w:type="dxa"/>
              <w:bottom w:w="100" w:type="dxa"/>
              <w:right w:w="160" w:type="dxa"/>
            </w:tcMar>
          </w:tcPr>
          <w:p w14:paraId="16D75698" w14:textId="77777777" w:rsidR="004C18D9" w:rsidRDefault="00000000">
            <w:r>
              <w:rPr>
                <w:b/>
                <w:bCs/>
                <w:color w:val="1F3864"/>
              </w:rPr>
              <w:t>Grupo</w:t>
            </w:r>
          </w:p>
          <w:p w14:paraId="5E21D252" w14:textId="77777777" w:rsidR="004C18D9" w:rsidRDefault="00000000">
            <w:r>
              <w:rPr>
                <w:color w:val="404040"/>
              </w:rPr>
              <w:t>Grupo 5 — Tema 6</w:t>
            </w:r>
          </w:p>
        </w:tc>
        <w:tc>
          <w:tcPr>
            <w:tcW w:w="4800" w:type="dxa"/>
            <w:tcBorders>
              <w:top w:val="single" w:sz="1" w:space="0" w:color="BBCDE0"/>
              <w:left w:val="single" w:sz="1" w:space="0" w:color="BBCDE0"/>
              <w:bottom w:val="single" w:sz="1" w:space="0" w:color="BBCDE0"/>
              <w:right w:val="single" w:sz="1" w:space="0" w:color="BBCDE0"/>
            </w:tcBorders>
            <w:shd w:val="clear" w:color="auto" w:fill="D6E4F0"/>
            <w:tcMar>
              <w:top w:w="100" w:type="dxa"/>
              <w:left w:w="160" w:type="dxa"/>
              <w:bottom w:w="100" w:type="dxa"/>
              <w:right w:w="160" w:type="dxa"/>
            </w:tcMar>
          </w:tcPr>
          <w:p w14:paraId="528E6A1B" w14:textId="77777777" w:rsidR="004C18D9" w:rsidRDefault="00000000">
            <w:r>
              <w:rPr>
                <w:b/>
                <w:bCs/>
                <w:color w:val="1F3864"/>
              </w:rPr>
              <w:t>Año académico</w:t>
            </w:r>
          </w:p>
          <w:p w14:paraId="3C89713D" w14:textId="77777777" w:rsidR="004C18D9" w:rsidRDefault="00000000">
            <w:r>
              <w:rPr>
                <w:color w:val="404040"/>
              </w:rPr>
              <w:t>2026</w:t>
            </w:r>
          </w:p>
        </w:tc>
      </w:tr>
      <w:tr w:rsidR="004C18D9" w14:paraId="685F6B81" w14:textId="77777777">
        <w:tc>
          <w:tcPr>
            <w:tcW w:w="4560" w:type="dxa"/>
            <w:tcBorders>
              <w:top w:val="single" w:sz="1" w:space="0" w:color="BBCDE0"/>
              <w:left w:val="single" w:sz="1" w:space="0" w:color="BBCDE0"/>
              <w:bottom w:val="single" w:sz="1" w:space="0" w:color="BBCDE0"/>
              <w:right w:val="single" w:sz="1" w:space="0" w:color="BBCDE0"/>
            </w:tcBorders>
            <w:shd w:val="clear" w:color="auto" w:fill="FFFFFF"/>
            <w:tcMar>
              <w:top w:w="100" w:type="dxa"/>
              <w:left w:w="160" w:type="dxa"/>
              <w:bottom w:w="100" w:type="dxa"/>
              <w:right w:w="160" w:type="dxa"/>
            </w:tcMar>
          </w:tcPr>
          <w:p w14:paraId="054B6E38" w14:textId="77777777" w:rsidR="004C18D9" w:rsidRDefault="00000000">
            <w:r>
              <w:rPr>
                <w:b/>
                <w:bCs/>
                <w:color w:val="1F3864"/>
              </w:rPr>
              <w:t>Modalidad</w:t>
            </w:r>
          </w:p>
          <w:p w14:paraId="39D00BDF" w14:textId="77777777" w:rsidR="004C18D9" w:rsidRDefault="00000000">
            <w:r>
              <w:rPr>
                <w:color w:val="404040"/>
              </w:rPr>
              <w:t>Presentación de hallazgos — Sesión final</w:t>
            </w:r>
          </w:p>
        </w:tc>
        <w:tc>
          <w:tcPr>
            <w:tcW w:w="4800" w:type="dxa"/>
            <w:tcBorders>
              <w:top w:val="single" w:sz="1" w:space="0" w:color="BBCDE0"/>
              <w:left w:val="single" w:sz="1" w:space="0" w:color="BBCDE0"/>
              <w:bottom w:val="single" w:sz="1" w:space="0" w:color="BBCDE0"/>
              <w:right w:val="single" w:sz="1" w:space="0" w:color="BBCDE0"/>
            </w:tcBorders>
            <w:shd w:val="clear" w:color="auto" w:fill="FFFFFF"/>
            <w:tcMar>
              <w:top w:w="100" w:type="dxa"/>
              <w:left w:w="160" w:type="dxa"/>
              <w:bottom w:w="100" w:type="dxa"/>
              <w:right w:w="160" w:type="dxa"/>
            </w:tcMar>
          </w:tcPr>
          <w:p w14:paraId="7D644652" w14:textId="77777777" w:rsidR="004C18D9" w:rsidRDefault="00000000">
            <w:r>
              <w:rPr>
                <w:b/>
                <w:bCs/>
                <w:color w:val="1F3864"/>
              </w:rPr>
              <w:t>Entregable</w:t>
            </w:r>
          </w:p>
          <w:p w14:paraId="0AEAAF9A" w14:textId="77777777" w:rsidR="004C18D9" w:rsidRDefault="00000000">
            <w:r>
              <w:rPr>
                <w:color w:val="404040"/>
              </w:rPr>
              <w:t>Informe + Matriz de Evidencia + Top 5</w:t>
            </w:r>
          </w:p>
        </w:tc>
      </w:tr>
    </w:tbl>
    <w:p w14:paraId="2FAC156C" w14:textId="77777777" w:rsidR="004C18D9" w:rsidRDefault="004C18D9">
      <w:pPr>
        <w:spacing w:before="40" w:after="40"/>
      </w:pPr>
    </w:p>
    <w:p w14:paraId="77BE96BD" w14:textId="77777777" w:rsidR="004C18D9" w:rsidRDefault="00000000">
      <w:pPr>
        <w:pBdr>
          <w:left w:val="single" w:sz="12" w:space="1" w:color="2E75B6"/>
        </w:pBdr>
        <w:spacing w:before="80" w:after="80"/>
        <w:ind w:left="240"/>
      </w:pPr>
      <w:r>
        <w:rPr>
          <w:b/>
          <w:bCs/>
          <w:color w:val="1F3864"/>
        </w:rPr>
        <w:t xml:space="preserve">Pregunta guía: </w:t>
      </w:r>
      <w:r>
        <w:rPr>
          <w:i/>
          <w:iCs/>
          <w:color w:val="404040"/>
        </w:rPr>
        <w:t xml:space="preserve">¿Cómo impacta la Ley de Goodhart en sistemas de software basados en IA y qué mecanismos de auditoría, control y responsabilidad permiten mitigar el </w:t>
      </w:r>
      <w:proofErr w:type="spellStart"/>
      <w:r>
        <w:rPr>
          <w:i/>
          <w:iCs/>
          <w:color w:val="404040"/>
        </w:rPr>
        <w:t>gaming</w:t>
      </w:r>
      <w:proofErr w:type="spellEnd"/>
      <w:r>
        <w:rPr>
          <w:i/>
          <w:iCs/>
          <w:color w:val="404040"/>
        </w:rPr>
        <w:t xml:space="preserve"> de métricas sin degradar la calidad ni generar riesgos sistémicos?</w:t>
      </w:r>
    </w:p>
    <w:p w14:paraId="65A9CDF0" w14:textId="77777777" w:rsidR="004C18D9" w:rsidRDefault="004C18D9">
      <w:pPr>
        <w:spacing w:before="40" w:after="40"/>
      </w:pPr>
    </w:p>
    <w:p w14:paraId="3E4E6500" w14:textId="77777777" w:rsidR="004C18D9" w:rsidRDefault="00000000" w:rsidP="005C1DAD">
      <w:pPr>
        <w:pBdr>
          <w:left w:val="single" w:sz="12" w:space="1" w:color="C00000"/>
        </w:pBdr>
        <w:spacing w:before="80" w:after="80"/>
        <w:ind w:left="708" w:hanging="468"/>
      </w:pPr>
      <w:r>
        <w:rPr>
          <w:b/>
          <w:bCs/>
          <w:color w:val="C00000"/>
        </w:rPr>
        <w:t xml:space="preserve">Tesis principal: </w:t>
      </w:r>
      <w:r>
        <w:rPr>
          <w:color w:val="404040"/>
        </w:rPr>
        <w:t xml:space="preserve">En sistemas basados en IA, la optimización intensiva de métricas formalizadas activa la Ley de Goodhart: cuando una medida se convierte en objetivo, deja de ser una buena medida. Esto incentiva comportamientos de </w:t>
      </w:r>
      <w:proofErr w:type="spellStart"/>
      <w:r>
        <w:rPr>
          <w:color w:val="404040"/>
        </w:rPr>
        <w:t>gaming</w:t>
      </w:r>
      <w:proofErr w:type="spellEnd"/>
      <w:r>
        <w:rPr>
          <w:color w:val="404040"/>
        </w:rPr>
        <w:t>, desplaza la calidad sustantiva y genera riesgos técnicos y éticos. Los marcos de QA deben rediseñarse hacia modelos auditables, multicriterio y con responsabilidad explícita.</w:t>
      </w:r>
    </w:p>
    <w:p w14:paraId="608591A8" w14:textId="77777777" w:rsidR="004C18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329FEEBC"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7F31C001" w14:textId="77777777" w:rsidR="004C18D9" w:rsidRDefault="00000000">
            <w:r>
              <w:rPr>
                <w:b/>
                <w:bCs/>
                <w:color w:val="1F3864"/>
                <w:sz w:val="24"/>
                <w:szCs w:val="24"/>
              </w:rPr>
              <w:lastRenderedPageBreak/>
              <w:t>SLIDE 1 — CONTEXTO Y PROPÓSITO</w:t>
            </w:r>
          </w:p>
        </w:tc>
      </w:tr>
    </w:tbl>
    <w:p w14:paraId="3C966C40" w14:textId="77777777" w:rsidR="004C18D9" w:rsidRDefault="004C18D9">
      <w:pPr>
        <w:spacing w:before="40" w:after="40"/>
      </w:pPr>
    </w:p>
    <w:p w14:paraId="71C3B7CD" w14:textId="77777777" w:rsidR="004C18D9" w:rsidRDefault="00000000">
      <w:pPr>
        <w:pStyle w:val="Ttulo2"/>
      </w:pPr>
      <w:r>
        <w:t>¿Por qué este tema es relevante ahora?</w:t>
      </w:r>
    </w:p>
    <w:p w14:paraId="7C6F2A88" w14:textId="77777777" w:rsidR="004C18D9" w:rsidRDefault="00000000">
      <w:pPr>
        <w:spacing w:before="60" w:after="80"/>
      </w:pPr>
      <w:r>
        <w:rPr>
          <w:color w:val="404040"/>
        </w:rPr>
        <w:t xml:space="preserve">La expansión de sistemas de IA generativa y predictiva en entornos críticos —finanzas, salud, educación y sector público— ha intensificado la dependencia de métricas como </w:t>
      </w:r>
      <w:proofErr w:type="spellStart"/>
      <w:r>
        <w:rPr>
          <w:color w:val="404040"/>
        </w:rPr>
        <w:t>proxies</w:t>
      </w:r>
      <w:proofErr w:type="spellEnd"/>
      <w:r>
        <w:rPr>
          <w:color w:val="404040"/>
        </w:rPr>
        <w:t xml:space="preserve"> de calidad y seguridad (OECD, 2023; </w:t>
      </w:r>
      <w:proofErr w:type="spellStart"/>
      <w:r>
        <w:rPr>
          <w:color w:val="404040"/>
        </w:rPr>
        <w:t>European</w:t>
      </w:r>
      <w:proofErr w:type="spellEnd"/>
      <w:r>
        <w:rPr>
          <w:color w:val="404040"/>
        </w:rPr>
        <w:t xml:space="preserve"> </w:t>
      </w:r>
      <w:proofErr w:type="spellStart"/>
      <w:r>
        <w:rPr>
          <w:color w:val="404040"/>
        </w:rPr>
        <w:t>Commission</w:t>
      </w:r>
      <w:proofErr w:type="spellEnd"/>
      <w:r>
        <w:rPr>
          <w:color w:val="404040"/>
        </w:rPr>
        <w:t xml:space="preserve">, 2021). Sin embargo, cuando una métrica se convierte en objetivo, deja de ser una buena medida: este fenómeno, descrito por la Ley de Goodhart (1975), se manifiesta hoy como optimización estratégica de indicadores, sobreajuste a </w:t>
      </w:r>
      <w:proofErr w:type="spellStart"/>
      <w:r>
        <w:rPr>
          <w:color w:val="404040"/>
        </w:rPr>
        <w:t>benchmarks</w:t>
      </w:r>
      <w:proofErr w:type="spellEnd"/>
      <w:r>
        <w:rPr>
          <w:color w:val="404040"/>
        </w:rPr>
        <w:t xml:space="preserve"> y pérdida de alineación con el valor real (Strathern, 1997; Murphy, 2021).</w:t>
      </w:r>
    </w:p>
    <w:p w14:paraId="4FBF955F" w14:textId="77777777" w:rsidR="004C18D9" w:rsidRDefault="004C18D9">
      <w:pPr>
        <w:spacing w:before="40" w:after="40"/>
      </w:pPr>
    </w:p>
    <w:p w14:paraId="03D241FF" w14:textId="77777777" w:rsidR="004C18D9" w:rsidRDefault="00000000">
      <w:pPr>
        <w:pStyle w:val="Ttulo3"/>
      </w:pPr>
      <w:r>
        <w:t>Problemas de QA/ingeniería que aborda</w:t>
      </w:r>
    </w:p>
    <w:p w14:paraId="343A7701" w14:textId="77777777" w:rsidR="004C18D9" w:rsidRDefault="00000000">
      <w:r>
        <w:t xml:space="preserve">A diferencia del software tradicional, donde la calidad puede evaluarse mediante pruebas funcionales relativamente deterministas, los sistemas basados en IA presentan comportamientos probabilísticos y dependen de métricas y </w:t>
      </w:r>
      <w:proofErr w:type="spellStart"/>
      <w:r>
        <w:t>benchmarks</w:t>
      </w:r>
      <w:proofErr w:type="spellEnd"/>
      <w:r>
        <w:t xml:space="preserve"> como </w:t>
      </w:r>
      <w:proofErr w:type="spellStart"/>
      <w:r>
        <w:t>proxies</w:t>
      </w:r>
      <w:proofErr w:type="spellEnd"/>
      <w:r>
        <w:t xml:space="preserve"> de desempeño. En este contexto, la calidad del sistema se vuelve inseparable de la forma en que se definen, utilizan y gobiernan estas métricas, lo que introduce nuevos riesgos asociados a la Ley de Goodhart y al </w:t>
      </w:r>
      <w:proofErr w:type="spellStart"/>
      <w:r>
        <w:t>gaming</w:t>
      </w:r>
      <w:proofErr w:type="spellEnd"/>
      <w:r>
        <w:t xml:space="preserve"> de indicadores.</w:t>
      </w:r>
    </w:p>
    <w:p w14:paraId="58A61E2A" w14:textId="77777777" w:rsidR="001D32D8" w:rsidRDefault="001D32D8"/>
    <w:p w14:paraId="41F43103" w14:textId="77777777" w:rsidR="004C18D9" w:rsidRDefault="00000000">
      <w:pPr>
        <w:pStyle w:val="Prrafodelista"/>
        <w:numPr>
          <w:ilvl w:val="0"/>
          <w:numId w:val="2"/>
        </w:numPr>
        <w:spacing w:before="40" w:after="40"/>
      </w:pPr>
      <w:r>
        <w:rPr>
          <w:color w:val="404040"/>
        </w:rPr>
        <w:t>Optimización adversarial de métricas (</w:t>
      </w:r>
      <w:proofErr w:type="spellStart"/>
      <w:r>
        <w:rPr>
          <w:color w:val="404040"/>
        </w:rPr>
        <w:t>gaming</w:t>
      </w:r>
      <w:proofErr w:type="spellEnd"/>
      <w:r>
        <w:rPr>
          <w:color w:val="404040"/>
        </w:rPr>
        <w:t xml:space="preserve"> interno o externo), coherente con la dinámica descrita en sistemas </w:t>
      </w:r>
      <w:proofErr w:type="gramStart"/>
      <w:r>
        <w:rPr>
          <w:color w:val="404040"/>
        </w:rPr>
        <w:t>socio-técnicos</w:t>
      </w:r>
      <w:proofErr w:type="gramEnd"/>
      <w:r>
        <w:rPr>
          <w:color w:val="404040"/>
        </w:rPr>
        <w:t xml:space="preserve"> (Goodhart, 1975; Strathern, 1997).</w:t>
      </w:r>
    </w:p>
    <w:p w14:paraId="50091D26" w14:textId="77777777" w:rsidR="004C18D9" w:rsidRDefault="00000000">
      <w:pPr>
        <w:pStyle w:val="Prrafodelista"/>
        <w:numPr>
          <w:ilvl w:val="0"/>
          <w:numId w:val="2"/>
        </w:numPr>
        <w:spacing w:before="40" w:after="40"/>
      </w:pPr>
      <w:r>
        <w:rPr>
          <w:color w:val="404040"/>
        </w:rPr>
        <w:t xml:space="preserve">Sobreajuste a </w:t>
      </w:r>
      <w:proofErr w:type="spellStart"/>
      <w:r>
        <w:rPr>
          <w:color w:val="404040"/>
        </w:rPr>
        <w:t>benchmarks</w:t>
      </w:r>
      <w:proofErr w:type="spellEnd"/>
      <w:r>
        <w:rPr>
          <w:color w:val="404040"/>
        </w:rPr>
        <w:t xml:space="preserve"> y </w:t>
      </w:r>
      <w:proofErr w:type="spellStart"/>
      <w:r>
        <w:rPr>
          <w:color w:val="404040"/>
        </w:rPr>
        <w:t>datasets</w:t>
      </w:r>
      <w:proofErr w:type="spellEnd"/>
      <w:r>
        <w:rPr>
          <w:color w:val="404040"/>
        </w:rPr>
        <w:t xml:space="preserve"> estáticos, fenómeno documentado en evaluación de modelos de IA (Murphy, 2021; Singh et al., 2025).</w:t>
      </w:r>
    </w:p>
    <w:p w14:paraId="08B02B93" w14:textId="77777777" w:rsidR="004C18D9" w:rsidRDefault="00000000">
      <w:pPr>
        <w:pStyle w:val="Prrafodelista"/>
        <w:numPr>
          <w:ilvl w:val="0"/>
          <w:numId w:val="2"/>
        </w:numPr>
        <w:spacing w:before="40" w:after="40"/>
      </w:pPr>
      <w:r>
        <w:rPr>
          <w:color w:val="404040"/>
        </w:rPr>
        <w:t xml:space="preserve">Falta de auditabilidad y </w:t>
      </w:r>
      <w:proofErr w:type="spellStart"/>
      <w:r>
        <w:rPr>
          <w:color w:val="404040"/>
        </w:rPr>
        <w:t>explicabilidad</w:t>
      </w:r>
      <w:proofErr w:type="spellEnd"/>
      <w:r>
        <w:rPr>
          <w:color w:val="404040"/>
        </w:rPr>
        <w:t xml:space="preserve"> en modelos complejos, especialmente en </w:t>
      </w:r>
      <w:proofErr w:type="spellStart"/>
      <w:r>
        <w:rPr>
          <w:color w:val="404040"/>
        </w:rPr>
        <w:t>deep</w:t>
      </w:r>
      <w:proofErr w:type="spellEnd"/>
      <w:r>
        <w:rPr>
          <w:color w:val="404040"/>
        </w:rPr>
        <w:t xml:space="preserve"> </w:t>
      </w:r>
      <w:proofErr w:type="spellStart"/>
      <w:r>
        <w:rPr>
          <w:color w:val="404040"/>
        </w:rPr>
        <w:t>learning</w:t>
      </w:r>
      <w:proofErr w:type="spellEnd"/>
      <w:r>
        <w:rPr>
          <w:color w:val="404040"/>
        </w:rPr>
        <w:t xml:space="preserve"> (Doshi-Velez &amp; Kim, 2017).</w:t>
      </w:r>
    </w:p>
    <w:p w14:paraId="6984680A" w14:textId="77777777" w:rsidR="004C18D9" w:rsidRDefault="00000000">
      <w:pPr>
        <w:pStyle w:val="Prrafodelista"/>
        <w:numPr>
          <w:ilvl w:val="0"/>
          <w:numId w:val="2"/>
        </w:numPr>
        <w:spacing w:before="40" w:after="40"/>
      </w:pPr>
      <w:r>
        <w:rPr>
          <w:color w:val="404040"/>
        </w:rPr>
        <w:t>Ambigüedad en la asignación de responsabilidad algorítmica, cuestión central en marcos de gobernanza de IA (</w:t>
      </w:r>
      <w:proofErr w:type="spellStart"/>
      <w:r>
        <w:rPr>
          <w:color w:val="404040"/>
        </w:rPr>
        <w:t>European</w:t>
      </w:r>
      <w:proofErr w:type="spellEnd"/>
      <w:r>
        <w:rPr>
          <w:color w:val="404040"/>
        </w:rPr>
        <w:t xml:space="preserve"> </w:t>
      </w:r>
      <w:proofErr w:type="spellStart"/>
      <w:r>
        <w:rPr>
          <w:color w:val="404040"/>
        </w:rPr>
        <w:t>Commission</w:t>
      </w:r>
      <w:proofErr w:type="spellEnd"/>
      <w:r>
        <w:rPr>
          <w:color w:val="404040"/>
        </w:rPr>
        <w:t>, 2021; OECD, 2023).</w:t>
      </w:r>
    </w:p>
    <w:p w14:paraId="179825F8" w14:textId="77777777" w:rsidR="004C18D9" w:rsidRDefault="004C18D9">
      <w:pPr>
        <w:spacing w:before="40" w:after="40"/>
      </w:pPr>
    </w:p>
    <w:p w14:paraId="3845E3FE" w14:textId="0CE4E893" w:rsidR="001D32D8" w:rsidRDefault="001D32D8" w:rsidP="001D32D8">
      <w:pPr>
        <w:spacing w:before="40" w:after="40"/>
        <w:ind w:left="708" w:hanging="708"/>
      </w:pPr>
      <w:r w:rsidRPr="001D32D8">
        <w:t xml:space="preserve">A diferencia del software tradicional, donde la calidad puede evaluarse mediante pruebas funcionales relativamente deterministas, los sistemas basados en IA presentan comportamientos probabilísticos y dependen de métricas y </w:t>
      </w:r>
      <w:proofErr w:type="spellStart"/>
      <w:r w:rsidRPr="001D32D8">
        <w:t>benchmarks</w:t>
      </w:r>
      <w:proofErr w:type="spellEnd"/>
      <w:r w:rsidRPr="001D32D8">
        <w:t xml:space="preserve"> como </w:t>
      </w:r>
      <w:proofErr w:type="spellStart"/>
      <w:r w:rsidRPr="001D32D8">
        <w:t>proxies</w:t>
      </w:r>
      <w:proofErr w:type="spellEnd"/>
      <w:r w:rsidRPr="001D32D8">
        <w:t xml:space="preserve"> de desempeño. En este contexto, la calidad del sistema se vuelve inseparable de la forma en que se definen, utilizan y gobiernan estas métricas, lo que introduce nuevos riesgos asociados a la Ley de Goodhart y al </w:t>
      </w:r>
      <w:proofErr w:type="spellStart"/>
      <w:r w:rsidRPr="001D32D8">
        <w:t>gaming</w:t>
      </w:r>
      <w:proofErr w:type="spellEnd"/>
      <w:r w:rsidRPr="001D32D8">
        <w:t xml:space="preserve"> de indicadores.</w:t>
      </w:r>
    </w:p>
    <w:p w14:paraId="42F568DF" w14:textId="77777777" w:rsidR="004C18D9" w:rsidRDefault="00000000">
      <w:pPr>
        <w:pStyle w:val="Ttulo3"/>
      </w:pPr>
      <w:r>
        <w:t>Qué mejora o decisión habilita</w:t>
      </w:r>
    </w:p>
    <w:p w14:paraId="5BC4FB51" w14:textId="77777777" w:rsidR="004C18D9" w:rsidRDefault="00000000">
      <w:pPr>
        <w:spacing w:before="60" w:after="80"/>
      </w:pPr>
      <w:r>
        <w:rPr>
          <w:color w:val="404040"/>
        </w:rPr>
        <w:t xml:space="preserve">Permite rediseñar marcos de QA para IA hacia modelos multicriterio, auditables y con </w:t>
      </w:r>
      <w:proofErr w:type="spellStart"/>
      <w:r>
        <w:rPr>
          <w:color w:val="404040"/>
        </w:rPr>
        <w:t>accountability</w:t>
      </w:r>
      <w:proofErr w:type="spellEnd"/>
      <w:r>
        <w:rPr>
          <w:color w:val="404040"/>
        </w:rPr>
        <w:t xml:space="preserve"> explícita, alineados con principios de IA confiable y gobernanza responsable (</w:t>
      </w:r>
      <w:proofErr w:type="spellStart"/>
      <w:r>
        <w:rPr>
          <w:color w:val="404040"/>
        </w:rPr>
        <w:t>European</w:t>
      </w:r>
      <w:proofErr w:type="spellEnd"/>
      <w:r>
        <w:rPr>
          <w:color w:val="404040"/>
        </w:rPr>
        <w:t xml:space="preserve"> </w:t>
      </w:r>
      <w:proofErr w:type="spellStart"/>
      <w:r>
        <w:rPr>
          <w:color w:val="404040"/>
        </w:rPr>
        <w:t>Commission</w:t>
      </w:r>
      <w:proofErr w:type="spellEnd"/>
      <w:r>
        <w:rPr>
          <w:color w:val="404040"/>
        </w:rPr>
        <w:t>, 2021; OECD, 2023).</w:t>
      </w:r>
    </w:p>
    <w:p w14:paraId="2EEA3721" w14:textId="77777777" w:rsidR="004C18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5EFD7C69"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6A51CB9F" w14:textId="77777777" w:rsidR="004C18D9" w:rsidRDefault="00000000">
            <w:r>
              <w:rPr>
                <w:b/>
                <w:bCs/>
                <w:color w:val="1F3864"/>
                <w:sz w:val="24"/>
                <w:szCs w:val="24"/>
              </w:rPr>
              <w:lastRenderedPageBreak/>
              <w:t>SLIDE 2 — PREGUNTA GUÍA Y ALCANCE</w:t>
            </w:r>
          </w:p>
        </w:tc>
      </w:tr>
    </w:tbl>
    <w:p w14:paraId="3D9AA654" w14:textId="77777777" w:rsidR="004C18D9" w:rsidRDefault="004C18D9">
      <w:pPr>
        <w:spacing w:before="40" w:after="40"/>
      </w:pPr>
    </w:p>
    <w:p w14:paraId="70EBCAB7" w14:textId="77777777" w:rsidR="004C18D9" w:rsidRDefault="00000000">
      <w:pPr>
        <w:pBdr>
          <w:left w:val="single" w:sz="12" w:space="1" w:color="2E75B6"/>
        </w:pBdr>
        <w:spacing w:before="60" w:after="60"/>
        <w:ind w:left="240"/>
      </w:pPr>
      <w:r>
        <w:rPr>
          <w:b/>
          <w:bCs/>
          <w:color w:val="1F3864"/>
        </w:rPr>
        <w:t xml:space="preserve">Pregunta guía: </w:t>
      </w:r>
      <w:r>
        <w:rPr>
          <w:i/>
          <w:iCs/>
          <w:color w:val="404040"/>
        </w:rPr>
        <w:t xml:space="preserve">¿Cómo impacta la Ley de Goodhart en sistemas de software basados en IA y qué mecanismos de auditoría, control y responsabilidad permiten mitigar el </w:t>
      </w:r>
      <w:proofErr w:type="spellStart"/>
      <w:r>
        <w:rPr>
          <w:i/>
          <w:iCs/>
          <w:color w:val="404040"/>
        </w:rPr>
        <w:t>gaming</w:t>
      </w:r>
      <w:proofErr w:type="spellEnd"/>
      <w:r>
        <w:rPr>
          <w:i/>
          <w:iCs/>
          <w:color w:val="404040"/>
        </w:rPr>
        <w:t xml:space="preserve"> de métricas sin degradar la calidad ni generar riesgos sistémicos?</w:t>
      </w:r>
    </w:p>
    <w:p w14:paraId="20CCC565"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4C18D9" w14:paraId="5F328DC4" w14:textId="77777777">
        <w:tc>
          <w:tcPr>
            <w:tcW w:w="4560" w:type="dxa"/>
            <w:tcBorders>
              <w:top w:val="single" w:sz="1" w:space="0" w:color="BBCDE0"/>
              <w:left w:val="single" w:sz="1" w:space="0" w:color="BBCDE0"/>
              <w:bottom w:val="single" w:sz="1" w:space="0" w:color="BBCDE0"/>
              <w:right w:val="single" w:sz="1" w:space="0" w:color="BBCDE0"/>
            </w:tcBorders>
            <w:shd w:val="clear" w:color="auto" w:fill="2E75B6"/>
            <w:tcMar>
              <w:top w:w="80" w:type="dxa"/>
              <w:left w:w="160" w:type="dxa"/>
              <w:bottom w:w="80" w:type="dxa"/>
              <w:right w:w="160" w:type="dxa"/>
            </w:tcMar>
          </w:tcPr>
          <w:p w14:paraId="6ABD715B" w14:textId="77777777" w:rsidR="004C18D9" w:rsidRDefault="00000000">
            <w:r>
              <w:rPr>
                <w:b/>
                <w:bCs/>
                <w:color w:val="FFFFFF"/>
              </w:rPr>
              <w:t>✔ INCLUYE</w:t>
            </w:r>
          </w:p>
        </w:tc>
        <w:tc>
          <w:tcPr>
            <w:tcW w:w="4800" w:type="dxa"/>
            <w:tcBorders>
              <w:top w:val="single" w:sz="1" w:space="0" w:color="BBCDE0"/>
              <w:left w:val="single" w:sz="1" w:space="0" w:color="BBCDE0"/>
              <w:bottom w:val="single" w:sz="1" w:space="0" w:color="BBCDE0"/>
              <w:right w:val="single" w:sz="1" w:space="0" w:color="BBCDE0"/>
            </w:tcBorders>
            <w:shd w:val="clear" w:color="auto" w:fill="C00000"/>
            <w:tcMar>
              <w:top w:w="80" w:type="dxa"/>
              <w:left w:w="160" w:type="dxa"/>
              <w:bottom w:w="80" w:type="dxa"/>
              <w:right w:w="160" w:type="dxa"/>
            </w:tcMar>
          </w:tcPr>
          <w:p w14:paraId="00B29CB5" w14:textId="77777777" w:rsidR="004C18D9" w:rsidRDefault="00000000">
            <w:r>
              <w:rPr>
                <w:b/>
                <w:bCs/>
                <w:color w:val="FFFFFF"/>
              </w:rPr>
              <w:t>✘ EXCLUYE</w:t>
            </w:r>
          </w:p>
        </w:tc>
      </w:tr>
      <w:tr w:rsidR="004C18D9" w14:paraId="5C1532B9" w14:textId="77777777">
        <w:tc>
          <w:tcPr>
            <w:tcW w:w="456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60" w:type="dxa"/>
              <w:bottom w:w="80" w:type="dxa"/>
              <w:right w:w="160" w:type="dxa"/>
            </w:tcMar>
          </w:tcPr>
          <w:p w14:paraId="31757305" w14:textId="77777777" w:rsidR="004C18D9" w:rsidRDefault="00000000">
            <w:pPr>
              <w:pStyle w:val="Prrafodelista"/>
              <w:numPr>
                <w:ilvl w:val="0"/>
                <w:numId w:val="2"/>
              </w:numPr>
              <w:spacing w:before="30" w:after="30"/>
            </w:pPr>
            <w:proofErr w:type="spellStart"/>
            <w:r>
              <w:rPr>
                <w:color w:val="404040"/>
                <w:sz w:val="20"/>
                <w:szCs w:val="20"/>
              </w:rPr>
              <w:t>Gaming</w:t>
            </w:r>
            <w:proofErr w:type="spellEnd"/>
            <w:r>
              <w:rPr>
                <w:color w:val="404040"/>
                <w:sz w:val="20"/>
                <w:szCs w:val="20"/>
              </w:rPr>
              <w:t xml:space="preserve"> y optimización adversarial de métricas (Goodhart, 1975; Strathern, 1997)</w:t>
            </w:r>
          </w:p>
          <w:p w14:paraId="01CA4B74" w14:textId="77777777" w:rsidR="004C18D9" w:rsidRDefault="00000000">
            <w:pPr>
              <w:pStyle w:val="Prrafodelista"/>
              <w:numPr>
                <w:ilvl w:val="0"/>
                <w:numId w:val="2"/>
              </w:numPr>
              <w:spacing w:before="30" w:after="30"/>
            </w:pPr>
            <w:r>
              <w:rPr>
                <w:color w:val="404040"/>
                <w:sz w:val="20"/>
                <w:szCs w:val="20"/>
              </w:rPr>
              <w:t xml:space="preserve">Riesgos en ML: sobreajuste a </w:t>
            </w:r>
            <w:proofErr w:type="spellStart"/>
            <w:r>
              <w:rPr>
                <w:color w:val="404040"/>
                <w:sz w:val="20"/>
                <w:szCs w:val="20"/>
              </w:rPr>
              <w:t>benchmarks</w:t>
            </w:r>
            <w:proofErr w:type="spellEnd"/>
            <w:r>
              <w:rPr>
                <w:color w:val="404040"/>
                <w:sz w:val="20"/>
                <w:szCs w:val="20"/>
              </w:rPr>
              <w:t xml:space="preserve">, </w:t>
            </w:r>
            <w:proofErr w:type="spellStart"/>
            <w:r>
              <w:rPr>
                <w:color w:val="404040"/>
                <w:sz w:val="20"/>
                <w:szCs w:val="20"/>
              </w:rPr>
              <w:t>reward</w:t>
            </w:r>
            <w:proofErr w:type="spellEnd"/>
            <w:r>
              <w:rPr>
                <w:color w:val="404040"/>
                <w:sz w:val="20"/>
                <w:szCs w:val="20"/>
              </w:rPr>
              <w:t xml:space="preserve"> hacking (Murphy, 2021; NIST, 2023)</w:t>
            </w:r>
          </w:p>
          <w:p w14:paraId="48BD634D" w14:textId="77777777" w:rsidR="004C18D9" w:rsidRDefault="00000000">
            <w:pPr>
              <w:pStyle w:val="Prrafodelista"/>
              <w:numPr>
                <w:ilvl w:val="0"/>
                <w:numId w:val="2"/>
              </w:numPr>
              <w:spacing w:before="30" w:after="30"/>
            </w:pPr>
            <w:r>
              <w:rPr>
                <w:color w:val="404040"/>
                <w:sz w:val="20"/>
                <w:szCs w:val="20"/>
              </w:rPr>
              <w:t xml:space="preserve">Marcos de auditoría algorítmica y gobernanza de IA (EU AI </w:t>
            </w:r>
            <w:proofErr w:type="spellStart"/>
            <w:r>
              <w:rPr>
                <w:color w:val="404040"/>
                <w:sz w:val="20"/>
                <w:szCs w:val="20"/>
              </w:rPr>
              <w:t>Act</w:t>
            </w:r>
            <w:proofErr w:type="spellEnd"/>
            <w:r>
              <w:rPr>
                <w:color w:val="404040"/>
                <w:sz w:val="20"/>
                <w:szCs w:val="20"/>
              </w:rPr>
              <w:t>, OECD, 2023)</w:t>
            </w:r>
          </w:p>
        </w:tc>
        <w:tc>
          <w:tcPr>
            <w:tcW w:w="4800" w:type="dxa"/>
            <w:tcBorders>
              <w:top w:val="single" w:sz="1" w:space="0" w:color="BBCDE0"/>
              <w:left w:val="single" w:sz="1" w:space="0" w:color="BBCDE0"/>
              <w:bottom w:val="single" w:sz="1" w:space="0" w:color="BBCDE0"/>
              <w:right w:val="single" w:sz="1" w:space="0" w:color="BBCDE0"/>
            </w:tcBorders>
            <w:shd w:val="clear" w:color="auto" w:fill="FFF2F2"/>
            <w:tcMar>
              <w:top w:w="80" w:type="dxa"/>
              <w:left w:w="160" w:type="dxa"/>
              <w:bottom w:w="80" w:type="dxa"/>
              <w:right w:w="160" w:type="dxa"/>
            </w:tcMar>
          </w:tcPr>
          <w:p w14:paraId="249769BA" w14:textId="77777777" w:rsidR="004C18D9" w:rsidRDefault="00000000">
            <w:pPr>
              <w:pStyle w:val="Prrafodelista"/>
              <w:numPr>
                <w:ilvl w:val="0"/>
                <w:numId w:val="2"/>
              </w:numPr>
              <w:spacing w:before="30" w:after="30"/>
            </w:pPr>
            <w:r>
              <w:rPr>
                <w:color w:val="404040"/>
                <w:sz w:val="20"/>
                <w:szCs w:val="20"/>
              </w:rPr>
              <w:t xml:space="preserve">Desarrollo técnico detallado de arquitecturas específicas de </w:t>
            </w:r>
            <w:proofErr w:type="spellStart"/>
            <w:r>
              <w:rPr>
                <w:color w:val="404040"/>
                <w:sz w:val="20"/>
                <w:szCs w:val="20"/>
              </w:rPr>
              <w:t>deep</w:t>
            </w:r>
            <w:proofErr w:type="spellEnd"/>
            <w:r>
              <w:rPr>
                <w:color w:val="404040"/>
                <w:sz w:val="20"/>
                <w:szCs w:val="20"/>
              </w:rPr>
              <w:t xml:space="preserve"> </w:t>
            </w:r>
            <w:proofErr w:type="spellStart"/>
            <w:r>
              <w:rPr>
                <w:color w:val="404040"/>
                <w:sz w:val="20"/>
                <w:szCs w:val="20"/>
              </w:rPr>
              <w:t>learning</w:t>
            </w:r>
            <w:proofErr w:type="spellEnd"/>
          </w:p>
          <w:p w14:paraId="5FBFCC80" w14:textId="77777777" w:rsidR="004C18D9" w:rsidRDefault="00000000">
            <w:pPr>
              <w:pStyle w:val="Prrafodelista"/>
              <w:numPr>
                <w:ilvl w:val="0"/>
                <w:numId w:val="2"/>
              </w:numPr>
              <w:spacing w:before="30" w:after="30"/>
            </w:pPr>
            <w:r>
              <w:rPr>
                <w:color w:val="404040"/>
                <w:sz w:val="20"/>
                <w:szCs w:val="20"/>
              </w:rPr>
              <w:t>Análisis filosófico exhaustivo de ética de IA más allá de su conexión con QA</w:t>
            </w:r>
          </w:p>
        </w:tc>
      </w:tr>
    </w:tbl>
    <w:p w14:paraId="3447D673" w14:textId="77777777" w:rsidR="004C18D9" w:rsidRDefault="004C18D9">
      <w:pPr>
        <w:spacing w:before="40" w:after="40"/>
      </w:pPr>
    </w:p>
    <w:p w14:paraId="42FABB31" w14:textId="77777777" w:rsidR="004C18D9" w:rsidRDefault="00000000">
      <w:pPr>
        <w:pStyle w:val="Ttulo3"/>
      </w:pPr>
      <w:r>
        <w:t>Definiciones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4C18D9" w14:paraId="3A72AB96" w14:textId="77777777">
        <w:tc>
          <w:tcPr>
            <w:tcW w:w="4320" w:type="dxa"/>
            <w:tcBorders>
              <w:top w:val="single" w:sz="1" w:space="0" w:color="BBCDE0"/>
              <w:left w:val="single" w:sz="1" w:space="0" w:color="BBCDE0"/>
              <w:bottom w:val="single" w:sz="1" w:space="0" w:color="BBCDE0"/>
              <w:right w:val="single" w:sz="1" w:space="0" w:color="BBCDE0"/>
            </w:tcBorders>
            <w:shd w:val="clear" w:color="auto" w:fill="2E75B6"/>
            <w:tcMar>
              <w:top w:w="80" w:type="dxa"/>
              <w:left w:w="120" w:type="dxa"/>
              <w:bottom w:w="80" w:type="dxa"/>
              <w:right w:w="120" w:type="dxa"/>
            </w:tcMar>
            <w:vAlign w:val="center"/>
          </w:tcPr>
          <w:p w14:paraId="27EC103B" w14:textId="77777777" w:rsidR="004C18D9" w:rsidRDefault="00000000">
            <w:r>
              <w:rPr>
                <w:b/>
                <w:bCs/>
                <w:color w:val="FFFFFF"/>
                <w:sz w:val="20"/>
                <w:szCs w:val="20"/>
              </w:rPr>
              <w:t>Término</w:t>
            </w:r>
          </w:p>
        </w:tc>
        <w:tc>
          <w:tcPr>
            <w:tcW w:w="5040" w:type="dxa"/>
            <w:tcBorders>
              <w:top w:val="single" w:sz="1" w:space="0" w:color="BBCDE0"/>
              <w:left w:val="single" w:sz="1" w:space="0" w:color="BBCDE0"/>
              <w:bottom w:val="single" w:sz="1" w:space="0" w:color="BBCDE0"/>
              <w:right w:val="single" w:sz="1" w:space="0" w:color="BBCDE0"/>
            </w:tcBorders>
            <w:shd w:val="clear" w:color="auto" w:fill="2E75B6"/>
            <w:tcMar>
              <w:top w:w="80" w:type="dxa"/>
              <w:left w:w="120" w:type="dxa"/>
              <w:bottom w:w="80" w:type="dxa"/>
              <w:right w:w="120" w:type="dxa"/>
            </w:tcMar>
            <w:vAlign w:val="center"/>
          </w:tcPr>
          <w:p w14:paraId="26378193" w14:textId="77777777" w:rsidR="004C18D9" w:rsidRDefault="00000000">
            <w:r>
              <w:rPr>
                <w:b/>
                <w:bCs/>
                <w:color w:val="FFFFFF"/>
                <w:sz w:val="20"/>
                <w:szCs w:val="20"/>
              </w:rPr>
              <w:t>Definición</w:t>
            </w:r>
          </w:p>
        </w:tc>
      </w:tr>
      <w:tr w:rsidR="004C18D9" w14:paraId="1EEB6053" w14:textId="77777777">
        <w:tc>
          <w:tcPr>
            <w:tcW w:w="432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5C2D6265" w14:textId="77777777" w:rsidR="004C18D9" w:rsidRDefault="00000000">
            <w:r>
              <w:rPr>
                <w:color w:val="404040"/>
                <w:sz w:val="20"/>
                <w:szCs w:val="20"/>
              </w:rPr>
              <w:t>Ley de Goodhart</w:t>
            </w:r>
          </w:p>
        </w:tc>
        <w:tc>
          <w:tcPr>
            <w:tcW w:w="504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5424B2C7" w14:textId="77777777" w:rsidR="004C18D9" w:rsidRDefault="00000000">
            <w:r>
              <w:rPr>
                <w:color w:val="404040"/>
                <w:sz w:val="20"/>
                <w:szCs w:val="20"/>
              </w:rPr>
              <w:t xml:space="preserve">Cuando una medida se convierte en objetivo, deja de ser una buena medida (Goodhart, 1975). En IA: el modelo aprende a optimizar </w:t>
            </w:r>
            <w:proofErr w:type="gramStart"/>
            <w:r>
              <w:rPr>
                <w:color w:val="404040"/>
                <w:sz w:val="20"/>
                <w:szCs w:val="20"/>
              </w:rPr>
              <w:t>la proxy</w:t>
            </w:r>
            <w:proofErr w:type="gramEnd"/>
            <w:r>
              <w:rPr>
                <w:color w:val="404040"/>
                <w:sz w:val="20"/>
                <w:szCs w:val="20"/>
              </w:rPr>
              <w:t xml:space="preserve"> en vez del objetivo real.</w:t>
            </w:r>
          </w:p>
        </w:tc>
      </w:tr>
      <w:tr w:rsidR="004C18D9" w14:paraId="22A115D8" w14:textId="77777777">
        <w:tc>
          <w:tcPr>
            <w:tcW w:w="432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46DB166F" w14:textId="77777777" w:rsidR="004C18D9" w:rsidRDefault="00000000">
            <w:proofErr w:type="spellStart"/>
            <w:r>
              <w:rPr>
                <w:color w:val="404040"/>
                <w:sz w:val="20"/>
                <w:szCs w:val="20"/>
              </w:rPr>
              <w:t>Gaming</w:t>
            </w:r>
            <w:proofErr w:type="spellEnd"/>
            <w:r>
              <w:rPr>
                <w:color w:val="404040"/>
                <w:sz w:val="20"/>
                <w:szCs w:val="20"/>
              </w:rPr>
              <w:t xml:space="preserve"> de métricas</w:t>
            </w:r>
          </w:p>
        </w:tc>
        <w:tc>
          <w:tcPr>
            <w:tcW w:w="504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5DF888B3" w14:textId="77777777" w:rsidR="004C18D9" w:rsidRDefault="00000000">
            <w:r>
              <w:rPr>
                <w:color w:val="404040"/>
                <w:sz w:val="20"/>
                <w:szCs w:val="20"/>
              </w:rPr>
              <w:t>Manipulación deliberada o emergente de indicadores para obtener resultados favorables sin mejorar la calidad sustantiva.</w:t>
            </w:r>
          </w:p>
        </w:tc>
      </w:tr>
      <w:tr w:rsidR="004C18D9" w14:paraId="217A2693" w14:textId="77777777">
        <w:tc>
          <w:tcPr>
            <w:tcW w:w="432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18CFB8A4" w14:textId="77777777" w:rsidR="004C18D9" w:rsidRDefault="00000000">
            <w:r>
              <w:rPr>
                <w:color w:val="404040"/>
                <w:sz w:val="20"/>
                <w:szCs w:val="20"/>
              </w:rPr>
              <w:t>Auditoría algorítmica</w:t>
            </w:r>
          </w:p>
        </w:tc>
        <w:tc>
          <w:tcPr>
            <w:tcW w:w="504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73EB35C1" w14:textId="77777777" w:rsidR="004C18D9" w:rsidRDefault="00000000">
            <w:r>
              <w:rPr>
                <w:color w:val="404040"/>
                <w:sz w:val="20"/>
                <w:szCs w:val="20"/>
              </w:rPr>
              <w:t>Proceso sistemático de evaluación técnica y organizacional de sistemas de IA para verificar desempeño, riesgos y cumplimiento normativo (NIST, 2023).</w:t>
            </w:r>
          </w:p>
        </w:tc>
      </w:tr>
      <w:tr w:rsidR="004C18D9" w14:paraId="5C2C9DD3" w14:textId="77777777">
        <w:tc>
          <w:tcPr>
            <w:tcW w:w="432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662699CF" w14:textId="77777777" w:rsidR="004C18D9" w:rsidRDefault="00000000">
            <w:proofErr w:type="spellStart"/>
            <w:r>
              <w:rPr>
                <w:color w:val="404040"/>
                <w:sz w:val="20"/>
                <w:szCs w:val="20"/>
              </w:rPr>
              <w:t>Accountability</w:t>
            </w:r>
            <w:proofErr w:type="spellEnd"/>
          </w:p>
        </w:tc>
        <w:tc>
          <w:tcPr>
            <w:tcW w:w="504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71E7942E" w14:textId="77777777" w:rsidR="004C18D9" w:rsidRDefault="00000000">
            <w:r>
              <w:rPr>
                <w:color w:val="404040"/>
                <w:sz w:val="20"/>
                <w:szCs w:val="20"/>
              </w:rPr>
              <w:t>Responsabilidad explícita y rastreable sobre decisiones y resultados de sistemas de IA ante actores internos y externos.</w:t>
            </w:r>
          </w:p>
        </w:tc>
      </w:tr>
    </w:tbl>
    <w:p w14:paraId="36AF7DE5" w14:textId="77777777" w:rsidR="004C18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3E09640D"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057D96A8" w14:textId="77777777" w:rsidR="004C18D9" w:rsidRDefault="00000000">
            <w:r>
              <w:rPr>
                <w:b/>
                <w:bCs/>
                <w:color w:val="1F3864"/>
                <w:sz w:val="24"/>
                <w:szCs w:val="24"/>
              </w:rPr>
              <w:lastRenderedPageBreak/>
              <w:t>SLIDE 3 — MÉTODO DE REVISIÓN</w:t>
            </w:r>
          </w:p>
        </w:tc>
      </w:tr>
    </w:tbl>
    <w:p w14:paraId="09502955" w14:textId="77777777" w:rsidR="004C18D9" w:rsidRDefault="004C18D9">
      <w:pPr>
        <w:spacing w:before="40" w:after="40"/>
      </w:pPr>
    </w:p>
    <w:p w14:paraId="634E56DA" w14:textId="77777777" w:rsidR="004C18D9" w:rsidRDefault="00000000">
      <w:pPr>
        <w:pStyle w:val="Ttulo2"/>
      </w:pPr>
      <w:r>
        <w:t>Estrategia de búsqueda</w:t>
      </w:r>
    </w:p>
    <w:p w14:paraId="4F66D325" w14:textId="77777777" w:rsidR="004C18D9" w:rsidRDefault="00000000">
      <w:pPr>
        <w:spacing w:before="60" w:after="80"/>
      </w:pPr>
      <w:r>
        <w:rPr>
          <w:color w:val="404040"/>
        </w:rPr>
        <w:t>Revisión narrativa estructurada con búsqueda en bases académicas (</w:t>
      </w:r>
      <w:proofErr w:type="spellStart"/>
      <w:r>
        <w:rPr>
          <w:color w:val="404040"/>
        </w:rPr>
        <w:t>Scopus</w:t>
      </w:r>
      <w:proofErr w:type="spellEnd"/>
      <w:r>
        <w:rPr>
          <w:color w:val="404040"/>
        </w:rPr>
        <w:t>, Google Scholar), repositorios técnicos (</w:t>
      </w:r>
      <w:proofErr w:type="spellStart"/>
      <w:r>
        <w:rPr>
          <w:color w:val="404040"/>
        </w:rPr>
        <w:t>arXiv</w:t>
      </w:r>
      <w:proofErr w:type="spellEnd"/>
      <w:r>
        <w:rPr>
          <w:color w:val="404040"/>
        </w:rPr>
        <w:t xml:space="preserve">) y documentos regulatorios oficiales (UE, OCDE, NIST), utilizando términos: </w:t>
      </w:r>
      <w:proofErr w:type="spellStart"/>
      <w:r>
        <w:rPr>
          <w:color w:val="404040"/>
        </w:rPr>
        <w:t>Goodhart's</w:t>
      </w:r>
      <w:proofErr w:type="spellEnd"/>
      <w:r>
        <w:rPr>
          <w:color w:val="404040"/>
        </w:rPr>
        <w:t xml:space="preserve"> Law, </w:t>
      </w:r>
      <w:proofErr w:type="spellStart"/>
      <w:r>
        <w:rPr>
          <w:color w:val="404040"/>
        </w:rPr>
        <w:t>metric</w:t>
      </w:r>
      <w:proofErr w:type="spellEnd"/>
      <w:r>
        <w:rPr>
          <w:color w:val="404040"/>
        </w:rPr>
        <w:t xml:space="preserve"> </w:t>
      </w:r>
      <w:proofErr w:type="spellStart"/>
      <w:r>
        <w:rPr>
          <w:color w:val="404040"/>
        </w:rPr>
        <w:t>gaming</w:t>
      </w:r>
      <w:proofErr w:type="spellEnd"/>
      <w:r>
        <w:rPr>
          <w:color w:val="404040"/>
        </w:rPr>
        <w:t xml:space="preserve">, AI </w:t>
      </w:r>
      <w:proofErr w:type="spellStart"/>
      <w:r>
        <w:rPr>
          <w:color w:val="404040"/>
        </w:rPr>
        <w:t>governance</w:t>
      </w:r>
      <w:proofErr w:type="spellEnd"/>
      <w:r>
        <w:rPr>
          <w:color w:val="404040"/>
        </w:rPr>
        <w:t xml:space="preserve">, </w:t>
      </w:r>
      <w:proofErr w:type="spellStart"/>
      <w:r>
        <w:rPr>
          <w:color w:val="404040"/>
        </w:rPr>
        <w:t>algorithmic</w:t>
      </w:r>
      <w:proofErr w:type="spellEnd"/>
      <w:r>
        <w:rPr>
          <w:color w:val="404040"/>
        </w:rPr>
        <w:t xml:space="preserve"> </w:t>
      </w:r>
      <w:proofErr w:type="spellStart"/>
      <w:r>
        <w:rPr>
          <w:color w:val="404040"/>
        </w:rPr>
        <w:t>auditing</w:t>
      </w:r>
      <w:proofErr w:type="spellEnd"/>
      <w:r>
        <w:rPr>
          <w:color w:val="404040"/>
        </w:rPr>
        <w:t xml:space="preserve">, AI </w:t>
      </w:r>
      <w:proofErr w:type="spellStart"/>
      <w:r>
        <w:rPr>
          <w:color w:val="404040"/>
        </w:rPr>
        <w:t>risk</w:t>
      </w:r>
      <w:proofErr w:type="spellEnd"/>
      <w:r>
        <w:rPr>
          <w:color w:val="404040"/>
        </w:rPr>
        <w:t xml:space="preserve"> </w:t>
      </w:r>
      <w:proofErr w:type="spellStart"/>
      <w:r>
        <w:rPr>
          <w:color w:val="404040"/>
        </w:rPr>
        <w:t>management</w:t>
      </w:r>
      <w:proofErr w:type="spellEnd"/>
      <w:r>
        <w:rPr>
          <w:color w:val="404040"/>
        </w:rPr>
        <w:t xml:space="preserve">, </w:t>
      </w:r>
      <w:proofErr w:type="spellStart"/>
      <w:r>
        <w:rPr>
          <w:color w:val="404040"/>
        </w:rPr>
        <w:t>benchmark</w:t>
      </w:r>
      <w:proofErr w:type="spellEnd"/>
      <w:r>
        <w:rPr>
          <w:color w:val="404040"/>
        </w:rPr>
        <w:t xml:space="preserve"> </w:t>
      </w:r>
      <w:proofErr w:type="spellStart"/>
      <w:r>
        <w:rPr>
          <w:color w:val="404040"/>
        </w:rPr>
        <w:t>manipulation</w:t>
      </w:r>
      <w:proofErr w:type="spellEnd"/>
      <w:r>
        <w:rPr>
          <w:color w:val="404040"/>
        </w:rPr>
        <w:t>.</w:t>
      </w:r>
    </w:p>
    <w:p w14:paraId="36BF0623"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C18D9" w14:paraId="7DB95138" w14:textId="77777777">
        <w:tc>
          <w:tcPr>
            <w:tcW w:w="3120" w:type="dxa"/>
            <w:tcBorders>
              <w:top w:val="single" w:sz="1" w:space="0" w:color="BBCDE0"/>
              <w:left w:val="single" w:sz="1" w:space="0" w:color="BBCDE0"/>
              <w:bottom w:val="single" w:sz="1" w:space="0" w:color="BBCDE0"/>
              <w:right w:val="single" w:sz="1" w:space="0" w:color="BBCDE0"/>
            </w:tcBorders>
            <w:shd w:val="clear" w:color="auto" w:fill="2E75B6"/>
            <w:tcMar>
              <w:top w:w="80" w:type="dxa"/>
              <w:left w:w="120" w:type="dxa"/>
              <w:bottom w:w="80" w:type="dxa"/>
              <w:right w:w="120" w:type="dxa"/>
            </w:tcMar>
          </w:tcPr>
          <w:p w14:paraId="595B426E" w14:textId="77777777" w:rsidR="004C18D9" w:rsidRDefault="00000000">
            <w:pPr>
              <w:jc w:val="center"/>
            </w:pPr>
            <w:r>
              <w:rPr>
                <w:b/>
                <w:bCs/>
                <w:color w:val="FFFFFF"/>
                <w:sz w:val="20"/>
                <w:szCs w:val="20"/>
              </w:rPr>
              <w:t>Criterios de INCLUSIÓN</w:t>
            </w:r>
          </w:p>
        </w:tc>
        <w:tc>
          <w:tcPr>
            <w:tcW w:w="3120" w:type="dxa"/>
            <w:tcBorders>
              <w:top w:val="single" w:sz="1" w:space="0" w:color="BBCDE0"/>
              <w:left w:val="single" w:sz="1" w:space="0" w:color="BBCDE0"/>
              <w:bottom w:val="single" w:sz="1" w:space="0" w:color="BBCDE0"/>
              <w:right w:val="single" w:sz="1" w:space="0" w:color="BBCDE0"/>
            </w:tcBorders>
            <w:shd w:val="clear" w:color="auto" w:fill="C00000"/>
            <w:tcMar>
              <w:top w:w="80" w:type="dxa"/>
              <w:left w:w="120" w:type="dxa"/>
              <w:bottom w:w="80" w:type="dxa"/>
              <w:right w:w="120" w:type="dxa"/>
            </w:tcMar>
          </w:tcPr>
          <w:p w14:paraId="1D106E60" w14:textId="77777777" w:rsidR="004C18D9" w:rsidRDefault="00000000">
            <w:pPr>
              <w:jc w:val="center"/>
            </w:pPr>
            <w:r>
              <w:rPr>
                <w:b/>
                <w:bCs/>
                <w:color w:val="FFFFFF"/>
                <w:sz w:val="20"/>
                <w:szCs w:val="20"/>
              </w:rPr>
              <w:t>Criterios de EXCLUSIÓN</w:t>
            </w:r>
          </w:p>
        </w:tc>
        <w:tc>
          <w:tcPr>
            <w:tcW w:w="312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1A670862" w14:textId="77777777" w:rsidR="004C18D9" w:rsidRDefault="00000000">
            <w:pPr>
              <w:jc w:val="center"/>
            </w:pPr>
            <w:r>
              <w:rPr>
                <w:b/>
                <w:bCs/>
                <w:color w:val="FFFFFF"/>
                <w:sz w:val="20"/>
                <w:szCs w:val="20"/>
              </w:rPr>
              <w:t>Tipos de FUENTE</w:t>
            </w:r>
          </w:p>
        </w:tc>
      </w:tr>
      <w:tr w:rsidR="004C18D9" w14:paraId="161033CC" w14:textId="77777777">
        <w:tc>
          <w:tcPr>
            <w:tcW w:w="312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tcPr>
          <w:p w14:paraId="496DC555" w14:textId="77777777" w:rsidR="004C18D9" w:rsidRDefault="00000000">
            <w:pPr>
              <w:pStyle w:val="Prrafodelista"/>
              <w:numPr>
                <w:ilvl w:val="0"/>
                <w:numId w:val="2"/>
              </w:numPr>
              <w:spacing w:before="30" w:after="30"/>
            </w:pPr>
            <w:r>
              <w:rPr>
                <w:color w:val="404040"/>
                <w:sz w:val="18"/>
                <w:szCs w:val="18"/>
              </w:rPr>
              <w:t>Publicaciones académicas y técnicas post-2015 sobre riesgos en IA y métricas</w:t>
            </w:r>
          </w:p>
          <w:p w14:paraId="13382E9D" w14:textId="77777777" w:rsidR="004C18D9" w:rsidRDefault="00000000">
            <w:pPr>
              <w:pStyle w:val="Prrafodelista"/>
              <w:numPr>
                <w:ilvl w:val="0"/>
                <w:numId w:val="2"/>
              </w:numPr>
              <w:spacing w:before="30" w:after="30"/>
            </w:pPr>
            <w:r>
              <w:rPr>
                <w:color w:val="404040"/>
                <w:sz w:val="18"/>
                <w:szCs w:val="18"/>
              </w:rPr>
              <w:t xml:space="preserve">Documentos regulatorios: EU AI </w:t>
            </w:r>
            <w:proofErr w:type="spellStart"/>
            <w:r>
              <w:rPr>
                <w:color w:val="404040"/>
                <w:sz w:val="18"/>
                <w:szCs w:val="18"/>
              </w:rPr>
              <w:t>Act</w:t>
            </w:r>
            <w:proofErr w:type="spellEnd"/>
            <w:r>
              <w:rPr>
                <w:color w:val="404040"/>
                <w:sz w:val="18"/>
                <w:szCs w:val="18"/>
              </w:rPr>
              <w:t>, NIST, OECD</w:t>
            </w:r>
          </w:p>
          <w:p w14:paraId="6D61039D" w14:textId="77777777" w:rsidR="004C18D9" w:rsidRDefault="00000000">
            <w:pPr>
              <w:pStyle w:val="Prrafodelista"/>
              <w:numPr>
                <w:ilvl w:val="0"/>
                <w:numId w:val="2"/>
              </w:numPr>
              <w:spacing w:before="30" w:after="30"/>
            </w:pPr>
            <w:r>
              <w:rPr>
                <w:color w:val="404040"/>
                <w:sz w:val="18"/>
                <w:szCs w:val="18"/>
              </w:rPr>
              <w:t>Literatura fundacional sobre Ley de Goodhart (Goodhart, 1975; Strathern, 1997)</w:t>
            </w:r>
          </w:p>
        </w:tc>
        <w:tc>
          <w:tcPr>
            <w:tcW w:w="3120" w:type="dxa"/>
            <w:tcBorders>
              <w:top w:val="single" w:sz="1" w:space="0" w:color="BBCDE0"/>
              <w:left w:val="single" w:sz="1" w:space="0" w:color="BBCDE0"/>
              <w:bottom w:val="single" w:sz="1" w:space="0" w:color="BBCDE0"/>
              <w:right w:val="single" w:sz="1" w:space="0" w:color="BBCDE0"/>
            </w:tcBorders>
            <w:shd w:val="clear" w:color="auto" w:fill="FFF2F2"/>
            <w:tcMar>
              <w:top w:w="80" w:type="dxa"/>
              <w:left w:w="120" w:type="dxa"/>
              <w:bottom w:w="80" w:type="dxa"/>
              <w:right w:w="120" w:type="dxa"/>
            </w:tcMar>
          </w:tcPr>
          <w:p w14:paraId="3DD4A249" w14:textId="77777777" w:rsidR="004C18D9" w:rsidRDefault="00000000">
            <w:pPr>
              <w:pStyle w:val="Prrafodelista"/>
              <w:numPr>
                <w:ilvl w:val="0"/>
                <w:numId w:val="2"/>
              </w:numPr>
              <w:spacing w:before="30" w:after="30"/>
            </w:pPr>
            <w:r>
              <w:rPr>
                <w:color w:val="404040"/>
                <w:sz w:val="18"/>
                <w:szCs w:val="18"/>
              </w:rPr>
              <w:t>Opiniones sin fundamento empírico o sin revisión técnica</w:t>
            </w:r>
          </w:p>
          <w:p w14:paraId="216294ED" w14:textId="77777777" w:rsidR="004C18D9" w:rsidRDefault="00000000">
            <w:pPr>
              <w:pStyle w:val="Prrafodelista"/>
              <w:numPr>
                <w:ilvl w:val="0"/>
                <w:numId w:val="2"/>
              </w:numPr>
              <w:spacing w:before="30" w:after="30"/>
            </w:pPr>
            <w:r>
              <w:rPr>
                <w:color w:val="404040"/>
                <w:sz w:val="18"/>
                <w:szCs w:val="18"/>
              </w:rPr>
              <w:t>Literatura centrada en rendimiento sin análisis de riesgo o gobernanza</w:t>
            </w:r>
          </w:p>
        </w:tc>
        <w:tc>
          <w:tcPr>
            <w:tcW w:w="312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tcPr>
          <w:p w14:paraId="5DF809BC" w14:textId="77777777" w:rsidR="004C18D9" w:rsidRDefault="00000000">
            <w:pPr>
              <w:pStyle w:val="Prrafodelista"/>
              <w:numPr>
                <w:ilvl w:val="0"/>
                <w:numId w:val="2"/>
              </w:numPr>
              <w:spacing w:before="30" w:after="30"/>
            </w:pPr>
            <w:r>
              <w:rPr>
                <w:color w:val="404040"/>
                <w:sz w:val="18"/>
                <w:szCs w:val="18"/>
              </w:rPr>
              <w:t>Industrial: NIST AI RMF, prácticas de gestión de riesgo</w:t>
            </w:r>
          </w:p>
          <w:p w14:paraId="0F9A4FA3" w14:textId="77777777" w:rsidR="004C18D9" w:rsidRDefault="00000000">
            <w:pPr>
              <w:pStyle w:val="Prrafodelista"/>
              <w:numPr>
                <w:ilvl w:val="0"/>
                <w:numId w:val="2"/>
              </w:numPr>
              <w:spacing w:before="30" w:after="30"/>
            </w:pPr>
            <w:r>
              <w:rPr>
                <w:color w:val="404040"/>
                <w:sz w:val="18"/>
                <w:szCs w:val="18"/>
              </w:rPr>
              <w:t xml:space="preserve">Estándar/Regulación: EU AI </w:t>
            </w:r>
            <w:proofErr w:type="spellStart"/>
            <w:r>
              <w:rPr>
                <w:color w:val="404040"/>
                <w:sz w:val="18"/>
                <w:szCs w:val="18"/>
              </w:rPr>
              <w:t>Act</w:t>
            </w:r>
            <w:proofErr w:type="spellEnd"/>
            <w:r>
              <w:rPr>
                <w:color w:val="404040"/>
                <w:sz w:val="18"/>
                <w:szCs w:val="18"/>
              </w:rPr>
              <w:t xml:space="preserve"> (2021), OECD (2023)</w:t>
            </w:r>
          </w:p>
          <w:p w14:paraId="2DEDC7A1" w14:textId="77777777" w:rsidR="004C18D9" w:rsidRDefault="00000000">
            <w:pPr>
              <w:pStyle w:val="Prrafodelista"/>
              <w:numPr>
                <w:ilvl w:val="0"/>
                <w:numId w:val="2"/>
              </w:numPr>
              <w:spacing w:before="30" w:after="30"/>
            </w:pPr>
            <w:r>
              <w:rPr>
                <w:color w:val="404040"/>
                <w:sz w:val="18"/>
                <w:szCs w:val="18"/>
              </w:rPr>
              <w:t>Académico/Estudio: Goodhart (1975), Murphy (2021), Singh et al. (2025)</w:t>
            </w:r>
          </w:p>
        </w:tc>
      </w:tr>
    </w:tbl>
    <w:p w14:paraId="376F2DE4" w14:textId="77777777" w:rsidR="001D32D8" w:rsidRDefault="001D32D8"/>
    <w:p w14:paraId="069FD774" w14:textId="244B26AD" w:rsidR="004C18D9" w:rsidRDefault="001D32D8">
      <w:r w:rsidRPr="001D32D8">
        <w:t>El análisis comparativo de las fuentes seleccionadas permitió identificar patrones recurrentes en torno al uso de métricas, auditoría algorítmica y gobernanza de sistemas de IA. A partir de estos patrones se sintetizaron cinco hallazgos estructurales (H1–H5), que resumen los principales riesgos y mecanismos de mitigación descritos en la literatura reciente.</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0B22E6CC"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3D19356A" w14:textId="77777777" w:rsidR="004C18D9" w:rsidRDefault="00000000">
            <w:r>
              <w:rPr>
                <w:b/>
                <w:bCs/>
                <w:color w:val="1F3864"/>
                <w:sz w:val="24"/>
                <w:szCs w:val="24"/>
              </w:rPr>
              <w:lastRenderedPageBreak/>
              <w:t>SLIDE 4 — PANORAMA: MAPA DE HALLAZGOS</w:t>
            </w:r>
          </w:p>
        </w:tc>
      </w:tr>
    </w:tbl>
    <w:p w14:paraId="54FCD7EE" w14:textId="77777777" w:rsidR="004C18D9" w:rsidRDefault="004C18D9">
      <w:pPr>
        <w:spacing w:before="40" w:after="40"/>
      </w:pPr>
    </w:p>
    <w:p w14:paraId="02F4ABAB" w14:textId="77777777" w:rsidR="004C18D9" w:rsidRDefault="00000000">
      <w:pPr>
        <w:spacing w:before="60" w:after="80"/>
      </w:pPr>
      <w:r>
        <w:rPr>
          <w:color w:val="404040"/>
        </w:rPr>
        <w:t>La revisión sistemática identificó cinco hallazgos estructurales con implicaciones directas para la calidad del software basado en IA:</w:t>
      </w:r>
    </w:p>
    <w:p w14:paraId="7F6A694D"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0"/>
        <w:gridCol w:w="1160"/>
      </w:tblGrid>
      <w:tr w:rsidR="004C18D9" w14:paraId="68C6812D" w14:textId="77777777">
        <w:tc>
          <w:tcPr>
            <w:tcW w:w="120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3056B94B" w14:textId="77777777" w:rsidR="004C18D9" w:rsidRDefault="00000000">
            <w:pPr>
              <w:jc w:val="center"/>
            </w:pPr>
            <w:r>
              <w:rPr>
                <w:b/>
                <w:bCs/>
                <w:color w:val="FFFFFF"/>
                <w:sz w:val="20"/>
                <w:szCs w:val="20"/>
              </w:rPr>
              <w:t>ID</w:t>
            </w:r>
          </w:p>
        </w:tc>
        <w:tc>
          <w:tcPr>
            <w:tcW w:w="700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0A0F48A4" w14:textId="77777777" w:rsidR="004C18D9" w:rsidRDefault="00000000">
            <w:r>
              <w:rPr>
                <w:b/>
                <w:bCs/>
                <w:color w:val="FFFFFF"/>
                <w:sz w:val="20"/>
                <w:szCs w:val="20"/>
              </w:rPr>
              <w:t>Descripción del Hallazgo</w:t>
            </w:r>
          </w:p>
        </w:tc>
        <w:tc>
          <w:tcPr>
            <w:tcW w:w="116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07627F9E" w14:textId="77777777" w:rsidR="004C18D9" w:rsidRDefault="00000000">
            <w:pPr>
              <w:jc w:val="center"/>
            </w:pPr>
            <w:r>
              <w:rPr>
                <w:b/>
                <w:bCs/>
                <w:color w:val="FFFFFF"/>
                <w:sz w:val="20"/>
                <w:szCs w:val="20"/>
              </w:rPr>
              <w:t>Fuentes</w:t>
            </w:r>
          </w:p>
        </w:tc>
      </w:tr>
      <w:tr w:rsidR="004C18D9" w14:paraId="06D6CF4B"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22567EB4" w14:textId="77777777" w:rsidR="004C18D9" w:rsidRDefault="00000000">
            <w:pPr>
              <w:jc w:val="center"/>
            </w:pPr>
            <w:r>
              <w:rPr>
                <w:b/>
                <w:bCs/>
                <w:color w:val="1F3864"/>
              </w:rPr>
              <w:t>H1</w:t>
            </w:r>
          </w:p>
        </w:tc>
        <w:tc>
          <w:tcPr>
            <w:tcW w:w="700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tcPr>
          <w:p w14:paraId="6B4793AF" w14:textId="77777777" w:rsidR="004C18D9" w:rsidRDefault="00000000">
            <w:r>
              <w:rPr>
                <w:color w:val="404040"/>
                <w:sz w:val="20"/>
                <w:szCs w:val="20"/>
              </w:rPr>
              <w:t xml:space="preserve">Las métricas y </w:t>
            </w:r>
            <w:proofErr w:type="spellStart"/>
            <w:r>
              <w:rPr>
                <w:color w:val="404040"/>
                <w:sz w:val="20"/>
                <w:szCs w:val="20"/>
              </w:rPr>
              <w:t>benchmarks</w:t>
            </w:r>
            <w:proofErr w:type="spellEnd"/>
            <w:r>
              <w:rPr>
                <w:color w:val="404040"/>
                <w:sz w:val="20"/>
                <w:szCs w:val="20"/>
              </w:rPr>
              <w:t xml:space="preserve"> de IA pueden ser manipulados o 'optimizados' de forma que producen resultados aparentes positivos sin mejorar la capacidad real del sistema (efecto Goodhart).</w:t>
            </w:r>
          </w:p>
        </w:tc>
        <w:tc>
          <w:tcPr>
            <w:tcW w:w="116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33F987AD" w14:textId="77777777" w:rsidR="004C18D9" w:rsidRDefault="00000000">
            <w:pPr>
              <w:jc w:val="center"/>
            </w:pPr>
            <w:r>
              <w:rPr>
                <w:b/>
                <w:bCs/>
                <w:color w:val="2E75B6"/>
                <w:sz w:val="18"/>
                <w:szCs w:val="18"/>
              </w:rPr>
              <w:t>S1, S2</w:t>
            </w:r>
          </w:p>
        </w:tc>
      </w:tr>
      <w:tr w:rsidR="004C18D9" w14:paraId="5DFB4372"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79DB22BF" w14:textId="77777777" w:rsidR="004C18D9" w:rsidRDefault="00000000">
            <w:pPr>
              <w:jc w:val="center"/>
            </w:pPr>
            <w:r>
              <w:rPr>
                <w:b/>
                <w:bCs/>
                <w:color w:val="1F3864"/>
              </w:rPr>
              <w:t>H2</w:t>
            </w:r>
          </w:p>
        </w:tc>
        <w:tc>
          <w:tcPr>
            <w:tcW w:w="7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tcPr>
          <w:p w14:paraId="66D0E38F" w14:textId="77777777" w:rsidR="004C18D9" w:rsidRDefault="00000000">
            <w:r>
              <w:rPr>
                <w:color w:val="404040"/>
                <w:sz w:val="20"/>
                <w:szCs w:val="20"/>
              </w:rPr>
              <w:t>Las auditorías algorítmicas con acceso limitado (</w:t>
            </w:r>
            <w:proofErr w:type="spellStart"/>
            <w:r>
              <w:rPr>
                <w:color w:val="404040"/>
                <w:sz w:val="20"/>
                <w:szCs w:val="20"/>
              </w:rPr>
              <w:t>black</w:t>
            </w:r>
            <w:proofErr w:type="spellEnd"/>
            <w:r>
              <w:rPr>
                <w:color w:val="404040"/>
                <w:sz w:val="20"/>
                <w:szCs w:val="20"/>
              </w:rPr>
              <w:t>-box) no permiten evaluar completamente riesgos y comportamientos emergentes de los modelos de IA.</w:t>
            </w:r>
          </w:p>
        </w:tc>
        <w:tc>
          <w:tcPr>
            <w:tcW w:w="1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76B6CD9F" w14:textId="77777777" w:rsidR="004C18D9" w:rsidRDefault="00000000">
            <w:pPr>
              <w:jc w:val="center"/>
            </w:pPr>
            <w:r>
              <w:rPr>
                <w:b/>
                <w:bCs/>
                <w:color w:val="2E75B6"/>
                <w:sz w:val="18"/>
                <w:szCs w:val="18"/>
              </w:rPr>
              <w:t>S3</w:t>
            </w:r>
          </w:p>
        </w:tc>
      </w:tr>
      <w:tr w:rsidR="004C18D9" w14:paraId="6F0AAD7C"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0B5761D5" w14:textId="77777777" w:rsidR="004C18D9" w:rsidRDefault="00000000">
            <w:pPr>
              <w:jc w:val="center"/>
            </w:pPr>
            <w:r>
              <w:rPr>
                <w:b/>
                <w:bCs/>
                <w:color w:val="1F3864"/>
              </w:rPr>
              <w:t>H3</w:t>
            </w:r>
          </w:p>
        </w:tc>
        <w:tc>
          <w:tcPr>
            <w:tcW w:w="700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tcPr>
          <w:p w14:paraId="3250CDB2" w14:textId="77777777" w:rsidR="004C18D9" w:rsidRDefault="00000000">
            <w:r>
              <w:rPr>
                <w:color w:val="404040"/>
                <w:sz w:val="20"/>
                <w:szCs w:val="20"/>
              </w:rPr>
              <w:t xml:space="preserve">La ausencia de estándares consolidados para auditoría y certificación de IA dificulta garantizar </w:t>
            </w:r>
            <w:proofErr w:type="spellStart"/>
            <w:r>
              <w:rPr>
                <w:color w:val="404040"/>
                <w:sz w:val="20"/>
                <w:szCs w:val="20"/>
              </w:rPr>
              <w:t>accountability</w:t>
            </w:r>
            <w:proofErr w:type="spellEnd"/>
            <w:r>
              <w:rPr>
                <w:color w:val="404040"/>
                <w:sz w:val="20"/>
                <w:szCs w:val="20"/>
              </w:rPr>
              <w:t xml:space="preserve"> y confiabilidad real en la práctica.</w:t>
            </w:r>
          </w:p>
        </w:tc>
        <w:tc>
          <w:tcPr>
            <w:tcW w:w="116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60EFEAAC" w14:textId="77777777" w:rsidR="004C18D9" w:rsidRDefault="00000000">
            <w:pPr>
              <w:jc w:val="center"/>
            </w:pPr>
            <w:r>
              <w:rPr>
                <w:b/>
                <w:bCs/>
                <w:color w:val="2E75B6"/>
                <w:sz w:val="18"/>
                <w:szCs w:val="18"/>
              </w:rPr>
              <w:t>S4</w:t>
            </w:r>
          </w:p>
        </w:tc>
      </w:tr>
      <w:tr w:rsidR="004C18D9" w14:paraId="1515FD55"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07AE688F" w14:textId="77777777" w:rsidR="004C18D9" w:rsidRDefault="00000000">
            <w:pPr>
              <w:jc w:val="center"/>
            </w:pPr>
            <w:r>
              <w:rPr>
                <w:b/>
                <w:bCs/>
                <w:color w:val="1F3864"/>
              </w:rPr>
              <w:t>H4</w:t>
            </w:r>
          </w:p>
        </w:tc>
        <w:tc>
          <w:tcPr>
            <w:tcW w:w="700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tcPr>
          <w:p w14:paraId="48EDE8D3" w14:textId="77777777" w:rsidR="004C18D9" w:rsidRDefault="00000000">
            <w:r>
              <w:rPr>
                <w:color w:val="404040"/>
                <w:sz w:val="20"/>
                <w:szCs w:val="20"/>
              </w:rPr>
              <w:t xml:space="preserve">Los marcos de métricas responsables buscan operacionalizar la </w:t>
            </w:r>
            <w:proofErr w:type="spellStart"/>
            <w:r>
              <w:rPr>
                <w:color w:val="404040"/>
                <w:sz w:val="20"/>
                <w:szCs w:val="20"/>
              </w:rPr>
              <w:t>accountability</w:t>
            </w:r>
            <w:proofErr w:type="spellEnd"/>
            <w:r>
              <w:rPr>
                <w:color w:val="404040"/>
                <w:sz w:val="20"/>
                <w:szCs w:val="20"/>
              </w:rPr>
              <w:t xml:space="preserve"> evaluando el ciclo de vida completo: datos, entrenamiento, evaluación y despliegue.</w:t>
            </w:r>
          </w:p>
        </w:tc>
        <w:tc>
          <w:tcPr>
            <w:tcW w:w="1160" w:type="dxa"/>
            <w:tcBorders>
              <w:top w:val="single" w:sz="1" w:space="0" w:color="BBCDE0"/>
              <w:left w:val="single" w:sz="1" w:space="0" w:color="BBCDE0"/>
              <w:bottom w:val="single" w:sz="1" w:space="0" w:color="BBCDE0"/>
              <w:right w:val="single" w:sz="1" w:space="0" w:color="BBCDE0"/>
            </w:tcBorders>
            <w:shd w:val="clear" w:color="auto" w:fill="FFFFFF"/>
            <w:tcMar>
              <w:top w:w="80" w:type="dxa"/>
              <w:left w:w="120" w:type="dxa"/>
              <w:bottom w:w="80" w:type="dxa"/>
              <w:right w:w="120" w:type="dxa"/>
            </w:tcMar>
            <w:vAlign w:val="center"/>
          </w:tcPr>
          <w:p w14:paraId="6A09CD4D" w14:textId="77777777" w:rsidR="004C18D9" w:rsidRDefault="00000000">
            <w:pPr>
              <w:jc w:val="center"/>
            </w:pPr>
            <w:r>
              <w:rPr>
                <w:b/>
                <w:bCs/>
                <w:color w:val="2E75B6"/>
                <w:sz w:val="18"/>
                <w:szCs w:val="18"/>
              </w:rPr>
              <w:t>S5</w:t>
            </w:r>
          </w:p>
        </w:tc>
      </w:tr>
      <w:tr w:rsidR="004C18D9" w14:paraId="61B262A7"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07A4711C" w14:textId="77777777" w:rsidR="004C18D9" w:rsidRDefault="00000000">
            <w:pPr>
              <w:jc w:val="center"/>
            </w:pPr>
            <w:r>
              <w:rPr>
                <w:b/>
                <w:bCs/>
                <w:color w:val="1F3864"/>
              </w:rPr>
              <w:t>H5</w:t>
            </w:r>
          </w:p>
        </w:tc>
        <w:tc>
          <w:tcPr>
            <w:tcW w:w="700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tcPr>
          <w:p w14:paraId="4A9400BC" w14:textId="77777777" w:rsidR="004C18D9" w:rsidRDefault="00000000">
            <w:r>
              <w:rPr>
                <w:color w:val="404040"/>
                <w:sz w:val="20"/>
                <w:szCs w:val="20"/>
              </w:rPr>
              <w:t xml:space="preserve">La combinación de </w:t>
            </w:r>
            <w:proofErr w:type="spellStart"/>
            <w:r>
              <w:rPr>
                <w:color w:val="404040"/>
                <w:sz w:val="20"/>
                <w:szCs w:val="20"/>
              </w:rPr>
              <w:t>gaming</w:t>
            </w:r>
            <w:proofErr w:type="spellEnd"/>
            <w:r>
              <w:rPr>
                <w:color w:val="404040"/>
                <w:sz w:val="20"/>
                <w:szCs w:val="20"/>
              </w:rPr>
              <w:t xml:space="preserve"> de métricas y opacidad algorítmica genera riesgos significativos para la responsabilidad técnica y legal de organizaciones que desarrollan o despliegan IA.</w:t>
            </w:r>
          </w:p>
        </w:tc>
        <w:tc>
          <w:tcPr>
            <w:tcW w:w="1160" w:type="dxa"/>
            <w:tcBorders>
              <w:top w:val="single" w:sz="1" w:space="0" w:color="BBCDE0"/>
              <w:left w:val="single" w:sz="1" w:space="0" w:color="BBCDE0"/>
              <w:bottom w:val="single" w:sz="1" w:space="0" w:color="BBCDE0"/>
              <w:right w:val="single" w:sz="1" w:space="0" w:color="BBCDE0"/>
            </w:tcBorders>
            <w:shd w:val="clear" w:color="auto" w:fill="EBF3FB"/>
            <w:tcMar>
              <w:top w:w="80" w:type="dxa"/>
              <w:left w:w="120" w:type="dxa"/>
              <w:bottom w:w="80" w:type="dxa"/>
              <w:right w:w="120" w:type="dxa"/>
            </w:tcMar>
            <w:vAlign w:val="center"/>
          </w:tcPr>
          <w:p w14:paraId="2AED03AA" w14:textId="77777777" w:rsidR="004C18D9" w:rsidRDefault="00000000">
            <w:pPr>
              <w:jc w:val="center"/>
            </w:pPr>
            <w:r>
              <w:rPr>
                <w:b/>
                <w:bCs/>
                <w:color w:val="2E75B6"/>
                <w:sz w:val="18"/>
                <w:szCs w:val="18"/>
              </w:rPr>
              <w:t>S6</w:t>
            </w:r>
          </w:p>
        </w:tc>
      </w:tr>
    </w:tbl>
    <w:p w14:paraId="0F502D5F" w14:textId="77777777" w:rsidR="001D32D8" w:rsidRDefault="001D32D8" w:rsidP="001D32D8"/>
    <w:p w14:paraId="36E47D75" w14:textId="28A8372B" w:rsidR="001D32D8" w:rsidRPr="001D32D8" w:rsidRDefault="001D32D8" w:rsidP="001D32D8">
      <w:pPr>
        <w:rPr>
          <w:b/>
          <w:bCs/>
        </w:rPr>
      </w:pPr>
      <w:r w:rsidRPr="001D32D8">
        <w:rPr>
          <w:b/>
          <w:bCs/>
        </w:rPr>
        <w:t>Síntesis conceptual de los hallazgos</w:t>
      </w:r>
    </w:p>
    <w:p w14:paraId="015C634E" w14:textId="77777777" w:rsidR="001D32D8" w:rsidRDefault="001D32D8" w:rsidP="001D32D8"/>
    <w:p w14:paraId="137F8EF7" w14:textId="76ADB742" w:rsidR="004C18D9" w:rsidRDefault="001D32D8" w:rsidP="001D32D8">
      <w:pPr>
        <w:jc w:val="both"/>
      </w:pPr>
      <w:r w:rsidRPr="001D32D8">
        <w:t xml:space="preserve">En conjunto, los hallazgos identificados muestran que los riesgos emergentes en sistemas de IA no se originan únicamente en limitaciones técnicas de los modelos, sino en dinámicas </w:t>
      </w:r>
      <w:proofErr w:type="gramStart"/>
      <w:r w:rsidRPr="001D32D8">
        <w:t>socio-técnicas</w:t>
      </w:r>
      <w:proofErr w:type="gramEnd"/>
      <w:r w:rsidRPr="001D32D8">
        <w:t xml:space="preserve"> asociadas al uso intensivo de métricas como </w:t>
      </w:r>
      <w:proofErr w:type="spellStart"/>
      <w:r w:rsidRPr="001D32D8">
        <w:t>proxies</w:t>
      </w:r>
      <w:proofErr w:type="spellEnd"/>
      <w:r w:rsidRPr="001D32D8">
        <w:t xml:space="preserve"> de calidad. La interacción entre optimización de indicadores, opacidad algorítmica y ausencia de estándares consolidados crea condiciones propicias para el </w:t>
      </w:r>
      <w:proofErr w:type="spellStart"/>
      <w:r w:rsidRPr="001D32D8">
        <w:t>gaming</w:t>
      </w:r>
      <w:proofErr w:type="spellEnd"/>
      <w:r w:rsidRPr="001D32D8">
        <w:t xml:space="preserve"> de métricas y la degradación de la calidad sustantiva. En consecuencia, los enfoques contemporáneos de QA para sistemas de IA tienden a evolucionar hacia marcos multicriterio, auditables y con mecanismos explícitos de responsabilidad.</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4C72A318"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1F9C5B98" w14:textId="77777777" w:rsidR="004C18D9" w:rsidRDefault="00000000">
            <w:r>
              <w:rPr>
                <w:b/>
                <w:bCs/>
                <w:color w:val="1F3864"/>
                <w:sz w:val="24"/>
                <w:szCs w:val="24"/>
              </w:rPr>
              <w:lastRenderedPageBreak/>
              <w:t>SLIDES 5–9 — HALLAZGOS CLAVE CON PROS, CONTRAS Y CONDICIONES</w:t>
            </w:r>
          </w:p>
        </w:tc>
      </w:tr>
    </w:tbl>
    <w:p w14:paraId="64E7B77E"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C18D9" w14:paraId="257A891C" w14:textId="77777777">
        <w:tc>
          <w:tcPr>
            <w:tcW w:w="800" w:type="dxa"/>
            <w:tcBorders>
              <w:top w:val="nil"/>
              <w:left w:val="nil"/>
              <w:bottom w:val="nil"/>
              <w:right w:val="nil"/>
            </w:tcBorders>
            <w:shd w:val="clear" w:color="auto" w:fill="1F3864"/>
            <w:tcMar>
              <w:top w:w="120" w:type="dxa"/>
              <w:left w:w="120" w:type="dxa"/>
              <w:bottom w:w="120" w:type="dxa"/>
              <w:right w:w="120" w:type="dxa"/>
            </w:tcMar>
            <w:vAlign w:val="center"/>
          </w:tcPr>
          <w:p w14:paraId="28774C91" w14:textId="77777777" w:rsidR="004C18D9" w:rsidRDefault="00000000">
            <w:pPr>
              <w:jc w:val="center"/>
            </w:pPr>
            <w:r>
              <w:rPr>
                <w:b/>
                <w:bCs/>
                <w:color w:val="FFFFFF"/>
                <w:sz w:val="28"/>
                <w:szCs w:val="28"/>
              </w:rPr>
              <w:t>H1</w:t>
            </w:r>
          </w:p>
        </w:tc>
        <w:tc>
          <w:tcPr>
            <w:tcW w:w="8560" w:type="dxa"/>
            <w:tcBorders>
              <w:top w:val="nil"/>
              <w:left w:val="nil"/>
              <w:bottom w:val="nil"/>
              <w:right w:val="nil"/>
            </w:tcBorders>
            <w:shd w:val="clear" w:color="auto" w:fill="D6E4F0"/>
            <w:tcMar>
              <w:top w:w="120" w:type="dxa"/>
              <w:left w:w="200" w:type="dxa"/>
              <w:bottom w:w="120" w:type="dxa"/>
              <w:right w:w="120" w:type="dxa"/>
            </w:tcMar>
          </w:tcPr>
          <w:p w14:paraId="03C130D2" w14:textId="77777777" w:rsidR="004C18D9" w:rsidRDefault="00000000">
            <w:proofErr w:type="spellStart"/>
            <w:r>
              <w:rPr>
                <w:b/>
                <w:bCs/>
                <w:color w:val="1F3864"/>
                <w:sz w:val="24"/>
                <w:szCs w:val="24"/>
              </w:rPr>
              <w:t>Gaming</w:t>
            </w:r>
            <w:proofErr w:type="spellEnd"/>
            <w:r>
              <w:rPr>
                <w:b/>
                <w:bCs/>
                <w:color w:val="1F3864"/>
                <w:sz w:val="24"/>
                <w:szCs w:val="24"/>
              </w:rPr>
              <w:t xml:space="preserve"> de </w:t>
            </w:r>
            <w:proofErr w:type="spellStart"/>
            <w:r>
              <w:rPr>
                <w:b/>
                <w:bCs/>
                <w:color w:val="1F3864"/>
                <w:sz w:val="24"/>
                <w:szCs w:val="24"/>
              </w:rPr>
              <w:t>benchmarks</w:t>
            </w:r>
            <w:proofErr w:type="spellEnd"/>
            <w:r>
              <w:rPr>
                <w:b/>
                <w:bCs/>
                <w:color w:val="1F3864"/>
                <w:sz w:val="24"/>
                <w:szCs w:val="24"/>
              </w:rPr>
              <w:t>: resultados aparentes sin mejora real</w:t>
            </w:r>
          </w:p>
        </w:tc>
      </w:tr>
      <w:tr w:rsidR="004C18D9" w14:paraId="7459C814" w14:textId="77777777">
        <w:tc>
          <w:tcPr>
            <w:tcW w:w="9360" w:type="dxa"/>
            <w:gridSpan w:val="2"/>
            <w:tcBorders>
              <w:top w:val="single" w:sz="1" w:space="0" w:color="BBCDE0"/>
              <w:left w:val="single" w:sz="1" w:space="0" w:color="BBCDE0"/>
              <w:bottom w:val="single" w:sz="1" w:space="0" w:color="BBCDE0"/>
              <w:right w:val="single" w:sz="1" w:space="0" w:color="BBCDE0"/>
            </w:tcBorders>
            <w:shd w:val="clear" w:color="auto" w:fill="FFFFFF"/>
            <w:tcMar>
              <w:top w:w="100" w:type="dxa"/>
              <w:left w:w="200" w:type="dxa"/>
              <w:bottom w:w="100" w:type="dxa"/>
              <w:right w:w="200" w:type="dxa"/>
            </w:tcMar>
          </w:tcPr>
          <w:p w14:paraId="68EAC013" w14:textId="77777777" w:rsidR="004C18D9" w:rsidRDefault="00000000">
            <w:pPr>
              <w:spacing w:after="60"/>
            </w:pPr>
            <w:r>
              <w:rPr>
                <w:b/>
                <w:bCs/>
                <w:color w:val="1F3864"/>
              </w:rPr>
              <w:t xml:space="preserve">Qué afirma: </w:t>
            </w:r>
            <w:r>
              <w:rPr>
                <w:color w:val="404040"/>
              </w:rPr>
              <w:t xml:space="preserve">La optimización de métricas y </w:t>
            </w:r>
            <w:proofErr w:type="spellStart"/>
            <w:r>
              <w:rPr>
                <w:color w:val="404040"/>
              </w:rPr>
              <w:t>benchmarks</w:t>
            </w:r>
            <w:proofErr w:type="spellEnd"/>
            <w:r>
              <w:rPr>
                <w:color w:val="404040"/>
              </w:rPr>
              <w:t xml:space="preserve"> en sistemas de IA puede generar resultados positivos aparentes sin mejorar la capacidad real del sistema, ilustrando directamente el efecto Goodhart. Singh et al. (2025) documentaron que proveedores de LLM prueban múltiples variantes privadas y publican solo los mejores resultados, distorsionando rankings públicos.</w:t>
            </w:r>
          </w:p>
          <w:p w14:paraId="10D78EFE" w14:textId="77777777" w:rsidR="004C18D9" w:rsidRDefault="00000000">
            <w:pPr>
              <w:spacing w:before="60" w:after="60"/>
            </w:pPr>
            <w:r>
              <w:rPr>
                <w:b/>
                <w:bCs/>
                <w:color w:val="1F3864"/>
              </w:rPr>
              <w:t xml:space="preserve">Evidencia: </w:t>
            </w:r>
            <w:r>
              <w:rPr>
                <w:color w:val="404040"/>
              </w:rPr>
              <w:t xml:space="preserve">S1 (Goodhart, 1975) — ley fundacional; S2 (Singh et al., 2025) — estudio empírico sobre manipulación de </w:t>
            </w:r>
            <w:proofErr w:type="spellStart"/>
            <w:r>
              <w:rPr>
                <w:color w:val="404040"/>
              </w:rPr>
              <w:t>leaderboards</w:t>
            </w:r>
            <w:proofErr w:type="spellEnd"/>
            <w:r>
              <w:rPr>
                <w:color w:val="404040"/>
              </w:rPr>
              <w:t xml:space="preserve"> LLM.</w:t>
            </w:r>
          </w:p>
          <w:p w14:paraId="389563F1" w14:textId="77777777" w:rsidR="004C18D9" w:rsidRDefault="00000000">
            <w:pPr>
              <w:spacing w:before="80" w:after="40"/>
            </w:pPr>
            <w:r>
              <w:rPr>
                <w:b/>
                <w:bCs/>
                <w:color w:val="1E7D3A"/>
              </w:rPr>
              <w:t>✔ Pros / Beneficios</w:t>
            </w:r>
          </w:p>
          <w:p w14:paraId="5627DAD5" w14:textId="77777777" w:rsidR="004C18D9" w:rsidRDefault="00000000">
            <w:pPr>
              <w:pStyle w:val="Prrafodelista"/>
              <w:numPr>
                <w:ilvl w:val="0"/>
                <w:numId w:val="2"/>
              </w:numPr>
              <w:spacing w:before="30" w:after="30"/>
            </w:pPr>
            <w:r>
              <w:rPr>
                <w:color w:val="404040"/>
                <w:sz w:val="20"/>
                <w:szCs w:val="20"/>
              </w:rPr>
              <w:t>Incentiva diseños de evaluación más robustos y diversificados.</w:t>
            </w:r>
          </w:p>
          <w:p w14:paraId="520305C1" w14:textId="77777777" w:rsidR="004C18D9" w:rsidRDefault="00000000">
            <w:pPr>
              <w:pStyle w:val="Prrafodelista"/>
              <w:numPr>
                <w:ilvl w:val="0"/>
                <w:numId w:val="2"/>
              </w:numPr>
              <w:spacing w:before="30" w:after="30"/>
            </w:pPr>
            <w:r>
              <w:rPr>
                <w:color w:val="404040"/>
                <w:sz w:val="20"/>
                <w:szCs w:val="20"/>
              </w:rPr>
              <w:t xml:space="preserve">Promueve el uso de </w:t>
            </w:r>
            <w:proofErr w:type="spellStart"/>
            <w:r>
              <w:rPr>
                <w:color w:val="404040"/>
                <w:sz w:val="20"/>
                <w:szCs w:val="20"/>
              </w:rPr>
              <w:t>datasets</w:t>
            </w:r>
            <w:proofErr w:type="spellEnd"/>
            <w:r>
              <w:rPr>
                <w:color w:val="404040"/>
                <w:sz w:val="20"/>
                <w:szCs w:val="20"/>
              </w:rPr>
              <w:t xml:space="preserve"> de prueba no públicos y rotación de </w:t>
            </w:r>
            <w:proofErr w:type="spellStart"/>
            <w:r>
              <w:rPr>
                <w:color w:val="404040"/>
                <w:sz w:val="20"/>
                <w:szCs w:val="20"/>
              </w:rPr>
              <w:t>benchmarks</w:t>
            </w:r>
            <w:proofErr w:type="spellEnd"/>
            <w:r>
              <w:rPr>
                <w:color w:val="404040"/>
                <w:sz w:val="20"/>
                <w:szCs w:val="20"/>
              </w:rPr>
              <w:t>.</w:t>
            </w:r>
          </w:p>
          <w:p w14:paraId="590097ED" w14:textId="77777777" w:rsidR="004C18D9" w:rsidRDefault="00000000">
            <w:pPr>
              <w:pStyle w:val="Prrafodelista"/>
              <w:numPr>
                <w:ilvl w:val="0"/>
                <w:numId w:val="2"/>
              </w:numPr>
              <w:spacing w:before="30" w:after="30"/>
            </w:pPr>
            <w:r>
              <w:rPr>
                <w:color w:val="404040"/>
                <w:sz w:val="20"/>
                <w:szCs w:val="20"/>
              </w:rPr>
              <w:t xml:space="preserve">Aumenta la confianza en los resultados al detectar </w:t>
            </w:r>
            <w:proofErr w:type="spellStart"/>
            <w:r>
              <w:rPr>
                <w:color w:val="404040"/>
                <w:sz w:val="20"/>
                <w:szCs w:val="20"/>
              </w:rPr>
              <w:t>gaming</w:t>
            </w:r>
            <w:proofErr w:type="spellEnd"/>
            <w:r>
              <w:rPr>
                <w:color w:val="404040"/>
                <w:sz w:val="20"/>
                <w:szCs w:val="20"/>
              </w:rPr>
              <w:t xml:space="preserve"> tempranamente.</w:t>
            </w:r>
          </w:p>
          <w:p w14:paraId="06D13EA3" w14:textId="77777777" w:rsidR="004C18D9" w:rsidRDefault="00000000">
            <w:pPr>
              <w:spacing w:before="80" w:after="40"/>
            </w:pPr>
            <w:r>
              <w:rPr>
                <w:b/>
                <w:bCs/>
                <w:color w:val="C00000"/>
              </w:rPr>
              <w:t>✘ Contras / Riesgos</w:t>
            </w:r>
          </w:p>
          <w:p w14:paraId="245C9708" w14:textId="77777777" w:rsidR="004C18D9" w:rsidRDefault="00000000">
            <w:pPr>
              <w:pStyle w:val="Prrafodelista"/>
              <w:numPr>
                <w:ilvl w:val="0"/>
                <w:numId w:val="2"/>
              </w:numPr>
              <w:spacing w:before="30" w:after="30"/>
            </w:pPr>
            <w:r>
              <w:rPr>
                <w:color w:val="404040"/>
                <w:sz w:val="20"/>
                <w:szCs w:val="20"/>
              </w:rPr>
              <w:t>Rediseñar métricas requiere esfuerzo organizacional significativo.</w:t>
            </w:r>
          </w:p>
          <w:p w14:paraId="0F1AE101" w14:textId="77777777" w:rsidR="004C18D9" w:rsidRDefault="00000000">
            <w:pPr>
              <w:pStyle w:val="Prrafodelista"/>
              <w:numPr>
                <w:ilvl w:val="0"/>
                <w:numId w:val="2"/>
              </w:numPr>
              <w:spacing w:before="30" w:after="30"/>
            </w:pPr>
            <w:r>
              <w:rPr>
                <w:color w:val="404040"/>
                <w:sz w:val="20"/>
                <w:szCs w:val="20"/>
              </w:rPr>
              <w:t xml:space="preserve">El </w:t>
            </w:r>
            <w:proofErr w:type="spellStart"/>
            <w:r>
              <w:rPr>
                <w:color w:val="404040"/>
                <w:sz w:val="20"/>
                <w:szCs w:val="20"/>
              </w:rPr>
              <w:t>gaming</w:t>
            </w:r>
            <w:proofErr w:type="spellEnd"/>
            <w:r>
              <w:rPr>
                <w:color w:val="404040"/>
                <w:sz w:val="20"/>
                <w:szCs w:val="20"/>
              </w:rPr>
              <w:t xml:space="preserve"> puede migrar hacia las nuevas métricas si no se abordan incentivos sistémicos.</w:t>
            </w:r>
          </w:p>
          <w:p w14:paraId="1536A7B3" w14:textId="77777777" w:rsidR="004C18D9" w:rsidRDefault="00000000">
            <w:pPr>
              <w:pStyle w:val="Prrafodelista"/>
              <w:numPr>
                <w:ilvl w:val="0"/>
                <w:numId w:val="2"/>
              </w:numPr>
              <w:spacing w:before="30" w:after="30"/>
            </w:pPr>
            <w:proofErr w:type="spellStart"/>
            <w:r>
              <w:rPr>
                <w:color w:val="404040"/>
                <w:sz w:val="20"/>
                <w:szCs w:val="20"/>
              </w:rPr>
              <w:t>Benchmarks</w:t>
            </w:r>
            <w:proofErr w:type="spellEnd"/>
            <w:r>
              <w:rPr>
                <w:color w:val="404040"/>
                <w:sz w:val="20"/>
                <w:szCs w:val="20"/>
              </w:rPr>
              <w:t xml:space="preserve"> privados pueden introducir sesgo de evaluación si no tienen gobernanza independiente.</w:t>
            </w:r>
          </w:p>
          <w:p w14:paraId="6CCC4AAD" w14:textId="77777777" w:rsidR="004C18D9" w:rsidRDefault="00000000">
            <w:pPr>
              <w:spacing w:before="80" w:after="40"/>
            </w:pPr>
            <w:proofErr w:type="gramStart"/>
            <w:r>
              <w:rPr>
                <w:b/>
                <w:bCs/>
                <w:color w:val="1F3864"/>
              </w:rPr>
              <w:t>Cuándo</w:t>
            </w:r>
            <w:proofErr w:type="gramEnd"/>
            <w:r>
              <w:rPr>
                <w:b/>
                <w:bCs/>
                <w:color w:val="1F3864"/>
              </w:rPr>
              <w:t xml:space="preserve"> aplicar: </w:t>
            </w:r>
            <w:r>
              <w:rPr>
                <w:color w:val="404040"/>
              </w:rPr>
              <w:t>Aplicable a sistemas de IA evaluados mediante métricas cuantitativas o rankings públicos, especialmente cuando los resultados afectan decisiones de producción o reputación institucional.</w:t>
            </w:r>
          </w:p>
        </w:tc>
      </w:tr>
    </w:tbl>
    <w:p w14:paraId="335DA393"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C18D9" w14:paraId="6C85604A" w14:textId="77777777">
        <w:tc>
          <w:tcPr>
            <w:tcW w:w="800" w:type="dxa"/>
            <w:tcBorders>
              <w:top w:val="nil"/>
              <w:left w:val="nil"/>
              <w:bottom w:val="nil"/>
              <w:right w:val="nil"/>
            </w:tcBorders>
            <w:shd w:val="clear" w:color="auto" w:fill="2E75B6"/>
            <w:tcMar>
              <w:top w:w="120" w:type="dxa"/>
              <w:left w:w="120" w:type="dxa"/>
              <w:bottom w:w="120" w:type="dxa"/>
              <w:right w:w="120" w:type="dxa"/>
            </w:tcMar>
            <w:vAlign w:val="center"/>
          </w:tcPr>
          <w:p w14:paraId="2A58FF11" w14:textId="77777777" w:rsidR="004C18D9" w:rsidRDefault="00000000">
            <w:pPr>
              <w:jc w:val="center"/>
            </w:pPr>
            <w:r>
              <w:rPr>
                <w:b/>
                <w:bCs/>
                <w:color w:val="FFFFFF"/>
                <w:sz w:val="28"/>
                <w:szCs w:val="28"/>
              </w:rPr>
              <w:t>H2</w:t>
            </w:r>
          </w:p>
        </w:tc>
        <w:tc>
          <w:tcPr>
            <w:tcW w:w="8560" w:type="dxa"/>
            <w:tcBorders>
              <w:top w:val="nil"/>
              <w:left w:val="nil"/>
              <w:bottom w:val="nil"/>
              <w:right w:val="nil"/>
            </w:tcBorders>
            <w:shd w:val="clear" w:color="auto" w:fill="D6E4F0"/>
            <w:tcMar>
              <w:top w:w="120" w:type="dxa"/>
              <w:left w:w="200" w:type="dxa"/>
              <w:bottom w:w="120" w:type="dxa"/>
              <w:right w:w="120" w:type="dxa"/>
            </w:tcMar>
          </w:tcPr>
          <w:p w14:paraId="333DFFA6" w14:textId="77777777" w:rsidR="004C18D9" w:rsidRDefault="00000000">
            <w:r>
              <w:rPr>
                <w:b/>
                <w:bCs/>
                <w:color w:val="1F3864"/>
                <w:sz w:val="24"/>
                <w:szCs w:val="24"/>
              </w:rPr>
              <w:t xml:space="preserve">Auditorías </w:t>
            </w:r>
            <w:proofErr w:type="spellStart"/>
            <w:r>
              <w:rPr>
                <w:b/>
                <w:bCs/>
                <w:color w:val="1F3864"/>
                <w:sz w:val="24"/>
                <w:szCs w:val="24"/>
              </w:rPr>
              <w:t>black</w:t>
            </w:r>
            <w:proofErr w:type="spellEnd"/>
            <w:r>
              <w:rPr>
                <w:b/>
                <w:bCs/>
                <w:color w:val="1F3864"/>
                <w:sz w:val="24"/>
                <w:szCs w:val="24"/>
              </w:rPr>
              <w:t>-box: acceso limitado = evaluación incompleta</w:t>
            </w:r>
          </w:p>
        </w:tc>
      </w:tr>
      <w:tr w:rsidR="004C18D9" w14:paraId="1A5E11AB" w14:textId="77777777">
        <w:tc>
          <w:tcPr>
            <w:tcW w:w="9360" w:type="dxa"/>
            <w:gridSpan w:val="2"/>
            <w:tcBorders>
              <w:top w:val="single" w:sz="1" w:space="0" w:color="BBCDE0"/>
              <w:left w:val="single" w:sz="1" w:space="0" w:color="BBCDE0"/>
              <w:bottom w:val="single" w:sz="1" w:space="0" w:color="BBCDE0"/>
              <w:right w:val="single" w:sz="1" w:space="0" w:color="BBCDE0"/>
            </w:tcBorders>
            <w:shd w:val="clear" w:color="auto" w:fill="FFFFFF"/>
            <w:tcMar>
              <w:top w:w="100" w:type="dxa"/>
              <w:left w:w="200" w:type="dxa"/>
              <w:bottom w:w="100" w:type="dxa"/>
              <w:right w:w="200" w:type="dxa"/>
            </w:tcMar>
          </w:tcPr>
          <w:p w14:paraId="53CBE0AE" w14:textId="77777777" w:rsidR="004C18D9" w:rsidRDefault="00000000">
            <w:pPr>
              <w:spacing w:after="60"/>
            </w:pPr>
            <w:r>
              <w:rPr>
                <w:b/>
                <w:bCs/>
                <w:color w:val="1F3864"/>
              </w:rPr>
              <w:t xml:space="preserve">Qué afirma: </w:t>
            </w:r>
            <w:r>
              <w:rPr>
                <w:color w:val="404040"/>
              </w:rPr>
              <w:t>Las auditorías algorítmicas con acceso limitado (</w:t>
            </w:r>
            <w:proofErr w:type="spellStart"/>
            <w:r>
              <w:rPr>
                <w:color w:val="404040"/>
              </w:rPr>
              <w:t>black</w:t>
            </w:r>
            <w:proofErr w:type="spellEnd"/>
            <w:r>
              <w:rPr>
                <w:color w:val="404040"/>
              </w:rPr>
              <w:t xml:space="preserve">-box) no permiten evaluar de manera completa los riesgos y comportamientos emergentes de los modelos de IA. Casper et al. (2024) demostraron que este modo de auditoría falla especialmente en detectar fallas ocultas, </w:t>
            </w:r>
            <w:proofErr w:type="spellStart"/>
            <w:r>
              <w:rPr>
                <w:color w:val="404040"/>
              </w:rPr>
              <w:t>backdoors</w:t>
            </w:r>
            <w:proofErr w:type="spellEnd"/>
            <w:r>
              <w:rPr>
                <w:color w:val="404040"/>
              </w:rPr>
              <w:t xml:space="preserve"> y comportamientos adversariales.</w:t>
            </w:r>
          </w:p>
          <w:p w14:paraId="4F775F55" w14:textId="77777777" w:rsidR="004C18D9" w:rsidRDefault="00000000">
            <w:pPr>
              <w:spacing w:before="60" w:after="60"/>
            </w:pPr>
            <w:r>
              <w:rPr>
                <w:b/>
                <w:bCs/>
                <w:color w:val="1F3864"/>
              </w:rPr>
              <w:t xml:space="preserve">Evidencia: </w:t>
            </w:r>
            <w:r>
              <w:rPr>
                <w:color w:val="404040"/>
              </w:rPr>
              <w:t xml:space="preserve">S3 (Casper et al., 2024) — </w:t>
            </w:r>
            <w:proofErr w:type="spellStart"/>
            <w:r>
              <w:rPr>
                <w:color w:val="404040"/>
              </w:rPr>
              <w:t>paper</w:t>
            </w:r>
            <w:proofErr w:type="spellEnd"/>
            <w:r>
              <w:rPr>
                <w:color w:val="404040"/>
              </w:rPr>
              <w:t xml:space="preserve"> </w:t>
            </w:r>
            <w:proofErr w:type="spellStart"/>
            <w:r>
              <w:rPr>
                <w:color w:val="404040"/>
              </w:rPr>
              <w:t>arXiv</w:t>
            </w:r>
            <w:proofErr w:type="spellEnd"/>
            <w:r>
              <w:rPr>
                <w:color w:val="404040"/>
              </w:rPr>
              <w:t xml:space="preserve"> con evidencia empírica sobre limitaciones de </w:t>
            </w:r>
            <w:proofErr w:type="spellStart"/>
            <w:r>
              <w:rPr>
                <w:color w:val="404040"/>
              </w:rPr>
              <w:t>black</w:t>
            </w:r>
            <w:proofErr w:type="spellEnd"/>
            <w:r>
              <w:rPr>
                <w:color w:val="404040"/>
              </w:rPr>
              <w:t xml:space="preserve">-box </w:t>
            </w:r>
            <w:proofErr w:type="spellStart"/>
            <w:r>
              <w:rPr>
                <w:color w:val="404040"/>
              </w:rPr>
              <w:t>audits</w:t>
            </w:r>
            <w:proofErr w:type="spellEnd"/>
            <w:r>
              <w:rPr>
                <w:color w:val="404040"/>
              </w:rPr>
              <w:t>.</w:t>
            </w:r>
          </w:p>
          <w:p w14:paraId="31911DD7" w14:textId="77777777" w:rsidR="004C18D9" w:rsidRDefault="00000000">
            <w:pPr>
              <w:spacing w:before="80" w:after="40"/>
            </w:pPr>
            <w:r>
              <w:rPr>
                <w:b/>
                <w:bCs/>
                <w:color w:val="1E7D3A"/>
              </w:rPr>
              <w:t>✔ Pros / Beneficios</w:t>
            </w:r>
          </w:p>
          <w:p w14:paraId="27329268" w14:textId="77777777" w:rsidR="004C18D9" w:rsidRDefault="00000000">
            <w:pPr>
              <w:pStyle w:val="Prrafodelista"/>
              <w:numPr>
                <w:ilvl w:val="0"/>
                <w:numId w:val="2"/>
              </w:numPr>
              <w:spacing w:before="30" w:after="30"/>
            </w:pPr>
            <w:r>
              <w:rPr>
                <w:color w:val="404040"/>
                <w:sz w:val="20"/>
                <w:szCs w:val="20"/>
              </w:rPr>
              <w:t>Impulsa el desarrollo de estándares de auditoría más completos (</w:t>
            </w:r>
            <w:proofErr w:type="spellStart"/>
            <w:r>
              <w:rPr>
                <w:color w:val="404040"/>
                <w:sz w:val="20"/>
                <w:szCs w:val="20"/>
              </w:rPr>
              <w:t>white</w:t>
            </w:r>
            <w:proofErr w:type="spellEnd"/>
            <w:r>
              <w:rPr>
                <w:color w:val="404040"/>
                <w:sz w:val="20"/>
                <w:szCs w:val="20"/>
              </w:rPr>
              <w:t xml:space="preserve">-box + </w:t>
            </w:r>
            <w:proofErr w:type="spellStart"/>
            <w:r>
              <w:rPr>
                <w:color w:val="404040"/>
                <w:sz w:val="20"/>
                <w:szCs w:val="20"/>
              </w:rPr>
              <w:t>black</w:t>
            </w:r>
            <w:proofErr w:type="spellEnd"/>
            <w:r>
              <w:rPr>
                <w:color w:val="404040"/>
                <w:sz w:val="20"/>
                <w:szCs w:val="20"/>
              </w:rPr>
              <w:t>-box).</w:t>
            </w:r>
          </w:p>
          <w:p w14:paraId="5A275654" w14:textId="77777777" w:rsidR="004C18D9" w:rsidRDefault="00000000">
            <w:pPr>
              <w:pStyle w:val="Prrafodelista"/>
              <w:numPr>
                <w:ilvl w:val="0"/>
                <w:numId w:val="2"/>
              </w:numPr>
              <w:spacing w:before="30" w:after="30"/>
            </w:pPr>
            <w:r>
              <w:rPr>
                <w:color w:val="404040"/>
                <w:sz w:val="20"/>
                <w:szCs w:val="20"/>
              </w:rPr>
              <w:t>Estimula la negociación de acuerdos de acceso técnico entre auditores y desarrolladores.</w:t>
            </w:r>
          </w:p>
          <w:p w14:paraId="3227B759" w14:textId="77777777" w:rsidR="004C18D9" w:rsidRDefault="00000000">
            <w:pPr>
              <w:pStyle w:val="Prrafodelista"/>
              <w:numPr>
                <w:ilvl w:val="0"/>
                <w:numId w:val="2"/>
              </w:numPr>
              <w:spacing w:before="30" w:after="30"/>
            </w:pPr>
            <w:r>
              <w:rPr>
                <w:color w:val="404040"/>
                <w:sz w:val="20"/>
                <w:szCs w:val="20"/>
              </w:rPr>
              <w:t>Mejora la detección de riesgos ocultos y comportamientos emergentes.</w:t>
            </w:r>
          </w:p>
          <w:p w14:paraId="38B19B36" w14:textId="77777777" w:rsidR="004C18D9" w:rsidRDefault="00000000">
            <w:pPr>
              <w:spacing w:before="80" w:after="40"/>
            </w:pPr>
            <w:r>
              <w:rPr>
                <w:b/>
                <w:bCs/>
                <w:color w:val="C00000"/>
              </w:rPr>
              <w:t>✘ Contras / Riesgos</w:t>
            </w:r>
          </w:p>
          <w:p w14:paraId="109C4435" w14:textId="77777777" w:rsidR="004C18D9" w:rsidRDefault="00000000">
            <w:pPr>
              <w:pStyle w:val="Prrafodelista"/>
              <w:numPr>
                <w:ilvl w:val="0"/>
                <w:numId w:val="2"/>
              </w:numPr>
              <w:spacing w:before="30" w:after="30"/>
            </w:pPr>
            <w:r>
              <w:rPr>
                <w:color w:val="404040"/>
                <w:sz w:val="20"/>
                <w:szCs w:val="20"/>
              </w:rPr>
              <w:t xml:space="preserve">La auditoría </w:t>
            </w:r>
            <w:proofErr w:type="spellStart"/>
            <w:r>
              <w:rPr>
                <w:color w:val="404040"/>
                <w:sz w:val="20"/>
                <w:szCs w:val="20"/>
              </w:rPr>
              <w:t>white</w:t>
            </w:r>
            <w:proofErr w:type="spellEnd"/>
            <w:r>
              <w:rPr>
                <w:color w:val="404040"/>
                <w:sz w:val="20"/>
                <w:szCs w:val="20"/>
              </w:rPr>
              <w:t>-box requiere acceso al código y arquitectura, que muchos proveedores no comparten.</w:t>
            </w:r>
          </w:p>
          <w:p w14:paraId="55F153B5" w14:textId="77777777" w:rsidR="004C18D9" w:rsidRDefault="00000000">
            <w:pPr>
              <w:pStyle w:val="Prrafodelista"/>
              <w:numPr>
                <w:ilvl w:val="0"/>
                <w:numId w:val="2"/>
              </w:numPr>
              <w:spacing w:before="30" w:after="30"/>
            </w:pPr>
            <w:r>
              <w:rPr>
                <w:color w:val="404040"/>
                <w:sz w:val="20"/>
                <w:szCs w:val="20"/>
              </w:rPr>
              <w:t>Mayor coste y complejidad operativa de las auditorías.</w:t>
            </w:r>
          </w:p>
          <w:p w14:paraId="26253846" w14:textId="77777777" w:rsidR="004C18D9" w:rsidRDefault="00000000">
            <w:pPr>
              <w:pStyle w:val="Prrafodelista"/>
              <w:numPr>
                <w:ilvl w:val="0"/>
                <w:numId w:val="2"/>
              </w:numPr>
              <w:spacing w:before="30" w:after="30"/>
            </w:pPr>
            <w:r>
              <w:rPr>
                <w:color w:val="404040"/>
                <w:sz w:val="20"/>
                <w:szCs w:val="20"/>
              </w:rPr>
              <w:t>Riesgo de filtración de propiedad intelectual si el acceso no está bien regulado.</w:t>
            </w:r>
          </w:p>
          <w:p w14:paraId="7CEC9005" w14:textId="77777777" w:rsidR="004C18D9" w:rsidRDefault="00000000">
            <w:pPr>
              <w:spacing w:before="80" w:after="40"/>
            </w:pPr>
            <w:proofErr w:type="gramStart"/>
            <w:r>
              <w:rPr>
                <w:b/>
                <w:bCs/>
                <w:color w:val="1F3864"/>
              </w:rPr>
              <w:t>Cuándo</w:t>
            </w:r>
            <w:proofErr w:type="gramEnd"/>
            <w:r>
              <w:rPr>
                <w:b/>
                <w:bCs/>
                <w:color w:val="1F3864"/>
              </w:rPr>
              <w:t xml:space="preserve"> aplicar: </w:t>
            </w:r>
            <w:r>
              <w:rPr>
                <w:color w:val="404040"/>
              </w:rPr>
              <w:t>Relevante para organizaciones que despliegan sistemas de IA complejos y no tienen acceso completo al código o arquitectura interna del modelo (especialmente sistemas de terceros o SaaS de IA).</w:t>
            </w:r>
          </w:p>
        </w:tc>
      </w:tr>
    </w:tbl>
    <w:p w14:paraId="25D89EB8"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C18D9" w14:paraId="0FD0381B" w14:textId="77777777">
        <w:tc>
          <w:tcPr>
            <w:tcW w:w="800" w:type="dxa"/>
            <w:tcBorders>
              <w:top w:val="nil"/>
              <w:left w:val="nil"/>
              <w:bottom w:val="nil"/>
              <w:right w:val="nil"/>
            </w:tcBorders>
            <w:shd w:val="clear" w:color="auto" w:fill="1F3864"/>
            <w:tcMar>
              <w:top w:w="120" w:type="dxa"/>
              <w:left w:w="120" w:type="dxa"/>
              <w:bottom w:w="120" w:type="dxa"/>
              <w:right w:w="120" w:type="dxa"/>
            </w:tcMar>
            <w:vAlign w:val="center"/>
          </w:tcPr>
          <w:p w14:paraId="024DCB45" w14:textId="77777777" w:rsidR="004C18D9" w:rsidRDefault="00000000">
            <w:pPr>
              <w:jc w:val="center"/>
            </w:pPr>
            <w:r>
              <w:rPr>
                <w:b/>
                <w:bCs/>
                <w:color w:val="FFFFFF"/>
                <w:sz w:val="28"/>
                <w:szCs w:val="28"/>
              </w:rPr>
              <w:t>H3</w:t>
            </w:r>
          </w:p>
        </w:tc>
        <w:tc>
          <w:tcPr>
            <w:tcW w:w="8560" w:type="dxa"/>
            <w:tcBorders>
              <w:top w:val="nil"/>
              <w:left w:val="nil"/>
              <w:bottom w:val="nil"/>
              <w:right w:val="nil"/>
            </w:tcBorders>
            <w:shd w:val="clear" w:color="auto" w:fill="D6E4F0"/>
            <w:tcMar>
              <w:top w:w="120" w:type="dxa"/>
              <w:left w:w="200" w:type="dxa"/>
              <w:bottom w:w="120" w:type="dxa"/>
              <w:right w:w="120" w:type="dxa"/>
            </w:tcMar>
          </w:tcPr>
          <w:p w14:paraId="7D7BC20C" w14:textId="77777777" w:rsidR="004C18D9" w:rsidRDefault="00000000">
            <w:r>
              <w:rPr>
                <w:b/>
                <w:bCs/>
                <w:color w:val="1F3864"/>
                <w:sz w:val="24"/>
                <w:szCs w:val="24"/>
              </w:rPr>
              <w:t>Déficit de estándares: ecosistema de auditoría de IA fragmentado</w:t>
            </w:r>
          </w:p>
        </w:tc>
      </w:tr>
      <w:tr w:rsidR="004C18D9" w14:paraId="2180E5AF" w14:textId="77777777">
        <w:tc>
          <w:tcPr>
            <w:tcW w:w="9360" w:type="dxa"/>
            <w:gridSpan w:val="2"/>
            <w:tcBorders>
              <w:top w:val="single" w:sz="1" w:space="0" w:color="BBCDE0"/>
              <w:left w:val="single" w:sz="1" w:space="0" w:color="BBCDE0"/>
              <w:bottom w:val="single" w:sz="1" w:space="0" w:color="BBCDE0"/>
              <w:right w:val="single" w:sz="1" w:space="0" w:color="BBCDE0"/>
            </w:tcBorders>
            <w:shd w:val="clear" w:color="auto" w:fill="FFFFFF"/>
            <w:tcMar>
              <w:top w:w="100" w:type="dxa"/>
              <w:left w:w="200" w:type="dxa"/>
              <w:bottom w:w="100" w:type="dxa"/>
              <w:right w:w="200" w:type="dxa"/>
            </w:tcMar>
          </w:tcPr>
          <w:p w14:paraId="42052406" w14:textId="77777777" w:rsidR="004C18D9" w:rsidRDefault="00000000">
            <w:pPr>
              <w:spacing w:after="60"/>
            </w:pPr>
            <w:r>
              <w:rPr>
                <w:b/>
                <w:bCs/>
                <w:color w:val="1F3864"/>
              </w:rPr>
              <w:t xml:space="preserve">Qué afirma: </w:t>
            </w:r>
            <w:r>
              <w:rPr>
                <w:color w:val="404040"/>
              </w:rPr>
              <w:t xml:space="preserve">La ausencia de estándares consolidados para auditoría y certificación de sistemas de IA dificulta garantizar </w:t>
            </w:r>
            <w:proofErr w:type="spellStart"/>
            <w:r>
              <w:rPr>
                <w:color w:val="404040"/>
              </w:rPr>
              <w:t>accountability</w:t>
            </w:r>
            <w:proofErr w:type="spellEnd"/>
            <w:r>
              <w:rPr>
                <w:color w:val="404040"/>
              </w:rPr>
              <w:t xml:space="preserve"> y confiabilidad. Costanza-Chock et al. (2023) identifican que el ecosistema carece de mecanismos de verificación independientes, lo que produce auditorías inconsistentes y no comparables entre organizaciones.</w:t>
            </w:r>
          </w:p>
          <w:p w14:paraId="5A43C734" w14:textId="77777777" w:rsidR="004C18D9" w:rsidRPr="001D32D8" w:rsidRDefault="00000000">
            <w:pPr>
              <w:spacing w:before="60" w:after="60"/>
              <w:rPr>
                <w:lang w:val="en-US"/>
              </w:rPr>
            </w:pPr>
            <w:proofErr w:type="spellStart"/>
            <w:r w:rsidRPr="001D32D8">
              <w:rPr>
                <w:b/>
                <w:bCs/>
                <w:color w:val="1F3864"/>
                <w:lang w:val="en-US"/>
              </w:rPr>
              <w:t>Evidencia</w:t>
            </w:r>
            <w:proofErr w:type="spellEnd"/>
            <w:r w:rsidRPr="001D32D8">
              <w:rPr>
                <w:b/>
                <w:bCs/>
                <w:color w:val="1F3864"/>
                <w:lang w:val="en-US"/>
              </w:rPr>
              <w:t xml:space="preserve">: </w:t>
            </w:r>
            <w:r w:rsidRPr="001D32D8">
              <w:rPr>
                <w:color w:val="404040"/>
                <w:lang w:val="en-US"/>
              </w:rPr>
              <w:t xml:space="preserve">S4 (Costanza-Chock et al., </w:t>
            </w:r>
            <w:proofErr w:type="gramStart"/>
            <w:r w:rsidRPr="001D32D8">
              <w:rPr>
                <w:color w:val="404040"/>
                <w:lang w:val="en-US"/>
              </w:rPr>
              <w:t>2023) —</w:t>
            </w:r>
            <w:proofErr w:type="gramEnd"/>
            <w:r w:rsidRPr="001D32D8">
              <w:rPr>
                <w:color w:val="404040"/>
                <w:lang w:val="en-US"/>
              </w:rPr>
              <w:t xml:space="preserve"> Who Audits the Auditors? </w:t>
            </w:r>
            <w:proofErr w:type="spellStart"/>
            <w:r w:rsidRPr="001D32D8">
              <w:rPr>
                <w:color w:val="404040"/>
                <w:lang w:val="en-US"/>
              </w:rPr>
              <w:t>arXiv</w:t>
            </w:r>
            <w:proofErr w:type="spellEnd"/>
            <w:r w:rsidRPr="001D32D8">
              <w:rPr>
                <w:color w:val="404040"/>
                <w:lang w:val="en-US"/>
              </w:rPr>
              <w:t xml:space="preserve">; </w:t>
            </w:r>
            <w:proofErr w:type="spellStart"/>
            <w:r w:rsidRPr="001D32D8">
              <w:rPr>
                <w:color w:val="404040"/>
                <w:lang w:val="en-US"/>
              </w:rPr>
              <w:t>complementado</w:t>
            </w:r>
            <w:proofErr w:type="spellEnd"/>
            <w:r w:rsidRPr="001D32D8">
              <w:rPr>
                <w:color w:val="404040"/>
                <w:lang w:val="en-US"/>
              </w:rPr>
              <w:t xml:space="preserve"> con NIST AI RMF (2023).</w:t>
            </w:r>
          </w:p>
          <w:p w14:paraId="753E0B9A" w14:textId="77777777" w:rsidR="004C18D9" w:rsidRDefault="00000000">
            <w:pPr>
              <w:spacing w:before="80" w:after="40"/>
            </w:pPr>
            <w:r>
              <w:rPr>
                <w:b/>
                <w:bCs/>
                <w:color w:val="1E7D3A"/>
              </w:rPr>
              <w:t>✔ Pros / Beneficios</w:t>
            </w:r>
          </w:p>
          <w:p w14:paraId="684FFA7E" w14:textId="77777777" w:rsidR="004C18D9" w:rsidRDefault="00000000">
            <w:pPr>
              <w:pStyle w:val="Prrafodelista"/>
              <w:numPr>
                <w:ilvl w:val="0"/>
                <w:numId w:val="2"/>
              </w:numPr>
              <w:spacing w:before="30" w:after="30"/>
            </w:pPr>
            <w:r>
              <w:rPr>
                <w:color w:val="404040"/>
                <w:sz w:val="20"/>
                <w:szCs w:val="20"/>
              </w:rPr>
              <w:t>La estandarización reduciría la variabilidad y aumentaría la confianza entre partes.</w:t>
            </w:r>
          </w:p>
          <w:p w14:paraId="5F49B52C" w14:textId="77777777" w:rsidR="004C18D9" w:rsidRDefault="00000000">
            <w:pPr>
              <w:pStyle w:val="Prrafodelista"/>
              <w:numPr>
                <w:ilvl w:val="0"/>
                <w:numId w:val="2"/>
              </w:numPr>
              <w:spacing w:before="30" w:after="30"/>
            </w:pPr>
            <w:r>
              <w:rPr>
                <w:color w:val="404040"/>
                <w:sz w:val="20"/>
                <w:szCs w:val="20"/>
              </w:rPr>
              <w:t>Facilita la comparación y benchmarking entre organizaciones.</w:t>
            </w:r>
          </w:p>
          <w:p w14:paraId="29B84D6D" w14:textId="77777777" w:rsidR="004C18D9" w:rsidRDefault="00000000">
            <w:pPr>
              <w:pStyle w:val="Prrafodelista"/>
              <w:numPr>
                <w:ilvl w:val="0"/>
                <w:numId w:val="2"/>
              </w:numPr>
              <w:spacing w:before="30" w:after="30"/>
            </w:pPr>
            <w:r>
              <w:rPr>
                <w:color w:val="404040"/>
                <w:sz w:val="20"/>
                <w:szCs w:val="20"/>
              </w:rPr>
              <w:t>Los marcos existentes (NIST AI RMF, ISO/IEC 42001) proveen una base de partida sólida.</w:t>
            </w:r>
          </w:p>
          <w:p w14:paraId="1E7F0C6A" w14:textId="77777777" w:rsidR="004C18D9" w:rsidRDefault="00000000">
            <w:pPr>
              <w:spacing w:before="80" w:after="40"/>
            </w:pPr>
            <w:r>
              <w:rPr>
                <w:b/>
                <w:bCs/>
                <w:color w:val="C00000"/>
              </w:rPr>
              <w:t>✘ Contras / Riesgos</w:t>
            </w:r>
          </w:p>
          <w:p w14:paraId="0B0C12BB" w14:textId="77777777" w:rsidR="004C18D9" w:rsidRDefault="00000000">
            <w:pPr>
              <w:pStyle w:val="Prrafodelista"/>
              <w:numPr>
                <w:ilvl w:val="0"/>
                <w:numId w:val="2"/>
              </w:numPr>
              <w:spacing w:before="30" w:after="30"/>
            </w:pPr>
            <w:r>
              <w:rPr>
                <w:color w:val="404040"/>
                <w:sz w:val="20"/>
                <w:szCs w:val="20"/>
              </w:rPr>
              <w:t>El ritmo de cambio tecnológico supera la velocidad de estandarización.</w:t>
            </w:r>
          </w:p>
          <w:p w14:paraId="693749B3" w14:textId="77777777" w:rsidR="004C18D9" w:rsidRDefault="00000000">
            <w:pPr>
              <w:pStyle w:val="Prrafodelista"/>
              <w:numPr>
                <w:ilvl w:val="0"/>
                <w:numId w:val="2"/>
              </w:numPr>
              <w:spacing w:before="30" w:after="30"/>
            </w:pPr>
            <w:r>
              <w:rPr>
                <w:color w:val="404040"/>
                <w:sz w:val="20"/>
                <w:szCs w:val="20"/>
              </w:rPr>
              <w:t xml:space="preserve">Riesgo de que los estándares se conviertan en </w:t>
            </w:r>
            <w:proofErr w:type="spellStart"/>
            <w:r>
              <w:rPr>
                <w:color w:val="404040"/>
                <w:sz w:val="20"/>
                <w:szCs w:val="20"/>
              </w:rPr>
              <w:t>checklists</w:t>
            </w:r>
            <w:proofErr w:type="spellEnd"/>
            <w:r>
              <w:rPr>
                <w:color w:val="404040"/>
                <w:sz w:val="20"/>
                <w:szCs w:val="20"/>
              </w:rPr>
              <w:t xml:space="preserve"> superficiales (</w:t>
            </w:r>
            <w:proofErr w:type="spellStart"/>
            <w:r>
              <w:rPr>
                <w:color w:val="404040"/>
                <w:sz w:val="20"/>
                <w:szCs w:val="20"/>
              </w:rPr>
              <w:t>gaming</w:t>
            </w:r>
            <w:proofErr w:type="spellEnd"/>
            <w:r>
              <w:rPr>
                <w:color w:val="404040"/>
                <w:sz w:val="20"/>
                <w:szCs w:val="20"/>
              </w:rPr>
              <w:t xml:space="preserve"> del estándar).</w:t>
            </w:r>
          </w:p>
          <w:p w14:paraId="091359F5" w14:textId="77777777" w:rsidR="004C18D9" w:rsidRDefault="00000000">
            <w:pPr>
              <w:pStyle w:val="Prrafodelista"/>
              <w:numPr>
                <w:ilvl w:val="0"/>
                <w:numId w:val="2"/>
              </w:numPr>
              <w:spacing w:before="30" w:after="30"/>
            </w:pPr>
            <w:r>
              <w:rPr>
                <w:color w:val="404040"/>
                <w:sz w:val="20"/>
                <w:szCs w:val="20"/>
              </w:rPr>
              <w:t xml:space="preserve">Pueden surgir conflictos entre estándares de distintas jurisdicciones (UE vs. </w:t>
            </w:r>
            <w:proofErr w:type="gramStart"/>
            <w:r>
              <w:rPr>
                <w:color w:val="404040"/>
                <w:sz w:val="20"/>
                <w:szCs w:val="20"/>
              </w:rPr>
              <w:t>EE.UU.</w:t>
            </w:r>
            <w:proofErr w:type="gramEnd"/>
            <w:r>
              <w:rPr>
                <w:color w:val="404040"/>
                <w:sz w:val="20"/>
                <w:szCs w:val="20"/>
              </w:rPr>
              <w:t xml:space="preserve"> vs. Asia).</w:t>
            </w:r>
          </w:p>
          <w:p w14:paraId="466EBE22" w14:textId="77777777" w:rsidR="004C18D9" w:rsidRDefault="00000000">
            <w:pPr>
              <w:spacing w:before="80" w:after="40"/>
            </w:pPr>
            <w:proofErr w:type="gramStart"/>
            <w:r>
              <w:rPr>
                <w:b/>
                <w:bCs/>
                <w:color w:val="1F3864"/>
              </w:rPr>
              <w:t>Cuándo</w:t>
            </w:r>
            <w:proofErr w:type="gramEnd"/>
            <w:r>
              <w:rPr>
                <w:b/>
                <w:bCs/>
                <w:color w:val="1F3864"/>
              </w:rPr>
              <w:t xml:space="preserve"> aplicar: </w:t>
            </w:r>
            <w:r>
              <w:rPr>
                <w:color w:val="404040"/>
              </w:rPr>
              <w:t>Aplica a cualquier organización que dependa de auditorías externas o internas para certificar calidad, seguridad o cumplimiento normativo de sistemas de IA, especialmente en sectores regulados.</w:t>
            </w:r>
          </w:p>
        </w:tc>
      </w:tr>
    </w:tbl>
    <w:p w14:paraId="68F8416A"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C18D9" w14:paraId="2FEAD990" w14:textId="77777777">
        <w:tc>
          <w:tcPr>
            <w:tcW w:w="800" w:type="dxa"/>
            <w:tcBorders>
              <w:top w:val="nil"/>
              <w:left w:val="nil"/>
              <w:bottom w:val="nil"/>
              <w:right w:val="nil"/>
            </w:tcBorders>
            <w:shd w:val="clear" w:color="auto" w:fill="2E75B6"/>
            <w:tcMar>
              <w:top w:w="120" w:type="dxa"/>
              <w:left w:w="120" w:type="dxa"/>
              <w:bottom w:w="120" w:type="dxa"/>
              <w:right w:w="120" w:type="dxa"/>
            </w:tcMar>
            <w:vAlign w:val="center"/>
          </w:tcPr>
          <w:p w14:paraId="16F26D5B" w14:textId="77777777" w:rsidR="004C18D9" w:rsidRDefault="00000000">
            <w:pPr>
              <w:jc w:val="center"/>
            </w:pPr>
            <w:r>
              <w:rPr>
                <w:b/>
                <w:bCs/>
                <w:color w:val="FFFFFF"/>
                <w:sz w:val="28"/>
                <w:szCs w:val="28"/>
              </w:rPr>
              <w:t>H4</w:t>
            </w:r>
          </w:p>
        </w:tc>
        <w:tc>
          <w:tcPr>
            <w:tcW w:w="8560" w:type="dxa"/>
            <w:tcBorders>
              <w:top w:val="nil"/>
              <w:left w:val="nil"/>
              <w:bottom w:val="nil"/>
              <w:right w:val="nil"/>
            </w:tcBorders>
            <w:shd w:val="clear" w:color="auto" w:fill="D6E4F0"/>
            <w:tcMar>
              <w:top w:w="120" w:type="dxa"/>
              <w:left w:w="200" w:type="dxa"/>
              <w:bottom w:w="120" w:type="dxa"/>
              <w:right w:w="120" w:type="dxa"/>
            </w:tcMar>
          </w:tcPr>
          <w:p w14:paraId="6D59FA79" w14:textId="77777777" w:rsidR="004C18D9" w:rsidRDefault="00000000">
            <w:r>
              <w:rPr>
                <w:b/>
                <w:bCs/>
                <w:color w:val="1F3864"/>
                <w:sz w:val="24"/>
                <w:szCs w:val="24"/>
              </w:rPr>
              <w:t>Métricas responsables: evaluar el ciclo de vida completo de la IA</w:t>
            </w:r>
          </w:p>
        </w:tc>
      </w:tr>
      <w:tr w:rsidR="004C18D9" w14:paraId="49277AC3" w14:textId="77777777">
        <w:tc>
          <w:tcPr>
            <w:tcW w:w="9360" w:type="dxa"/>
            <w:gridSpan w:val="2"/>
            <w:tcBorders>
              <w:top w:val="single" w:sz="1" w:space="0" w:color="BBCDE0"/>
              <w:left w:val="single" w:sz="1" w:space="0" w:color="BBCDE0"/>
              <w:bottom w:val="single" w:sz="1" w:space="0" w:color="BBCDE0"/>
              <w:right w:val="single" w:sz="1" w:space="0" w:color="BBCDE0"/>
            </w:tcBorders>
            <w:shd w:val="clear" w:color="auto" w:fill="FFFFFF"/>
            <w:tcMar>
              <w:top w:w="100" w:type="dxa"/>
              <w:left w:w="200" w:type="dxa"/>
              <w:bottom w:w="100" w:type="dxa"/>
              <w:right w:w="200" w:type="dxa"/>
            </w:tcMar>
          </w:tcPr>
          <w:p w14:paraId="5FA9287A" w14:textId="77777777" w:rsidR="004C18D9" w:rsidRDefault="00000000">
            <w:pPr>
              <w:spacing w:after="60"/>
            </w:pPr>
            <w:r>
              <w:rPr>
                <w:b/>
                <w:bCs/>
                <w:color w:val="1F3864"/>
              </w:rPr>
              <w:t xml:space="preserve">Qué afirma: </w:t>
            </w:r>
            <w:r>
              <w:rPr>
                <w:color w:val="404040"/>
              </w:rPr>
              <w:t xml:space="preserve">Los marcos de métricas responsables y gobernanza de IA buscan operacionalizar la </w:t>
            </w:r>
            <w:proofErr w:type="spellStart"/>
            <w:r>
              <w:rPr>
                <w:color w:val="404040"/>
              </w:rPr>
              <w:t>accountability</w:t>
            </w:r>
            <w:proofErr w:type="spellEnd"/>
            <w:r>
              <w:rPr>
                <w:color w:val="404040"/>
              </w:rPr>
              <w:t xml:space="preserve"> mediante indicadores que evalúan no solo el desempeño del modelo, sino también los procesos y recursos involucrados en su desarrollo. Xia et al. (2023) proponen un catálogo estructurado de métricas para el ciclo de vida completo.</w:t>
            </w:r>
          </w:p>
          <w:p w14:paraId="7782AEE0" w14:textId="77777777" w:rsidR="004C18D9" w:rsidRDefault="00000000">
            <w:pPr>
              <w:spacing w:before="60" w:after="60"/>
            </w:pPr>
            <w:r>
              <w:rPr>
                <w:b/>
                <w:bCs/>
                <w:color w:val="1F3864"/>
              </w:rPr>
              <w:t xml:space="preserve">Evidencia: </w:t>
            </w:r>
            <w:r>
              <w:rPr>
                <w:color w:val="404040"/>
              </w:rPr>
              <w:t xml:space="preserve">S5 (Xia et al., 2023) — </w:t>
            </w:r>
            <w:proofErr w:type="spellStart"/>
            <w:r>
              <w:rPr>
                <w:color w:val="404040"/>
              </w:rPr>
              <w:t>Towards</w:t>
            </w:r>
            <w:proofErr w:type="spellEnd"/>
            <w:r>
              <w:rPr>
                <w:color w:val="404040"/>
              </w:rPr>
              <w:t xml:space="preserve"> a </w:t>
            </w:r>
            <w:proofErr w:type="spellStart"/>
            <w:r>
              <w:rPr>
                <w:color w:val="404040"/>
              </w:rPr>
              <w:t>Responsible</w:t>
            </w:r>
            <w:proofErr w:type="spellEnd"/>
            <w:r>
              <w:rPr>
                <w:color w:val="404040"/>
              </w:rPr>
              <w:t xml:space="preserve"> AI </w:t>
            </w:r>
            <w:proofErr w:type="spellStart"/>
            <w:r>
              <w:rPr>
                <w:color w:val="404040"/>
              </w:rPr>
              <w:t>Metrics</w:t>
            </w:r>
            <w:proofErr w:type="spellEnd"/>
            <w:r>
              <w:rPr>
                <w:color w:val="404040"/>
              </w:rPr>
              <w:t xml:space="preserve"> Catalogue, </w:t>
            </w:r>
            <w:proofErr w:type="spellStart"/>
            <w:r>
              <w:rPr>
                <w:color w:val="404040"/>
              </w:rPr>
              <w:t>arXiv</w:t>
            </w:r>
            <w:proofErr w:type="spellEnd"/>
            <w:r>
              <w:rPr>
                <w:color w:val="404040"/>
              </w:rPr>
              <w:t>; OECD (2023) — framework de clasificación de IA.</w:t>
            </w:r>
          </w:p>
          <w:p w14:paraId="6B7BD06B" w14:textId="77777777" w:rsidR="004C18D9" w:rsidRDefault="00000000">
            <w:pPr>
              <w:spacing w:before="80" w:after="40"/>
            </w:pPr>
            <w:r>
              <w:rPr>
                <w:b/>
                <w:bCs/>
                <w:color w:val="1E7D3A"/>
              </w:rPr>
              <w:t>✔ Pros / Beneficios</w:t>
            </w:r>
          </w:p>
          <w:p w14:paraId="07F77B41" w14:textId="77777777" w:rsidR="004C18D9" w:rsidRDefault="00000000">
            <w:pPr>
              <w:pStyle w:val="Prrafodelista"/>
              <w:numPr>
                <w:ilvl w:val="0"/>
                <w:numId w:val="2"/>
              </w:numPr>
              <w:spacing w:before="30" w:after="30"/>
            </w:pPr>
            <w:r>
              <w:rPr>
                <w:color w:val="404040"/>
                <w:sz w:val="20"/>
                <w:szCs w:val="20"/>
              </w:rPr>
              <w:t>Ofrece una visión holística que reduce puntos ciegos en la evaluación.</w:t>
            </w:r>
          </w:p>
          <w:p w14:paraId="3C40331F" w14:textId="77777777" w:rsidR="004C18D9" w:rsidRDefault="00000000">
            <w:pPr>
              <w:pStyle w:val="Prrafodelista"/>
              <w:numPr>
                <w:ilvl w:val="0"/>
                <w:numId w:val="2"/>
              </w:numPr>
              <w:spacing w:before="30" w:after="30"/>
            </w:pPr>
            <w:r>
              <w:rPr>
                <w:color w:val="404040"/>
                <w:sz w:val="20"/>
                <w:szCs w:val="20"/>
              </w:rPr>
              <w:t>Mejora la trazabilidad y documentación del ciclo de vida del sistema.</w:t>
            </w:r>
          </w:p>
          <w:p w14:paraId="05F6032F" w14:textId="77777777" w:rsidR="004C18D9" w:rsidRDefault="00000000">
            <w:pPr>
              <w:pStyle w:val="Prrafodelista"/>
              <w:numPr>
                <w:ilvl w:val="0"/>
                <w:numId w:val="2"/>
              </w:numPr>
              <w:spacing w:before="30" w:after="30"/>
            </w:pPr>
            <w:r>
              <w:rPr>
                <w:color w:val="404040"/>
                <w:sz w:val="20"/>
                <w:szCs w:val="20"/>
              </w:rPr>
              <w:t xml:space="preserve">Facilita el cumplimiento regulatorio (EU AI </w:t>
            </w:r>
            <w:proofErr w:type="spellStart"/>
            <w:r>
              <w:rPr>
                <w:color w:val="404040"/>
                <w:sz w:val="20"/>
                <w:szCs w:val="20"/>
              </w:rPr>
              <w:t>Act</w:t>
            </w:r>
            <w:proofErr w:type="spellEnd"/>
            <w:r>
              <w:rPr>
                <w:color w:val="404040"/>
                <w:sz w:val="20"/>
                <w:szCs w:val="20"/>
              </w:rPr>
              <w:t>, ISO/IEC 42001).</w:t>
            </w:r>
          </w:p>
          <w:p w14:paraId="49E4CA29" w14:textId="77777777" w:rsidR="004C18D9" w:rsidRDefault="00000000">
            <w:pPr>
              <w:spacing w:before="80" w:after="40"/>
            </w:pPr>
            <w:r>
              <w:rPr>
                <w:b/>
                <w:bCs/>
                <w:color w:val="C00000"/>
              </w:rPr>
              <w:t>✘ Contras / Riesgos</w:t>
            </w:r>
          </w:p>
          <w:p w14:paraId="692C678D" w14:textId="77777777" w:rsidR="004C18D9" w:rsidRDefault="00000000">
            <w:pPr>
              <w:pStyle w:val="Prrafodelista"/>
              <w:numPr>
                <w:ilvl w:val="0"/>
                <w:numId w:val="2"/>
              </w:numPr>
              <w:spacing w:before="30" w:after="30"/>
            </w:pPr>
            <w:r>
              <w:rPr>
                <w:color w:val="404040"/>
                <w:sz w:val="20"/>
                <w:szCs w:val="20"/>
              </w:rPr>
              <w:t xml:space="preserve">Mayor complejidad de implementación y </w:t>
            </w:r>
            <w:proofErr w:type="spellStart"/>
            <w:r>
              <w:rPr>
                <w:color w:val="404040"/>
                <w:sz w:val="20"/>
                <w:szCs w:val="20"/>
              </w:rPr>
              <w:t>overhead</w:t>
            </w:r>
            <w:proofErr w:type="spellEnd"/>
            <w:r>
              <w:rPr>
                <w:color w:val="404040"/>
                <w:sz w:val="20"/>
                <w:szCs w:val="20"/>
              </w:rPr>
              <w:t xml:space="preserve"> de documentación.</w:t>
            </w:r>
          </w:p>
          <w:p w14:paraId="678D7233" w14:textId="77777777" w:rsidR="004C18D9" w:rsidRDefault="00000000">
            <w:pPr>
              <w:pStyle w:val="Prrafodelista"/>
              <w:numPr>
                <w:ilvl w:val="0"/>
                <w:numId w:val="2"/>
              </w:numPr>
              <w:spacing w:before="30" w:after="30"/>
            </w:pPr>
            <w:r>
              <w:rPr>
                <w:color w:val="404040"/>
                <w:sz w:val="20"/>
                <w:szCs w:val="20"/>
              </w:rPr>
              <w:t xml:space="preserve">Riesgo de que métricas de proceso también sean </w:t>
            </w:r>
            <w:proofErr w:type="spellStart"/>
            <w:r>
              <w:rPr>
                <w:color w:val="404040"/>
                <w:sz w:val="20"/>
                <w:szCs w:val="20"/>
              </w:rPr>
              <w:t>gamificadas</w:t>
            </w:r>
            <w:proofErr w:type="spellEnd"/>
            <w:r>
              <w:rPr>
                <w:color w:val="404040"/>
                <w:sz w:val="20"/>
                <w:szCs w:val="20"/>
              </w:rPr>
              <w:t xml:space="preserve"> si se vuelven </w:t>
            </w:r>
            <w:proofErr w:type="spellStart"/>
            <w:r>
              <w:rPr>
                <w:color w:val="404040"/>
                <w:sz w:val="20"/>
                <w:szCs w:val="20"/>
              </w:rPr>
              <w:t>KPIs</w:t>
            </w:r>
            <w:proofErr w:type="spellEnd"/>
            <w:r>
              <w:rPr>
                <w:color w:val="404040"/>
                <w:sz w:val="20"/>
                <w:szCs w:val="20"/>
              </w:rPr>
              <w:t xml:space="preserve"> formales.</w:t>
            </w:r>
          </w:p>
          <w:p w14:paraId="3862F089" w14:textId="77777777" w:rsidR="004C18D9" w:rsidRDefault="00000000">
            <w:pPr>
              <w:pStyle w:val="Prrafodelista"/>
              <w:numPr>
                <w:ilvl w:val="0"/>
                <w:numId w:val="2"/>
              </w:numPr>
              <w:spacing w:before="30" w:after="30"/>
            </w:pPr>
            <w:r>
              <w:rPr>
                <w:color w:val="404040"/>
                <w:sz w:val="20"/>
                <w:szCs w:val="20"/>
              </w:rPr>
              <w:t>Requiere cultura organizacional de calidad madura para ser efectivo.</w:t>
            </w:r>
          </w:p>
          <w:p w14:paraId="46B281B9" w14:textId="77777777" w:rsidR="004C18D9" w:rsidRDefault="00000000">
            <w:pPr>
              <w:spacing w:before="80" w:after="40"/>
            </w:pPr>
            <w:proofErr w:type="gramStart"/>
            <w:r>
              <w:rPr>
                <w:b/>
                <w:bCs/>
                <w:color w:val="1F3864"/>
              </w:rPr>
              <w:t>Cuándo</w:t>
            </w:r>
            <w:proofErr w:type="gramEnd"/>
            <w:r>
              <w:rPr>
                <w:b/>
                <w:bCs/>
                <w:color w:val="1F3864"/>
              </w:rPr>
              <w:t xml:space="preserve"> aplicar: </w:t>
            </w:r>
            <w:r>
              <w:rPr>
                <w:color w:val="404040"/>
              </w:rPr>
              <w:t xml:space="preserve">Aplicable en organizaciones que implementan marcos de gobernanza de IA o prácticas de </w:t>
            </w:r>
            <w:proofErr w:type="spellStart"/>
            <w:r>
              <w:rPr>
                <w:color w:val="404040"/>
              </w:rPr>
              <w:t>Responsible</w:t>
            </w:r>
            <w:proofErr w:type="spellEnd"/>
            <w:r>
              <w:rPr>
                <w:color w:val="404040"/>
              </w:rPr>
              <w:t xml:space="preserve"> AI en el desarrollo de software, especialmente en proyectos de alto riesgo o impacto social.</w:t>
            </w:r>
          </w:p>
        </w:tc>
      </w:tr>
    </w:tbl>
    <w:p w14:paraId="0A9D5B8B"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C18D9" w14:paraId="12F3EA44" w14:textId="77777777">
        <w:tc>
          <w:tcPr>
            <w:tcW w:w="800" w:type="dxa"/>
            <w:tcBorders>
              <w:top w:val="nil"/>
              <w:left w:val="nil"/>
              <w:bottom w:val="nil"/>
              <w:right w:val="nil"/>
            </w:tcBorders>
            <w:shd w:val="clear" w:color="auto" w:fill="1F3864"/>
            <w:tcMar>
              <w:top w:w="120" w:type="dxa"/>
              <w:left w:w="120" w:type="dxa"/>
              <w:bottom w:w="120" w:type="dxa"/>
              <w:right w:w="120" w:type="dxa"/>
            </w:tcMar>
            <w:vAlign w:val="center"/>
          </w:tcPr>
          <w:p w14:paraId="51CD88A9" w14:textId="77777777" w:rsidR="004C18D9" w:rsidRDefault="00000000">
            <w:pPr>
              <w:jc w:val="center"/>
            </w:pPr>
            <w:r>
              <w:rPr>
                <w:b/>
                <w:bCs/>
                <w:color w:val="FFFFFF"/>
                <w:sz w:val="28"/>
                <w:szCs w:val="28"/>
              </w:rPr>
              <w:t>H5</w:t>
            </w:r>
          </w:p>
        </w:tc>
        <w:tc>
          <w:tcPr>
            <w:tcW w:w="8560" w:type="dxa"/>
            <w:tcBorders>
              <w:top w:val="nil"/>
              <w:left w:val="nil"/>
              <w:bottom w:val="nil"/>
              <w:right w:val="nil"/>
            </w:tcBorders>
            <w:shd w:val="clear" w:color="auto" w:fill="D6E4F0"/>
            <w:tcMar>
              <w:top w:w="120" w:type="dxa"/>
              <w:left w:w="200" w:type="dxa"/>
              <w:bottom w:w="120" w:type="dxa"/>
              <w:right w:w="120" w:type="dxa"/>
            </w:tcMar>
          </w:tcPr>
          <w:p w14:paraId="550098D4" w14:textId="77777777" w:rsidR="004C18D9" w:rsidRDefault="00000000">
            <w:proofErr w:type="spellStart"/>
            <w:r>
              <w:rPr>
                <w:b/>
                <w:bCs/>
                <w:color w:val="1F3864"/>
                <w:sz w:val="24"/>
                <w:szCs w:val="24"/>
              </w:rPr>
              <w:t>Gaming</w:t>
            </w:r>
            <w:proofErr w:type="spellEnd"/>
            <w:r>
              <w:rPr>
                <w:b/>
                <w:bCs/>
                <w:color w:val="1F3864"/>
                <w:sz w:val="24"/>
                <w:szCs w:val="24"/>
              </w:rPr>
              <w:t xml:space="preserve"> + opacidad = riesgo legal y técnico compuesto</w:t>
            </w:r>
          </w:p>
        </w:tc>
      </w:tr>
      <w:tr w:rsidR="004C18D9" w14:paraId="32083A9B" w14:textId="77777777">
        <w:tc>
          <w:tcPr>
            <w:tcW w:w="9360" w:type="dxa"/>
            <w:gridSpan w:val="2"/>
            <w:tcBorders>
              <w:top w:val="single" w:sz="1" w:space="0" w:color="BBCDE0"/>
              <w:left w:val="single" w:sz="1" w:space="0" w:color="BBCDE0"/>
              <w:bottom w:val="single" w:sz="1" w:space="0" w:color="BBCDE0"/>
              <w:right w:val="single" w:sz="1" w:space="0" w:color="BBCDE0"/>
            </w:tcBorders>
            <w:shd w:val="clear" w:color="auto" w:fill="FFFFFF"/>
            <w:tcMar>
              <w:top w:w="100" w:type="dxa"/>
              <w:left w:w="200" w:type="dxa"/>
              <w:bottom w:w="100" w:type="dxa"/>
              <w:right w:w="200" w:type="dxa"/>
            </w:tcMar>
          </w:tcPr>
          <w:p w14:paraId="326EDFBC" w14:textId="77777777" w:rsidR="004C18D9" w:rsidRDefault="00000000">
            <w:pPr>
              <w:spacing w:after="60"/>
            </w:pPr>
            <w:r>
              <w:rPr>
                <w:b/>
                <w:bCs/>
                <w:color w:val="1F3864"/>
              </w:rPr>
              <w:lastRenderedPageBreak/>
              <w:t xml:space="preserve">Qué afirma: </w:t>
            </w:r>
            <w:r>
              <w:rPr>
                <w:color w:val="404040"/>
              </w:rPr>
              <w:t xml:space="preserve">La combinación de </w:t>
            </w:r>
            <w:proofErr w:type="spellStart"/>
            <w:r>
              <w:rPr>
                <w:color w:val="404040"/>
              </w:rPr>
              <w:t>gaming</w:t>
            </w:r>
            <w:proofErr w:type="spellEnd"/>
            <w:r>
              <w:rPr>
                <w:color w:val="404040"/>
              </w:rPr>
              <w:t xml:space="preserve"> de métricas y opacidad en los sistemas de IA puede generar riesgos significativos para la responsabilidad técnica y legal. Kolt et al. (2026) advierten que incluso los </w:t>
            </w:r>
            <w:proofErr w:type="spellStart"/>
            <w:r>
              <w:rPr>
                <w:color w:val="404040"/>
              </w:rPr>
              <w:t>benchmarks</w:t>
            </w:r>
            <w:proofErr w:type="spellEnd"/>
            <w:r>
              <w:rPr>
                <w:color w:val="404040"/>
              </w:rPr>
              <w:t xml:space="preserve"> de cumplimiento legal pueden ser '</w:t>
            </w:r>
            <w:proofErr w:type="spellStart"/>
            <w:r>
              <w:rPr>
                <w:color w:val="404040"/>
              </w:rPr>
              <w:t>gamed</w:t>
            </w:r>
            <w:proofErr w:type="spellEnd"/>
            <w:r>
              <w:rPr>
                <w:color w:val="404040"/>
              </w:rPr>
              <w:t>', produciendo aparente conformidad sin alineación real con los valores y leyes que se busca cumplir.</w:t>
            </w:r>
          </w:p>
          <w:p w14:paraId="628A0F81" w14:textId="77777777" w:rsidR="004C18D9" w:rsidRPr="001D32D8" w:rsidRDefault="00000000">
            <w:pPr>
              <w:spacing w:before="60" w:after="60"/>
              <w:rPr>
                <w:lang w:val="en-US"/>
              </w:rPr>
            </w:pPr>
            <w:proofErr w:type="spellStart"/>
            <w:r w:rsidRPr="001D32D8">
              <w:rPr>
                <w:b/>
                <w:bCs/>
                <w:color w:val="1F3864"/>
                <w:lang w:val="en-US"/>
              </w:rPr>
              <w:t>Evidencia</w:t>
            </w:r>
            <w:proofErr w:type="spellEnd"/>
            <w:r w:rsidRPr="001D32D8">
              <w:rPr>
                <w:b/>
                <w:bCs/>
                <w:color w:val="1F3864"/>
                <w:lang w:val="en-US"/>
              </w:rPr>
              <w:t xml:space="preserve">: </w:t>
            </w:r>
            <w:r w:rsidRPr="001D32D8">
              <w:rPr>
                <w:color w:val="404040"/>
                <w:lang w:val="en-US"/>
              </w:rPr>
              <w:t xml:space="preserve">S6 (Kolt et al., </w:t>
            </w:r>
            <w:proofErr w:type="gramStart"/>
            <w:r w:rsidRPr="001D32D8">
              <w:rPr>
                <w:color w:val="404040"/>
                <w:lang w:val="en-US"/>
              </w:rPr>
              <w:t>2026) —</w:t>
            </w:r>
            <w:proofErr w:type="gramEnd"/>
            <w:r w:rsidRPr="001D32D8">
              <w:rPr>
                <w:color w:val="404040"/>
                <w:lang w:val="en-US"/>
              </w:rPr>
              <w:t xml:space="preserve"> Legal Alignment for Safe and Ethical AI, Oxford; EU AI Act (2021).</w:t>
            </w:r>
          </w:p>
          <w:p w14:paraId="6581AA64" w14:textId="77777777" w:rsidR="004C18D9" w:rsidRDefault="00000000">
            <w:pPr>
              <w:spacing w:before="80" w:after="40"/>
            </w:pPr>
            <w:r>
              <w:rPr>
                <w:b/>
                <w:bCs/>
                <w:color w:val="1E7D3A"/>
              </w:rPr>
              <w:t>✔ Pros / Beneficios</w:t>
            </w:r>
          </w:p>
          <w:p w14:paraId="3A72B910" w14:textId="77777777" w:rsidR="004C18D9" w:rsidRDefault="00000000">
            <w:pPr>
              <w:pStyle w:val="Prrafodelista"/>
              <w:numPr>
                <w:ilvl w:val="0"/>
                <w:numId w:val="2"/>
              </w:numPr>
              <w:spacing w:before="30" w:after="30"/>
            </w:pPr>
            <w:r>
              <w:rPr>
                <w:color w:val="404040"/>
                <w:sz w:val="20"/>
                <w:szCs w:val="20"/>
              </w:rPr>
              <w:t>La integración de auditoría continua reduce la acumulación de riesgos ocultos.</w:t>
            </w:r>
          </w:p>
          <w:p w14:paraId="5E326284" w14:textId="77777777" w:rsidR="004C18D9" w:rsidRDefault="00000000">
            <w:pPr>
              <w:pStyle w:val="Prrafodelista"/>
              <w:numPr>
                <w:ilvl w:val="0"/>
                <w:numId w:val="2"/>
              </w:numPr>
              <w:spacing w:before="30" w:after="30"/>
            </w:pPr>
            <w:r>
              <w:rPr>
                <w:color w:val="404040"/>
                <w:sz w:val="20"/>
                <w:szCs w:val="20"/>
              </w:rPr>
              <w:t>La definición de mecanismos de responsabilidad claros protege a la organización legalmente.</w:t>
            </w:r>
          </w:p>
          <w:p w14:paraId="4DFA5BA3" w14:textId="77777777" w:rsidR="004C18D9" w:rsidRDefault="00000000">
            <w:pPr>
              <w:pStyle w:val="Prrafodelista"/>
              <w:numPr>
                <w:ilvl w:val="0"/>
                <w:numId w:val="2"/>
              </w:numPr>
              <w:spacing w:before="30" w:after="30"/>
            </w:pPr>
            <w:r>
              <w:rPr>
                <w:color w:val="404040"/>
                <w:sz w:val="20"/>
                <w:szCs w:val="20"/>
              </w:rPr>
              <w:t xml:space="preserve">Promueve una cultura de transparencia que fortalece la confianza de </w:t>
            </w:r>
            <w:proofErr w:type="spellStart"/>
            <w:r>
              <w:rPr>
                <w:color w:val="404040"/>
                <w:sz w:val="20"/>
                <w:szCs w:val="20"/>
              </w:rPr>
              <w:t>stakeholders</w:t>
            </w:r>
            <w:proofErr w:type="spellEnd"/>
            <w:r>
              <w:rPr>
                <w:color w:val="404040"/>
                <w:sz w:val="20"/>
                <w:szCs w:val="20"/>
              </w:rPr>
              <w:t>.</w:t>
            </w:r>
          </w:p>
          <w:p w14:paraId="189A5575" w14:textId="77777777" w:rsidR="004C18D9" w:rsidRDefault="00000000">
            <w:pPr>
              <w:spacing w:before="80" w:after="40"/>
            </w:pPr>
            <w:r>
              <w:rPr>
                <w:b/>
                <w:bCs/>
                <w:color w:val="C00000"/>
              </w:rPr>
              <w:t>✘ Contras / Riesgos</w:t>
            </w:r>
          </w:p>
          <w:p w14:paraId="73CD29CA" w14:textId="77777777" w:rsidR="004C18D9" w:rsidRDefault="00000000">
            <w:pPr>
              <w:pStyle w:val="Prrafodelista"/>
              <w:numPr>
                <w:ilvl w:val="0"/>
                <w:numId w:val="2"/>
              </w:numPr>
              <w:spacing w:before="30" w:after="30"/>
            </w:pPr>
            <w:r>
              <w:rPr>
                <w:color w:val="404040"/>
                <w:sz w:val="20"/>
                <w:szCs w:val="20"/>
              </w:rPr>
              <w:t>La responsabilidad difusa en sistemas de IA complejos dificulta la atribución clara.</w:t>
            </w:r>
          </w:p>
          <w:p w14:paraId="20C924BE" w14:textId="77777777" w:rsidR="004C18D9" w:rsidRDefault="00000000">
            <w:pPr>
              <w:pStyle w:val="Prrafodelista"/>
              <w:numPr>
                <w:ilvl w:val="0"/>
                <w:numId w:val="2"/>
              </w:numPr>
              <w:spacing w:before="30" w:after="30"/>
            </w:pPr>
            <w:r>
              <w:rPr>
                <w:color w:val="404040"/>
                <w:sz w:val="20"/>
                <w:szCs w:val="20"/>
              </w:rPr>
              <w:t>El cumplimiento legal aparente puede crear falsa sensación de seguridad.</w:t>
            </w:r>
          </w:p>
          <w:p w14:paraId="5F935853" w14:textId="77777777" w:rsidR="004C18D9" w:rsidRDefault="00000000">
            <w:pPr>
              <w:pStyle w:val="Prrafodelista"/>
              <w:numPr>
                <w:ilvl w:val="0"/>
                <w:numId w:val="2"/>
              </w:numPr>
              <w:spacing w:before="30" w:after="30"/>
            </w:pPr>
            <w:r>
              <w:rPr>
                <w:color w:val="404040"/>
                <w:sz w:val="20"/>
                <w:szCs w:val="20"/>
              </w:rPr>
              <w:t>Los mecanismos de responsabilidad pueden inhibir la innovación si son excesivamente restrictivos.</w:t>
            </w:r>
          </w:p>
          <w:p w14:paraId="32B0570C" w14:textId="77777777" w:rsidR="004C18D9" w:rsidRDefault="00000000">
            <w:pPr>
              <w:spacing w:before="80" w:after="40"/>
            </w:pPr>
            <w:proofErr w:type="gramStart"/>
            <w:r>
              <w:rPr>
                <w:b/>
                <w:bCs/>
                <w:color w:val="1F3864"/>
              </w:rPr>
              <w:t>Cuándo</w:t>
            </w:r>
            <w:proofErr w:type="gramEnd"/>
            <w:r>
              <w:rPr>
                <w:b/>
                <w:bCs/>
                <w:color w:val="1F3864"/>
              </w:rPr>
              <w:t xml:space="preserve"> aplicar: </w:t>
            </w:r>
            <w:r>
              <w:rPr>
                <w:color w:val="404040"/>
              </w:rPr>
              <w:t>Especialmente relevante en sistemas de IA utilizados en contextos sensibles (finanzas, salud, sector público) donde decisiones automatizadas pueden generar impactos sociales o legales significativos.</w:t>
            </w:r>
          </w:p>
        </w:tc>
      </w:tr>
    </w:tbl>
    <w:p w14:paraId="00BD1E96" w14:textId="77777777" w:rsidR="004C18D9" w:rsidRDefault="004C18D9">
      <w:pPr>
        <w:spacing w:before="40" w:after="40"/>
      </w:pPr>
    </w:p>
    <w:p w14:paraId="724AFE89" w14:textId="77777777" w:rsidR="004C18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0BE31168"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4213C7C1" w14:textId="77777777" w:rsidR="004C18D9" w:rsidRDefault="00000000">
            <w:r>
              <w:rPr>
                <w:b/>
                <w:bCs/>
                <w:color w:val="1F3864"/>
                <w:sz w:val="24"/>
                <w:szCs w:val="24"/>
              </w:rPr>
              <w:lastRenderedPageBreak/>
              <w:t>TOP 5: IDEAS PRÁCTICAS Y ANTI-PATRONES</w:t>
            </w:r>
          </w:p>
        </w:tc>
      </w:tr>
    </w:tbl>
    <w:p w14:paraId="211F718A" w14:textId="77777777" w:rsidR="004C18D9" w:rsidRDefault="004C18D9">
      <w:pPr>
        <w:spacing w:before="40" w:after="40"/>
      </w:pPr>
    </w:p>
    <w:p w14:paraId="4E537BCC" w14:textId="77777777" w:rsidR="004C18D9" w:rsidRDefault="00000000">
      <w:pPr>
        <w:pStyle w:val="Ttulo2"/>
      </w:pPr>
      <w:r>
        <w:t xml:space="preserve">3 </w:t>
      </w:r>
      <w:proofErr w:type="gramStart"/>
      <w:r>
        <w:t>Ideas</w:t>
      </w:r>
      <w:proofErr w:type="gramEnd"/>
      <w:r>
        <w:t xml:space="preserve"> Prácticas para Adoptar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C18D9" w14:paraId="740950DE" w14:textId="77777777">
        <w:tc>
          <w:tcPr>
            <w:tcW w:w="800" w:type="dxa"/>
            <w:tcBorders>
              <w:top w:val="single" w:sz="1" w:space="0" w:color="BBCDE0"/>
              <w:left w:val="single" w:sz="1" w:space="0" w:color="BBCDE0"/>
              <w:bottom w:val="single" w:sz="1" w:space="0" w:color="BBCDE0"/>
              <w:right w:val="single" w:sz="1" w:space="0" w:color="BBCDE0"/>
            </w:tcBorders>
            <w:shd w:val="clear" w:color="auto" w:fill="1F3864"/>
            <w:tcMar>
              <w:top w:w="120" w:type="dxa"/>
              <w:left w:w="80" w:type="dxa"/>
              <w:bottom w:w="120" w:type="dxa"/>
              <w:right w:w="80" w:type="dxa"/>
            </w:tcMar>
            <w:vAlign w:val="center"/>
          </w:tcPr>
          <w:p w14:paraId="73C11194" w14:textId="77777777" w:rsidR="004C18D9" w:rsidRDefault="00000000">
            <w:pPr>
              <w:jc w:val="center"/>
            </w:pPr>
            <w:r>
              <w:rPr>
                <w:b/>
                <w:bCs/>
                <w:color w:val="FFFFFF"/>
                <w:sz w:val="28"/>
                <w:szCs w:val="28"/>
              </w:rPr>
              <w:t>1</w:t>
            </w:r>
          </w:p>
        </w:tc>
        <w:tc>
          <w:tcPr>
            <w:tcW w:w="8560" w:type="dxa"/>
            <w:tcBorders>
              <w:top w:val="single" w:sz="1" w:space="0" w:color="BBCDE0"/>
              <w:left w:val="single" w:sz="1" w:space="0" w:color="BBCDE0"/>
              <w:bottom w:val="single" w:sz="1" w:space="0" w:color="BBCDE0"/>
              <w:right w:val="single" w:sz="1" w:space="0" w:color="BBCDE0"/>
            </w:tcBorders>
            <w:shd w:val="clear" w:color="auto" w:fill="EBF3FB"/>
            <w:tcMar>
              <w:top w:w="100" w:type="dxa"/>
              <w:left w:w="160" w:type="dxa"/>
              <w:bottom w:w="100" w:type="dxa"/>
              <w:right w:w="160" w:type="dxa"/>
            </w:tcMar>
          </w:tcPr>
          <w:p w14:paraId="50CC5E1D" w14:textId="77777777" w:rsidR="004C18D9" w:rsidRDefault="00000000">
            <w:pPr>
              <w:spacing w:after="40"/>
            </w:pPr>
            <w:r>
              <w:rPr>
                <w:b/>
                <w:bCs/>
                <w:color w:val="1F3864"/>
              </w:rPr>
              <w:t xml:space="preserve">Diversificación y rotación de </w:t>
            </w:r>
            <w:proofErr w:type="spellStart"/>
            <w:r>
              <w:rPr>
                <w:b/>
                <w:bCs/>
                <w:color w:val="1F3864"/>
              </w:rPr>
              <w:t>benchmarks</w:t>
            </w:r>
            <w:proofErr w:type="spellEnd"/>
          </w:p>
          <w:p w14:paraId="4B436869" w14:textId="77777777" w:rsidR="004C18D9" w:rsidRDefault="00000000">
            <w:r>
              <w:rPr>
                <w:color w:val="404040"/>
                <w:sz w:val="20"/>
                <w:szCs w:val="20"/>
              </w:rPr>
              <w:t xml:space="preserve">No depender de un solo conjunto de métricas públicas. Combinar evaluaciones externas con pruebas internas no divulgadas, y rotar periódicamente los conjuntos de evaluación para dificultar el </w:t>
            </w:r>
            <w:proofErr w:type="spellStart"/>
            <w:r>
              <w:rPr>
                <w:color w:val="404040"/>
                <w:sz w:val="20"/>
                <w:szCs w:val="20"/>
              </w:rPr>
              <w:t>gaming</w:t>
            </w:r>
            <w:proofErr w:type="spellEnd"/>
            <w:r>
              <w:rPr>
                <w:color w:val="404040"/>
                <w:sz w:val="20"/>
                <w:szCs w:val="20"/>
              </w:rPr>
              <w:t xml:space="preserve"> sistemático (Singh et al., 2025; Goodhart, 1975).</w:t>
            </w:r>
          </w:p>
        </w:tc>
      </w:tr>
      <w:tr w:rsidR="004C18D9" w14:paraId="649D9DBF" w14:textId="77777777">
        <w:tc>
          <w:tcPr>
            <w:tcW w:w="800" w:type="dxa"/>
            <w:tcBorders>
              <w:top w:val="single" w:sz="1" w:space="0" w:color="BBCDE0"/>
              <w:left w:val="single" w:sz="1" w:space="0" w:color="BBCDE0"/>
              <w:bottom w:val="single" w:sz="1" w:space="0" w:color="BBCDE0"/>
              <w:right w:val="single" w:sz="1" w:space="0" w:color="BBCDE0"/>
            </w:tcBorders>
            <w:shd w:val="clear" w:color="auto" w:fill="1F3864"/>
            <w:tcMar>
              <w:top w:w="120" w:type="dxa"/>
              <w:left w:w="80" w:type="dxa"/>
              <w:bottom w:w="120" w:type="dxa"/>
              <w:right w:w="80" w:type="dxa"/>
            </w:tcMar>
            <w:vAlign w:val="center"/>
          </w:tcPr>
          <w:p w14:paraId="247054DA" w14:textId="77777777" w:rsidR="004C18D9" w:rsidRDefault="00000000">
            <w:pPr>
              <w:jc w:val="center"/>
            </w:pPr>
            <w:r>
              <w:rPr>
                <w:b/>
                <w:bCs/>
                <w:color w:val="FFFFFF"/>
                <w:sz w:val="28"/>
                <w:szCs w:val="28"/>
              </w:rPr>
              <w:t>2</w:t>
            </w:r>
          </w:p>
        </w:tc>
        <w:tc>
          <w:tcPr>
            <w:tcW w:w="8560" w:type="dxa"/>
            <w:tcBorders>
              <w:top w:val="single" w:sz="1" w:space="0" w:color="BBCDE0"/>
              <w:left w:val="single" w:sz="1" w:space="0" w:color="BBCDE0"/>
              <w:bottom w:val="single" w:sz="1" w:space="0" w:color="BBCDE0"/>
              <w:right w:val="single" w:sz="1" w:space="0" w:color="BBCDE0"/>
            </w:tcBorders>
            <w:shd w:val="clear" w:color="auto" w:fill="FFFFFF"/>
            <w:tcMar>
              <w:top w:w="100" w:type="dxa"/>
              <w:left w:w="160" w:type="dxa"/>
              <w:bottom w:w="100" w:type="dxa"/>
              <w:right w:w="160" w:type="dxa"/>
            </w:tcMar>
          </w:tcPr>
          <w:p w14:paraId="047400F2" w14:textId="77777777" w:rsidR="004C18D9" w:rsidRPr="001D32D8" w:rsidRDefault="00000000">
            <w:pPr>
              <w:spacing w:after="40"/>
              <w:rPr>
                <w:lang w:val="en-US"/>
              </w:rPr>
            </w:pPr>
            <w:proofErr w:type="spellStart"/>
            <w:r w:rsidRPr="001D32D8">
              <w:rPr>
                <w:b/>
                <w:bCs/>
                <w:color w:val="1F3864"/>
                <w:lang w:val="en-US"/>
              </w:rPr>
              <w:t>Auditorías</w:t>
            </w:r>
            <w:proofErr w:type="spellEnd"/>
            <w:r w:rsidRPr="001D32D8">
              <w:rPr>
                <w:b/>
                <w:bCs/>
                <w:color w:val="1F3864"/>
                <w:lang w:val="en-US"/>
              </w:rPr>
              <w:t xml:space="preserve"> </w:t>
            </w:r>
            <w:proofErr w:type="spellStart"/>
            <w:r w:rsidRPr="001D32D8">
              <w:rPr>
                <w:b/>
                <w:bCs/>
                <w:color w:val="1F3864"/>
                <w:lang w:val="en-US"/>
              </w:rPr>
              <w:t>híbridas</w:t>
            </w:r>
            <w:proofErr w:type="spellEnd"/>
            <w:r w:rsidRPr="001D32D8">
              <w:rPr>
                <w:b/>
                <w:bCs/>
                <w:color w:val="1F3864"/>
                <w:lang w:val="en-US"/>
              </w:rPr>
              <w:t>: black-box + white-box</w:t>
            </w:r>
          </w:p>
          <w:p w14:paraId="7154FDE8" w14:textId="77777777" w:rsidR="004C18D9" w:rsidRDefault="00000000">
            <w:r>
              <w:rPr>
                <w:color w:val="404040"/>
                <w:sz w:val="20"/>
                <w:szCs w:val="20"/>
              </w:rPr>
              <w:t>Complementar las evaluaciones externas de acceso limitado con análisis interno del código, arquitectura y datos de entrenamiento. Establecer acuerdos de acceso técnico con auditores independientes bajo NDA (Casper et al., 2024; NIST, 2023).</w:t>
            </w:r>
          </w:p>
        </w:tc>
      </w:tr>
      <w:tr w:rsidR="004C18D9" w14:paraId="56B779A5" w14:textId="77777777">
        <w:tc>
          <w:tcPr>
            <w:tcW w:w="800" w:type="dxa"/>
            <w:tcBorders>
              <w:top w:val="single" w:sz="1" w:space="0" w:color="BBCDE0"/>
              <w:left w:val="single" w:sz="1" w:space="0" w:color="BBCDE0"/>
              <w:bottom w:val="single" w:sz="1" w:space="0" w:color="BBCDE0"/>
              <w:right w:val="single" w:sz="1" w:space="0" w:color="BBCDE0"/>
            </w:tcBorders>
            <w:shd w:val="clear" w:color="auto" w:fill="1F3864"/>
            <w:tcMar>
              <w:top w:w="120" w:type="dxa"/>
              <w:left w:w="80" w:type="dxa"/>
              <w:bottom w:w="120" w:type="dxa"/>
              <w:right w:w="80" w:type="dxa"/>
            </w:tcMar>
            <w:vAlign w:val="center"/>
          </w:tcPr>
          <w:p w14:paraId="0DB99AF5" w14:textId="77777777" w:rsidR="004C18D9" w:rsidRDefault="00000000">
            <w:pPr>
              <w:jc w:val="center"/>
            </w:pPr>
            <w:r>
              <w:rPr>
                <w:b/>
                <w:bCs/>
                <w:color w:val="FFFFFF"/>
                <w:sz w:val="28"/>
                <w:szCs w:val="28"/>
              </w:rPr>
              <w:t>3</w:t>
            </w:r>
          </w:p>
        </w:tc>
        <w:tc>
          <w:tcPr>
            <w:tcW w:w="8560" w:type="dxa"/>
            <w:tcBorders>
              <w:top w:val="single" w:sz="1" w:space="0" w:color="BBCDE0"/>
              <w:left w:val="single" w:sz="1" w:space="0" w:color="BBCDE0"/>
              <w:bottom w:val="single" w:sz="1" w:space="0" w:color="BBCDE0"/>
              <w:right w:val="single" w:sz="1" w:space="0" w:color="BBCDE0"/>
            </w:tcBorders>
            <w:shd w:val="clear" w:color="auto" w:fill="EBF3FB"/>
            <w:tcMar>
              <w:top w:w="100" w:type="dxa"/>
              <w:left w:w="160" w:type="dxa"/>
              <w:bottom w:w="100" w:type="dxa"/>
              <w:right w:w="160" w:type="dxa"/>
            </w:tcMar>
          </w:tcPr>
          <w:p w14:paraId="247A5211" w14:textId="77777777" w:rsidR="004C18D9" w:rsidRDefault="00000000">
            <w:pPr>
              <w:spacing w:after="40"/>
            </w:pPr>
            <w:r>
              <w:rPr>
                <w:b/>
                <w:bCs/>
                <w:color w:val="1F3864"/>
              </w:rPr>
              <w:t>Métricas de proceso, no solo de producto</w:t>
            </w:r>
          </w:p>
          <w:p w14:paraId="03AB1E56" w14:textId="77777777" w:rsidR="004C18D9" w:rsidRDefault="00000000">
            <w:r>
              <w:rPr>
                <w:color w:val="404040"/>
                <w:sz w:val="20"/>
                <w:szCs w:val="20"/>
              </w:rPr>
              <w:t xml:space="preserve">Incorporar indicadores de trazabilidad, documentación, gestión de datos y gobernanza del ciclo de vida, además de las métricas de desempeño del modelo. Esto dificulta el </w:t>
            </w:r>
            <w:proofErr w:type="spellStart"/>
            <w:r>
              <w:rPr>
                <w:color w:val="404040"/>
                <w:sz w:val="20"/>
                <w:szCs w:val="20"/>
              </w:rPr>
              <w:t>gaming</w:t>
            </w:r>
            <w:proofErr w:type="spellEnd"/>
            <w:r>
              <w:rPr>
                <w:color w:val="404040"/>
                <w:sz w:val="20"/>
                <w:szCs w:val="20"/>
              </w:rPr>
              <w:t xml:space="preserve"> puntual y evalúa la calidad sustantiva (Xia et al., 2023; OECD, 2023).</w:t>
            </w:r>
          </w:p>
        </w:tc>
      </w:tr>
    </w:tbl>
    <w:p w14:paraId="57C295D1" w14:textId="77777777" w:rsidR="004C18D9" w:rsidRDefault="004C18D9">
      <w:pPr>
        <w:spacing w:before="40" w:after="40"/>
      </w:pPr>
    </w:p>
    <w:p w14:paraId="5EFA5BD3" w14:textId="77777777" w:rsidR="004C18D9" w:rsidRDefault="00000000">
      <w:pPr>
        <w:pStyle w:val="Ttulo2"/>
      </w:pPr>
      <w:r>
        <w:rPr>
          <w:color w:val="C00000"/>
        </w:rPr>
        <w:t xml:space="preserve">2 </w:t>
      </w:r>
      <w:proofErr w:type="spellStart"/>
      <w:proofErr w:type="gramStart"/>
      <w:r>
        <w:rPr>
          <w:color w:val="C00000"/>
        </w:rPr>
        <w:t>Anti</w:t>
      </w:r>
      <w:proofErr w:type="gramEnd"/>
      <w:r>
        <w:rPr>
          <w:color w:val="C00000"/>
        </w:rPr>
        <w:t>-patrones</w:t>
      </w:r>
      <w:proofErr w:type="spellEnd"/>
      <w:r>
        <w:rPr>
          <w:color w:val="C00000"/>
        </w:rPr>
        <w:t xml:space="preserve"> a Evitar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C18D9" w14:paraId="6E58EFE1" w14:textId="77777777">
        <w:tc>
          <w:tcPr>
            <w:tcW w:w="800" w:type="dxa"/>
            <w:tcBorders>
              <w:top w:val="single" w:sz="1" w:space="0" w:color="BBCDE0"/>
              <w:left w:val="single" w:sz="1" w:space="0" w:color="BBCDE0"/>
              <w:bottom w:val="single" w:sz="1" w:space="0" w:color="BBCDE0"/>
              <w:right w:val="single" w:sz="1" w:space="0" w:color="BBCDE0"/>
            </w:tcBorders>
            <w:shd w:val="clear" w:color="auto" w:fill="C00000"/>
            <w:tcMar>
              <w:top w:w="120" w:type="dxa"/>
              <w:left w:w="80" w:type="dxa"/>
              <w:bottom w:w="120" w:type="dxa"/>
              <w:right w:w="80" w:type="dxa"/>
            </w:tcMar>
            <w:vAlign w:val="center"/>
          </w:tcPr>
          <w:p w14:paraId="45A192E1" w14:textId="77777777" w:rsidR="004C18D9" w:rsidRDefault="00000000">
            <w:pPr>
              <w:jc w:val="center"/>
            </w:pPr>
            <w:r>
              <w:rPr>
                <w:b/>
                <w:bCs/>
                <w:color w:val="FFFFFF"/>
                <w:sz w:val="28"/>
                <w:szCs w:val="28"/>
              </w:rPr>
              <w:t>✘</w:t>
            </w:r>
          </w:p>
        </w:tc>
        <w:tc>
          <w:tcPr>
            <w:tcW w:w="8560" w:type="dxa"/>
            <w:tcBorders>
              <w:top w:val="single" w:sz="1" w:space="0" w:color="BBCDE0"/>
              <w:left w:val="single" w:sz="1" w:space="0" w:color="BBCDE0"/>
              <w:bottom w:val="single" w:sz="1" w:space="0" w:color="BBCDE0"/>
              <w:right w:val="single" w:sz="1" w:space="0" w:color="BBCDE0"/>
            </w:tcBorders>
            <w:shd w:val="clear" w:color="auto" w:fill="FFF2F2"/>
            <w:tcMar>
              <w:top w:w="100" w:type="dxa"/>
              <w:left w:w="160" w:type="dxa"/>
              <w:bottom w:w="100" w:type="dxa"/>
              <w:right w:w="160" w:type="dxa"/>
            </w:tcMar>
          </w:tcPr>
          <w:p w14:paraId="628CAAC9" w14:textId="77777777" w:rsidR="004C18D9" w:rsidRDefault="00000000">
            <w:pPr>
              <w:spacing w:after="40"/>
            </w:pPr>
            <w:proofErr w:type="spellStart"/>
            <w:r>
              <w:rPr>
                <w:b/>
                <w:bCs/>
                <w:color w:val="C00000"/>
              </w:rPr>
              <w:t>Benchmark-washing</w:t>
            </w:r>
            <w:proofErr w:type="spellEnd"/>
            <w:r>
              <w:rPr>
                <w:b/>
                <w:bCs/>
                <w:color w:val="C00000"/>
              </w:rPr>
              <w:t>: publicar solo los mejores resultados</w:t>
            </w:r>
          </w:p>
          <w:p w14:paraId="4980D42F" w14:textId="77777777" w:rsidR="004C18D9" w:rsidRDefault="00000000">
            <w:r>
              <w:rPr>
                <w:color w:val="404040"/>
                <w:sz w:val="20"/>
                <w:szCs w:val="20"/>
              </w:rPr>
              <w:t>Evaluar múltiples variantes privadas de un modelo y reportar únicamente los resultados más favorables en rankings públicos. Esto produce métricas engañosas que no reflejan el comportamiento real en producción y deteriora la confianza del ecosistema (Singh et al., 2025; Kolt et al., 2026).</w:t>
            </w:r>
          </w:p>
        </w:tc>
      </w:tr>
      <w:tr w:rsidR="004C18D9" w14:paraId="559542F1" w14:textId="77777777">
        <w:tc>
          <w:tcPr>
            <w:tcW w:w="800" w:type="dxa"/>
            <w:tcBorders>
              <w:top w:val="single" w:sz="1" w:space="0" w:color="BBCDE0"/>
              <w:left w:val="single" w:sz="1" w:space="0" w:color="BBCDE0"/>
              <w:bottom w:val="single" w:sz="1" w:space="0" w:color="BBCDE0"/>
              <w:right w:val="single" w:sz="1" w:space="0" w:color="BBCDE0"/>
            </w:tcBorders>
            <w:shd w:val="clear" w:color="auto" w:fill="C00000"/>
            <w:tcMar>
              <w:top w:w="120" w:type="dxa"/>
              <w:left w:w="80" w:type="dxa"/>
              <w:bottom w:w="120" w:type="dxa"/>
              <w:right w:w="80" w:type="dxa"/>
            </w:tcMar>
            <w:vAlign w:val="center"/>
          </w:tcPr>
          <w:p w14:paraId="64F77EA7" w14:textId="77777777" w:rsidR="004C18D9" w:rsidRDefault="00000000">
            <w:pPr>
              <w:jc w:val="center"/>
            </w:pPr>
            <w:r>
              <w:rPr>
                <w:b/>
                <w:bCs/>
                <w:color w:val="FFFFFF"/>
                <w:sz w:val="28"/>
                <w:szCs w:val="28"/>
              </w:rPr>
              <w:t>✘</w:t>
            </w:r>
          </w:p>
        </w:tc>
        <w:tc>
          <w:tcPr>
            <w:tcW w:w="8560" w:type="dxa"/>
            <w:tcBorders>
              <w:top w:val="single" w:sz="1" w:space="0" w:color="BBCDE0"/>
              <w:left w:val="single" w:sz="1" w:space="0" w:color="BBCDE0"/>
              <w:bottom w:val="single" w:sz="1" w:space="0" w:color="BBCDE0"/>
              <w:right w:val="single" w:sz="1" w:space="0" w:color="BBCDE0"/>
            </w:tcBorders>
            <w:shd w:val="clear" w:color="auto" w:fill="FFFFFF"/>
            <w:tcMar>
              <w:top w:w="100" w:type="dxa"/>
              <w:left w:w="160" w:type="dxa"/>
              <w:bottom w:w="100" w:type="dxa"/>
              <w:right w:w="160" w:type="dxa"/>
            </w:tcMar>
          </w:tcPr>
          <w:p w14:paraId="05C2A683" w14:textId="77777777" w:rsidR="004C18D9" w:rsidRDefault="00000000">
            <w:pPr>
              <w:spacing w:after="40"/>
            </w:pPr>
            <w:proofErr w:type="spellStart"/>
            <w:r>
              <w:rPr>
                <w:b/>
                <w:bCs/>
                <w:color w:val="C00000"/>
              </w:rPr>
              <w:t>Compliance</w:t>
            </w:r>
            <w:proofErr w:type="spellEnd"/>
            <w:r>
              <w:rPr>
                <w:b/>
                <w:bCs/>
                <w:color w:val="C00000"/>
              </w:rPr>
              <w:t xml:space="preserve"> </w:t>
            </w:r>
            <w:proofErr w:type="spellStart"/>
            <w:r>
              <w:rPr>
                <w:b/>
                <w:bCs/>
                <w:color w:val="C00000"/>
              </w:rPr>
              <w:t>theater</w:t>
            </w:r>
            <w:proofErr w:type="spellEnd"/>
            <w:r>
              <w:rPr>
                <w:b/>
                <w:bCs/>
                <w:color w:val="C00000"/>
              </w:rPr>
              <w:t>: auditorías de formulario sin profundidad</w:t>
            </w:r>
          </w:p>
          <w:p w14:paraId="177A9AE7" w14:textId="77777777" w:rsidR="004C18D9" w:rsidRDefault="00000000">
            <w:r>
              <w:rPr>
                <w:color w:val="404040"/>
                <w:sz w:val="20"/>
                <w:szCs w:val="20"/>
              </w:rPr>
              <w:t xml:space="preserve">Implementar procesos de auditoría que cumplen los requisitos formales de un estándar sin evaluar realmente los riesgos y comportamientos del sistema. El resultado es </w:t>
            </w:r>
            <w:proofErr w:type="spellStart"/>
            <w:r>
              <w:rPr>
                <w:color w:val="404040"/>
                <w:sz w:val="20"/>
                <w:szCs w:val="20"/>
              </w:rPr>
              <w:t>accountability</w:t>
            </w:r>
            <w:proofErr w:type="spellEnd"/>
            <w:r>
              <w:rPr>
                <w:color w:val="404040"/>
                <w:sz w:val="20"/>
                <w:szCs w:val="20"/>
              </w:rPr>
              <w:t xml:space="preserve"> aparente que da falsa sensación de seguridad y no previene fallos en producción (Costanza-Chock et al., 2023; Casper et al., 2024).</w:t>
            </w:r>
          </w:p>
        </w:tc>
      </w:tr>
    </w:tbl>
    <w:p w14:paraId="5A360C23" w14:textId="77777777" w:rsidR="004C18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5333935B"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667C8CD4" w14:textId="77777777" w:rsidR="004C18D9" w:rsidRDefault="00000000">
            <w:r>
              <w:rPr>
                <w:b/>
                <w:bCs/>
                <w:color w:val="1F3864"/>
                <w:sz w:val="24"/>
                <w:szCs w:val="24"/>
              </w:rPr>
              <w:lastRenderedPageBreak/>
              <w:t>MATRIZ DE EVIDENCIA (Última diapositiva)</w:t>
            </w:r>
          </w:p>
        </w:tc>
      </w:tr>
    </w:tbl>
    <w:p w14:paraId="7CA8EAF0" w14:textId="77777777" w:rsidR="004C18D9" w:rsidRDefault="004C18D9">
      <w:pPr>
        <w:spacing w:before="40" w:after="40"/>
      </w:pPr>
    </w:p>
    <w:p w14:paraId="7749F411" w14:textId="77777777" w:rsidR="004C18D9" w:rsidRDefault="00000000">
      <w:pPr>
        <w:spacing w:before="60" w:after="80"/>
      </w:pPr>
      <w:r>
        <w:rPr>
          <w:color w:val="404040"/>
        </w:rPr>
        <w:t>Cada hallazgo central está respaldado por al menos una fuente. La matriz incluye las 8 fuentes mínimas requeridas (fuentes industriales, estándares/regulaciones y estudios académicos).</w:t>
      </w:r>
    </w:p>
    <w:p w14:paraId="6B252C2E" w14:textId="77777777" w:rsidR="004C18D9" w:rsidRDefault="004C18D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4369"/>
        <w:gridCol w:w="2162"/>
        <w:gridCol w:w="1708"/>
      </w:tblGrid>
      <w:tr w:rsidR="004C18D9" w14:paraId="14CD7F9F" w14:textId="77777777">
        <w:tc>
          <w:tcPr>
            <w:tcW w:w="120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0C1CD23B" w14:textId="77777777" w:rsidR="004C18D9" w:rsidRDefault="00000000">
            <w:r>
              <w:rPr>
                <w:b/>
                <w:bCs/>
                <w:color w:val="FFFFFF"/>
                <w:sz w:val="20"/>
                <w:szCs w:val="20"/>
              </w:rPr>
              <w:t>ID</w:t>
            </w:r>
          </w:p>
        </w:tc>
        <w:tc>
          <w:tcPr>
            <w:tcW w:w="480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48B9DC1A" w14:textId="77777777" w:rsidR="004C18D9" w:rsidRDefault="00000000">
            <w:r>
              <w:rPr>
                <w:b/>
                <w:bCs/>
                <w:color w:val="FFFFFF"/>
                <w:sz w:val="20"/>
                <w:szCs w:val="20"/>
              </w:rPr>
              <w:t>Fuente</w:t>
            </w:r>
          </w:p>
        </w:tc>
        <w:tc>
          <w:tcPr>
            <w:tcW w:w="156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1D3DB3E7" w14:textId="77777777" w:rsidR="004C18D9" w:rsidRDefault="00000000">
            <w:r>
              <w:rPr>
                <w:b/>
                <w:bCs/>
                <w:color w:val="FFFFFF"/>
                <w:sz w:val="20"/>
                <w:szCs w:val="20"/>
              </w:rPr>
              <w:t>Tipo</w:t>
            </w:r>
          </w:p>
        </w:tc>
        <w:tc>
          <w:tcPr>
            <w:tcW w:w="1800" w:type="dxa"/>
            <w:tcBorders>
              <w:top w:val="single" w:sz="1" w:space="0" w:color="BBCDE0"/>
              <w:left w:val="single" w:sz="1" w:space="0" w:color="BBCDE0"/>
              <w:bottom w:val="single" w:sz="1" w:space="0" w:color="BBCDE0"/>
              <w:right w:val="single" w:sz="1" w:space="0" w:color="BBCDE0"/>
            </w:tcBorders>
            <w:shd w:val="clear" w:color="auto" w:fill="1F3864"/>
            <w:tcMar>
              <w:top w:w="80" w:type="dxa"/>
              <w:left w:w="120" w:type="dxa"/>
              <w:bottom w:w="80" w:type="dxa"/>
              <w:right w:w="120" w:type="dxa"/>
            </w:tcMar>
          </w:tcPr>
          <w:p w14:paraId="632B7251" w14:textId="77777777" w:rsidR="004C18D9" w:rsidRDefault="00000000">
            <w:r>
              <w:rPr>
                <w:b/>
                <w:bCs/>
                <w:color w:val="FFFFFF"/>
                <w:sz w:val="20"/>
                <w:szCs w:val="20"/>
              </w:rPr>
              <w:t>Hallazgo</w:t>
            </w:r>
          </w:p>
        </w:tc>
      </w:tr>
      <w:tr w:rsidR="004C18D9" w14:paraId="55656F8D"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2AA5A358" w14:textId="77777777" w:rsidR="004C18D9" w:rsidRDefault="00000000">
            <w:r>
              <w:rPr>
                <w:b/>
                <w:bCs/>
                <w:color w:val="1F3864"/>
                <w:sz w:val="18"/>
                <w:szCs w:val="18"/>
              </w:rPr>
              <w:t>S1</w:t>
            </w:r>
          </w:p>
        </w:tc>
        <w:tc>
          <w:tcPr>
            <w:tcW w:w="4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2F7843BB" w14:textId="77777777" w:rsidR="004C18D9" w:rsidRDefault="00000000">
            <w:r w:rsidRPr="001D32D8">
              <w:rPr>
                <w:color w:val="404040"/>
                <w:sz w:val="18"/>
                <w:szCs w:val="18"/>
                <w:lang w:val="en-US"/>
              </w:rPr>
              <w:t xml:space="preserve">Goodhart, C. (1975). Problems of Monetary Management. </w:t>
            </w:r>
            <w:r>
              <w:rPr>
                <w:color w:val="404040"/>
                <w:sz w:val="18"/>
                <w:szCs w:val="18"/>
              </w:rPr>
              <w:t xml:space="preserve">Bank </w:t>
            </w:r>
            <w:proofErr w:type="spellStart"/>
            <w:r>
              <w:rPr>
                <w:color w:val="404040"/>
                <w:sz w:val="18"/>
                <w:szCs w:val="18"/>
              </w:rPr>
              <w:t>of</w:t>
            </w:r>
            <w:proofErr w:type="spellEnd"/>
            <w:r>
              <w:rPr>
                <w:color w:val="404040"/>
                <w:sz w:val="18"/>
                <w:szCs w:val="18"/>
              </w:rPr>
              <w:t xml:space="preserve"> England.</w:t>
            </w:r>
          </w:p>
        </w:tc>
        <w:tc>
          <w:tcPr>
            <w:tcW w:w="156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33CB31D4" w14:textId="77777777" w:rsidR="004C18D9" w:rsidRDefault="00000000">
            <w:r>
              <w:rPr>
                <w:color w:val="404040"/>
                <w:sz w:val="18"/>
                <w:szCs w:val="18"/>
              </w:rPr>
              <w:t>Fundacional/Académico</w:t>
            </w:r>
          </w:p>
        </w:tc>
        <w:tc>
          <w:tcPr>
            <w:tcW w:w="1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15436424" w14:textId="77777777" w:rsidR="004C18D9" w:rsidRDefault="00000000">
            <w:r>
              <w:rPr>
                <w:color w:val="404040"/>
                <w:sz w:val="18"/>
                <w:szCs w:val="18"/>
              </w:rPr>
              <w:t>H1</w:t>
            </w:r>
          </w:p>
        </w:tc>
      </w:tr>
      <w:tr w:rsidR="004C18D9" w14:paraId="0E7830BA"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2F755016" w14:textId="77777777" w:rsidR="004C18D9" w:rsidRDefault="00000000">
            <w:r>
              <w:rPr>
                <w:b/>
                <w:bCs/>
                <w:color w:val="1F3864"/>
                <w:sz w:val="18"/>
                <w:szCs w:val="18"/>
              </w:rPr>
              <w:t>S2</w:t>
            </w:r>
          </w:p>
        </w:tc>
        <w:tc>
          <w:tcPr>
            <w:tcW w:w="4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428E29FE" w14:textId="77777777" w:rsidR="004C18D9" w:rsidRPr="001D32D8" w:rsidRDefault="00000000">
            <w:pPr>
              <w:rPr>
                <w:lang w:val="en-US"/>
              </w:rPr>
            </w:pPr>
            <w:r w:rsidRPr="00563733">
              <w:rPr>
                <w:color w:val="404040"/>
                <w:sz w:val="18"/>
                <w:szCs w:val="18"/>
                <w:lang w:val="en-US"/>
              </w:rPr>
              <w:t xml:space="preserve">Singh et al. (2025). </w:t>
            </w:r>
            <w:r w:rsidRPr="001D32D8">
              <w:rPr>
                <w:color w:val="404040"/>
                <w:sz w:val="18"/>
                <w:szCs w:val="18"/>
                <w:lang w:val="en-US"/>
              </w:rPr>
              <w:t xml:space="preserve">The Leaderboard Illusion. Estudio </w:t>
            </w:r>
            <w:proofErr w:type="spellStart"/>
            <w:r w:rsidRPr="001D32D8">
              <w:rPr>
                <w:color w:val="404040"/>
                <w:sz w:val="18"/>
                <w:szCs w:val="18"/>
                <w:lang w:val="en-US"/>
              </w:rPr>
              <w:t>empírico</w:t>
            </w:r>
            <w:proofErr w:type="spellEnd"/>
            <w:r w:rsidRPr="001D32D8">
              <w:rPr>
                <w:color w:val="404040"/>
                <w:sz w:val="18"/>
                <w:szCs w:val="18"/>
                <w:lang w:val="en-US"/>
              </w:rPr>
              <w:t xml:space="preserve"> LLM benchmarks.</w:t>
            </w:r>
          </w:p>
        </w:tc>
        <w:tc>
          <w:tcPr>
            <w:tcW w:w="156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62EDD27C" w14:textId="77777777" w:rsidR="004C18D9" w:rsidRDefault="00000000">
            <w:r>
              <w:rPr>
                <w:color w:val="404040"/>
                <w:sz w:val="18"/>
                <w:szCs w:val="18"/>
              </w:rPr>
              <w:t>Estudio/Industrial</w:t>
            </w:r>
          </w:p>
        </w:tc>
        <w:tc>
          <w:tcPr>
            <w:tcW w:w="1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58B0B763" w14:textId="77777777" w:rsidR="004C18D9" w:rsidRDefault="00000000">
            <w:r>
              <w:rPr>
                <w:color w:val="404040"/>
                <w:sz w:val="18"/>
                <w:szCs w:val="18"/>
              </w:rPr>
              <w:t>H1</w:t>
            </w:r>
          </w:p>
        </w:tc>
      </w:tr>
      <w:tr w:rsidR="004C18D9" w14:paraId="3F9D8379"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33F2084B" w14:textId="77777777" w:rsidR="004C18D9" w:rsidRDefault="00000000">
            <w:r>
              <w:rPr>
                <w:b/>
                <w:bCs/>
                <w:color w:val="1F3864"/>
                <w:sz w:val="18"/>
                <w:szCs w:val="18"/>
              </w:rPr>
              <w:t>S3</w:t>
            </w:r>
          </w:p>
        </w:tc>
        <w:tc>
          <w:tcPr>
            <w:tcW w:w="4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6734EBFA" w14:textId="77777777" w:rsidR="004C18D9" w:rsidRPr="001D32D8" w:rsidRDefault="00000000">
            <w:pPr>
              <w:rPr>
                <w:lang w:val="en-US"/>
              </w:rPr>
            </w:pPr>
            <w:r w:rsidRPr="00563733">
              <w:rPr>
                <w:color w:val="404040"/>
                <w:sz w:val="18"/>
                <w:szCs w:val="18"/>
                <w:lang w:val="en-US"/>
              </w:rPr>
              <w:t xml:space="preserve">Casper, S. et al. (2024). </w:t>
            </w:r>
            <w:r w:rsidRPr="001D32D8">
              <w:rPr>
                <w:color w:val="404040"/>
                <w:sz w:val="18"/>
                <w:szCs w:val="18"/>
                <w:lang w:val="en-US"/>
              </w:rPr>
              <w:t xml:space="preserve">Black-Box Access is Insufficient for Rigorous AI Audits. </w:t>
            </w:r>
            <w:proofErr w:type="spellStart"/>
            <w:r w:rsidRPr="001D32D8">
              <w:rPr>
                <w:color w:val="404040"/>
                <w:sz w:val="18"/>
                <w:szCs w:val="18"/>
                <w:lang w:val="en-US"/>
              </w:rPr>
              <w:t>arXiv</w:t>
            </w:r>
            <w:proofErr w:type="spellEnd"/>
            <w:r w:rsidRPr="001D32D8">
              <w:rPr>
                <w:color w:val="404040"/>
                <w:sz w:val="18"/>
                <w:szCs w:val="18"/>
                <w:lang w:val="en-US"/>
              </w:rPr>
              <w:t>.</w:t>
            </w:r>
          </w:p>
        </w:tc>
        <w:tc>
          <w:tcPr>
            <w:tcW w:w="156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744DC1A4" w14:textId="77777777" w:rsidR="004C18D9" w:rsidRDefault="00000000">
            <w:r>
              <w:rPr>
                <w:color w:val="404040"/>
                <w:sz w:val="18"/>
                <w:szCs w:val="18"/>
              </w:rPr>
              <w:t>Estudio académico</w:t>
            </w:r>
          </w:p>
        </w:tc>
        <w:tc>
          <w:tcPr>
            <w:tcW w:w="1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660A9907" w14:textId="77777777" w:rsidR="004C18D9" w:rsidRDefault="00000000">
            <w:r>
              <w:rPr>
                <w:color w:val="404040"/>
                <w:sz w:val="18"/>
                <w:szCs w:val="18"/>
              </w:rPr>
              <w:t>H2</w:t>
            </w:r>
          </w:p>
        </w:tc>
      </w:tr>
      <w:tr w:rsidR="004C18D9" w14:paraId="328360A1"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18C9A24F" w14:textId="77777777" w:rsidR="004C18D9" w:rsidRDefault="00000000">
            <w:r>
              <w:rPr>
                <w:b/>
                <w:bCs/>
                <w:color w:val="1F3864"/>
                <w:sz w:val="18"/>
                <w:szCs w:val="18"/>
              </w:rPr>
              <w:t>S4</w:t>
            </w:r>
          </w:p>
        </w:tc>
        <w:tc>
          <w:tcPr>
            <w:tcW w:w="4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0A647304" w14:textId="77777777" w:rsidR="004C18D9" w:rsidRPr="001D32D8" w:rsidRDefault="00000000">
            <w:pPr>
              <w:rPr>
                <w:lang w:val="en-US"/>
              </w:rPr>
            </w:pPr>
            <w:r>
              <w:rPr>
                <w:color w:val="404040"/>
                <w:sz w:val="18"/>
                <w:szCs w:val="18"/>
              </w:rPr>
              <w:t xml:space="preserve">Costanza-Chock, S. et al. </w:t>
            </w:r>
            <w:r w:rsidRPr="00563733">
              <w:rPr>
                <w:color w:val="404040"/>
                <w:sz w:val="18"/>
                <w:szCs w:val="18"/>
                <w:lang w:val="en-US"/>
              </w:rPr>
              <w:t xml:space="preserve">(2023). </w:t>
            </w:r>
            <w:r w:rsidRPr="001D32D8">
              <w:rPr>
                <w:color w:val="404040"/>
                <w:sz w:val="18"/>
                <w:szCs w:val="18"/>
                <w:lang w:val="en-US"/>
              </w:rPr>
              <w:t xml:space="preserve">Who Audits the Auditors? </w:t>
            </w:r>
            <w:proofErr w:type="spellStart"/>
            <w:r w:rsidRPr="001D32D8">
              <w:rPr>
                <w:color w:val="404040"/>
                <w:sz w:val="18"/>
                <w:szCs w:val="18"/>
                <w:lang w:val="en-US"/>
              </w:rPr>
              <w:t>arXiv</w:t>
            </w:r>
            <w:proofErr w:type="spellEnd"/>
            <w:r w:rsidRPr="001D32D8">
              <w:rPr>
                <w:color w:val="404040"/>
                <w:sz w:val="18"/>
                <w:szCs w:val="18"/>
                <w:lang w:val="en-US"/>
              </w:rPr>
              <w:t>.</w:t>
            </w:r>
          </w:p>
        </w:tc>
        <w:tc>
          <w:tcPr>
            <w:tcW w:w="156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4A9D0A6A" w14:textId="77777777" w:rsidR="004C18D9" w:rsidRDefault="00000000">
            <w:r>
              <w:rPr>
                <w:color w:val="404040"/>
                <w:sz w:val="18"/>
                <w:szCs w:val="18"/>
              </w:rPr>
              <w:t>Estudio académico</w:t>
            </w:r>
          </w:p>
        </w:tc>
        <w:tc>
          <w:tcPr>
            <w:tcW w:w="1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05A55390" w14:textId="77777777" w:rsidR="004C18D9" w:rsidRDefault="00000000">
            <w:r>
              <w:rPr>
                <w:color w:val="404040"/>
                <w:sz w:val="18"/>
                <w:szCs w:val="18"/>
              </w:rPr>
              <w:t>H3</w:t>
            </w:r>
          </w:p>
        </w:tc>
      </w:tr>
      <w:tr w:rsidR="004C18D9" w14:paraId="4A3278B2"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751EC57F" w14:textId="77777777" w:rsidR="004C18D9" w:rsidRDefault="00000000">
            <w:r>
              <w:rPr>
                <w:b/>
                <w:bCs/>
                <w:color w:val="1F3864"/>
                <w:sz w:val="18"/>
                <w:szCs w:val="18"/>
              </w:rPr>
              <w:t>S5</w:t>
            </w:r>
          </w:p>
        </w:tc>
        <w:tc>
          <w:tcPr>
            <w:tcW w:w="4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388B7E24" w14:textId="77777777" w:rsidR="004C18D9" w:rsidRPr="001D32D8" w:rsidRDefault="00000000">
            <w:pPr>
              <w:rPr>
                <w:lang w:val="en-US"/>
              </w:rPr>
            </w:pPr>
            <w:r>
              <w:rPr>
                <w:color w:val="404040"/>
                <w:sz w:val="18"/>
                <w:szCs w:val="18"/>
              </w:rPr>
              <w:t xml:space="preserve">Xia, B. et al. (2023). </w:t>
            </w:r>
            <w:r w:rsidRPr="001D32D8">
              <w:rPr>
                <w:color w:val="404040"/>
                <w:sz w:val="18"/>
                <w:szCs w:val="18"/>
                <w:lang w:val="en-US"/>
              </w:rPr>
              <w:t xml:space="preserve">Towards a Responsible AI Metrics Catalogue. </w:t>
            </w:r>
            <w:proofErr w:type="spellStart"/>
            <w:r w:rsidRPr="001D32D8">
              <w:rPr>
                <w:color w:val="404040"/>
                <w:sz w:val="18"/>
                <w:szCs w:val="18"/>
                <w:lang w:val="en-US"/>
              </w:rPr>
              <w:t>arXiv</w:t>
            </w:r>
            <w:proofErr w:type="spellEnd"/>
            <w:r w:rsidRPr="001D32D8">
              <w:rPr>
                <w:color w:val="404040"/>
                <w:sz w:val="18"/>
                <w:szCs w:val="18"/>
                <w:lang w:val="en-US"/>
              </w:rPr>
              <w:t>.</w:t>
            </w:r>
          </w:p>
        </w:tc>
        <w:tc>
          <w:tcPr>
            <w:tcW w:w="156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5A72FF39" w14:textId="77777777" w:rsidR="004C18D9" w:rsidRDefault="00000000">
            <w:r>
              <w:rPr>
                <w:color w:val="404040"/>
                <w:sz w:val="18"/>
                <w:szCs w:val="18"/>
              </w:rPr>
              <w:t>Estudio académico</w:t>
            </w:r>
          </w:p>
        </w:tc>
        <w:tc>
          <w:tcPr>
            <w:tcW w:w="1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08B606E0" w14:textId="77777777" w:rsidR="004C18D9" w:rsidRDefault="00000000">
            <w:r>
              <w:rPr>
                <w:color w:val="404040"/>
                <w:sz w:val="18"/>
                <w:szCs w:val="18"/>
              </w:rPr>
              <w:t>H4</w:t>
            </w:r>
          </w:p>
        </w:tc>
      </w:tr>
      <w:tr w:rsidR="004C18D9" w14:paraId="13BCC388"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0D4D1CC8" w14:textId="77777777" w:rsidR="004C18D9" w:rsidRDefault="00000000">
            <w:r>
              <w:rPr>
                <w:b/>
                <w:bCs/>
                <w:color w:val="1F3864"/>
                <w:sz w:val="18"/>
                <w:szCs w:val="18"/>
              </w:rPr>
              <w:t>S6</w:t>
            </w:r>
          </w:p>
        </w:tc>
        <w:tc>
          <w:tcPr>
            <w:tcW w:w="4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6255EF82" w14:textId="77777777" w:rsidR="004C18D9" w:rsidRDefault="00000000">
            <w:r w:rsidRPr="00563733">
              <w:rPr>
                <w:color w:val="404040"/>
                <w:sz w:val="18"/>
                <w:szCs w:val="18"/>
                <w:lang w:val="en-US"/>
              </w:rPr>
              <w:t xml:space="preserve">Kolt, N. et al. (2026). </w:t>
            </w:r>
            <w:r w:rsidRPr="001D32D8">
              <w:rPr>
                <w:color w:val="404040"/>
                <w:sz w:val="18"/>
                <w:szCs w:val="18"/>
                <w:lang w:val="en-US"/>
              </w:rPr>
              <w:t xml:space="preserve">Legal Alignment for Safe and Ethical AI. </w:t>
            </w:r>
            <w:r>
              <w:rPr>
                <w:color w:val="404040"/>
                <w:sz w:val="18"/>
                <w:szCs w:val="18"/>
              </w:rPr>
              <w:t>Oxford.</w:t>
            </w:r>
          </w:p>
        </w:tc>
        <w:tc>
          <w:tcPr>
            <w:tcW w:w="156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15D239AD" w14:textId="77777777" w:rsidR="004C18D9" w:rsidRDefault="00000000">
            <w:r>
              <w:rPr>
                <w:color w:val="404040"/>
                <w:sz w:val="18"/>
                <w:szCs w:val="18"/>
              </w:rPr>
              <w:t>Estudio/Legal</w:t>
            </w:r>
          </w:p>
        </w:tc>
        <w:tc>
          <w:tcPr>
            <w:tcW w:w="1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3CFB6775" w14:textId="77777777" w:rsidR="004C18D9" w:rsidRDefault="00000000">
            <w:r>
              <w:rPr>
                <w:color w:val="404040"/>
                <w:sz w:val="18"/>
                <w:szCs w:val="18"/>
              </w:rPr>
              <w:t>H5</w:t>
            </w:r>
          </w:p>
        </w:tc>
      </w:tr>
      <w:tr w:rsidR="004C18D9" w14:paraId="276E72BB"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4BA5EB95" w14:textId="77777777" w:rsidR="004C18D9" w:rsidRDefault="00000000">
            <w:r>
              <w:rPr>
                <w:b/>
                <w:bCs/>
                <w:color w:val="1F3864"/>
                <w:sz w:val="18"/>
                <w:szCs w:val="18"/>
              </w:rPr>
              <w:t>S7</w:t>
            </w:r>
          </w:p>
        </w:tc>
        <w:tc>
          <w:tcPr>
            <w:tcW w:w="4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374B8F4B" w14:textId="77777777" w:rsidR="004C18D9" w:rsidRDefault="00000000">
            <w:r w:rsidRPr="001D32D8">
              <w:rPr>
                <w:color w:val="404040"/>
                <w:sz w:val="18"/>
                <w:szCs w:val="18"/>
                <w:lang w:val="en-US"/>
              </w:rPr>
              <w:t xml:space="preserve">European Commission (2021). Proposal for AI Act. </w:t>
            </w:r>
            <w:proofErr w:type="spellStart"/>
            <w:r>
              <w:rPr>
                <w:color w:val="404040"/>
                <w:sz w:val="18"/>
                <w:szCs w:val="18"/>
              </w:rPr>
              <w:t>European</w:t>
            </w:r>
            <w:proofErr w:type="spellEnd"/>
            <w:r>
              <w:rPr>
                <w:color w:val="404040"/>
                <w:sz w:val="18"/>
                <w:szCs w:val="18"/>
              </w:rPr>
              <w:t xml:space="preserve"> Union.</w:t>
            </w:r>
          </w:p>
        </w:tc>
        <w:tc>
          <w:tcPr>
            <w:tcW w:w="156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68C4F3C1" w14:textId="77777777" w:rsidR="004C18D9" w:rsidRDefault="00000000">
            <w:r>
              <w:rPr>
                <w:color w:val="404040"/>
                <w:sz w:val="18"/>
                <w:szCs w:val="18"/>
              </w:rPr>
              <w:t>Estándar/Regulación</w:t>
            </w:r>
          </w:p>
        </w:tc>
        <w:tc>
          <w:tcPr>
            <w:tcW w:w="1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66C82633" w14:textId="77777777" w:rsidR="004C18D9" w:rsidRDefault="00000000">
            <w:r>
              <w:rPr>
                <w:color w:val="404040"/>
                <w:sz w:val="18"/>
                <w:szCs w:val="18"/>
              </w:rPr>
              <w:t>H3, H5</w:t>
            </w:r>
          </w:p>
        </w:tc>
      </w:tr>
      <w:tr w:rsidR="004C18D9" w14:paraId="70F78020"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5334419B" w14:textId="77777777" w:rsidR="004C18D9" w:rsidRDefault="00000000">
            <w:r>
              <w:rPr>
                <w:b/>
                <w:bCs/>
                <w:color w:val="1F3864"/>
                <w:sz w:val="18"/>
                <w:szCs w:val="18"/>
              </w:rPr>
              <w:t>S8</w:t>
            </w:r>
          </w:p>
        </w:tc>
        <w:tc>
          <w:tcPr>
            <w:tcW w:w="4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16C5B0B3" w14:textId="77777777" w:rsidR="004C18D9" w:rsidRPr="001D32D8" w:rsidRDefault="00000000">
            <w:pPr>
              <w:rPr>
                <w:lang w:val="en-US"/>
              </w:rPr>
            </w:pPr>
            <w:r w:rsidRPr="001D32D8">
              <w:rPr>
                <w:color w:val="404040"/>
                <w:sz w:val="18"/>
                <w:szCs w:val="18"/>
                <w:lang w:val="en-US"/>
              </w:rPr>
              <w:t>NIST (2023). AI Risk Management Framework (AI RMF 1.0). U.S. Dept. of Commerce.</w:t>
            </w:r>
          </w:p>
        </w:tc>
        <w:tc>
          <w:tcPr>
            <w:tcW w:w="156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39189141" w14:textId="77777777" w:rsidR="004C18D9" w:rsidRDefault="00000000">
            <w:r>
              <w:rPr>
                <w:color w:val="404040"/>
                <w:sz w:val="18"/>
                <w:szCs w:val="18"/>
              </w:rPr>
              <w:t>Estándar industrial</w:t>
            </w:r>
          </w:p>
        </w:tc>
        <w:tc>
          <w:tcPr>
            <w:tcW w:w="1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7E89365D" w14:textId="77777777" w:rsidR="004C18D9" w:rsidRDefault="00000000">
            <w:r>
              <w:rPr>
                <w:color w:val="404040"/>
                <w:sz w:val="18"/>
                <w:szCs w:val="18"/>
              </w:rPr>
              <w:t>H2, H3</w:t>
            </w:r>
          </w:p>
        </w:tc>
      </w:tr>
      <w:tr w:rsidR="004C18D9" w14:paraId="3C739938"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61FB2CA8" w14:textId="77777777" w:rsidR="004C18D9" w:rsidRDefault="00000000">
            <w:r>
              <w:rPr>
                <w:b/>
                <w:bCs/>
                <w:color w:val="1F3864"/>
                <w:sz w:val="18"/>
                <w:szCs w:val="18"/>
              </w:rPr>
              <w:t>S9</w:t>
            </w:r>
          </w:p>
        </w:tc>
        <w:tc>
          <w:tcPr>
            <w:tcW w:w="4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7BED0B8F" w14:textId="77777777" w:rsidR="004C18D9" w:rsidRDefault="00000000">
            <w:r w:rsidRPr="001D32D8">
              <w:rPr>
                <w:color w:val="404040"/>
                <w:sz w:val="18"/>
                <w:szCs w:val="18"/>
                <w:lang w:val="en-US"/>
              </w:rPr>
              <w:t xml:space="preserve">OECD (2023). Framework for the Classification of AI Systems. </w:t>
            </w:r>
            <w:r>
              <w:rPr>
                <w:color w:val="404040"/>
                <w:sz w:val="18"/>
                <w:szCs w:val="18"/>
              </w:rPr>
              <w:t>OECD Publishing.</w:t>
            </w:r>
          </w:p>
        </w:tc>
        <w:tc>
          <w:tcPr>
            <w:tcW w:w="156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4FE167AE" w14:textId="77777777" w:rsidR="004C18D9" w:rsidRDefault="00000000">
            <w:r>
              <w:rPr>
                <w:color w:val="404040"/>
                <w:sz w:val="18"/>
                <w:szCs w:val="18"/>
              </w:rPr>
              <w:t>Estándar/Guía</w:t>
            </w:r>
          </w:p>
        </w:tc>
        <w:tc>
          <w:tcPr>
            <w:tcW w:w="1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15536C6F" w14:textId="77777777" w:rsidR="004C18D9" w:rsidRDefault="00000000">
            <w:r>
              <w:rPr>
                <w:color w:val="404040"/>
                <w:sz w:val="18"/>
                <w:szCs w:val="18"/>
              </w:rPr>
              <w:t>H4</w:t>
            </w:r>
          </w:p>
        </w:tc>
      </w:tr>
      <w:tr w:rsidR="004C18D9" w14:paraId="594E5B87"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39C9CA58" w14:textId="77777777" w:rsidR="004C18D9" w:rsidRDefault="00000000">
            <w:r>
              <w:rPr>
                <w:b/>
                <w:bCs/>
                <w:color w:val="1F3864"/>
                <w:sz w:val="18"/>
                <w:szCs w:val="18"/>
              </w:rPr>
              <w:t>S10</w:t>
            </w:r>
          </w:p>
        </w:tc>
        <w:tc>
          <w:tcPr>
            <w:tcW w:w="4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0D645303" w14:textId="77777777" w:rsidR="004C18D9" w:rsidRDefault="00000000">
            <w:r w:rsidRPr="001D32D8">
              <w:rPr>
                <w:color w:val="404040"/>
                <w:sz w:val="18"/>
                <w:szCs w:val="18"/>
                <w:lang w:val="en-US"/>
              </w:rPr>
              <w:t xml:space="preserve">Strathern, M. (1997). Improving ratings: Audit in the British university system. </w:t>
            </w:r>
            <w:proofErr w:type="spellStart"/>
            <w:r>
              <w:rPr>
                <w:color w:val="404040"/>
                <w:sz w:val="18"/>
                <w:szCs w:val="18"/>
              </w:rPr>
              <w:t>European</w:t>
            </w:r>
            <w:proofErr w:type="spellEnd"/>
            <w:r>
              <w:rPr>
                <w:color w:val="404040"/>
                <w:sz w:val="18"/>
                <w:szCs w:val="18"/>
              </w:rPr>
              <w:t xml:space="preserve"> </w:t>
            </w:r>
            <w:proofErr w:type="spellStart"/>
            <w:r>
              <w:rPr>
                <w:color w:val="404040"/>
                <w:sz w:val="18"/>
                <w:szCs w:val="18"/>
              </w:rPr>
              <w:t>Review</w:t>
            </w:r>
            <w:proofErr w:type="spellEnd"/>
            <w:r>
              <w:rPr>
                <w:color w:val="404040"/>
                <w:sz w:val="18"/>
                <w:szCs w:val="18"/>
              </w:rPr>
              <w:t>.</w:t>
            </w:r>
          </w:p>
        </w:tc>
        <w:tc>
          <w:tcPr>
            <w:tcW w:w="156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5CD140AD" w14:textId="77777777" w:rsidR="004C18D9" w:rsidRDefault="00000000">
            <w:r>
              <w:rPr>
                <w:color w:val="404040"/>
                <w:sz w:val="18"/>
                <w:szCs w:val="18"/>
              </w:rPr>
              <w:t>Académico</w:t>
            </w:r>
          </w:p>
        </w:tc>
        <w:tc>
          <w:tcPr>
            <w:tcW w:w="1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62AB1B97" w14:textId="77777777" w:rsidR="004C18D9" w:rsidRDefault="00000000">
            <w:r>
              <w:rPr>
                <w:color w:val="404040"/>
                <w:sz w:val="18"/>
                <w:szCs w:val="18"/>
              </w:rPr>
              <w:t>H1</w:t>
            </w:r>
          </w:p>
        </w:tc>
      </w:tr>
      <w:tr w:rsidR="004C18D9" w14:paraId="21031A87" w14:textId="77777777">
        <w:tc>
          <w:tcPr>
            <w:tcW w:w="12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2E1A248F" w14:textId="77777777" w:rsidR="004C18D9" w:rsidRDefault="00000000">
            <w:r>
              <w:rPr>
                <w:b/>
                <w:bCs/>
                <w:color w:val="1F3864"/>
                <w:sz w:val="18"/>
                <w:szCs w:val="18"/>
              </w:rPr>
              <w:t>S11</w:t>
            </w:r>
          </w:p>
        </w:tc>
        <w:tc>
          <w:tcPr>
            <w:tcW w:w="4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3BF9459C" w14:textId="77777777" w:rsidR="004C18D9" w:rsidRDefault="00000000">
            <w:r w:rsidRPr="001D32D8">
              <w:rPr>
                <w:color w:val="404040"/>
                <w:sz w:val="18"/>
                <w:szCs w:val="18"/>
                <w:lang w:val="en-US"/>
              </w:rPr>
              <w:t xml:space="preserve">Murphy, K. P. (2021). Probabilistic Machine Learning: An Introduction. </w:t>
            </w:r>
            <w:r>
              <w:rPr>
                <w:color w:val="404040"/>
                <w:sz w:val="18"/>
                <w:szCs w:val="18"/>
              </w:rPr>
              <w:t>MIT Press.</w:t>
            </w:r>
          </w:p>
        </w:tc>
        <w:tc>
          <w:tcPr>
            <w:tcW w:w="156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64F04C55" w14:textId="77777777" w:rsidR="004C18D9" w:rsidRDefault="00000000">
            <w:r>
              <w:rPr>
                <w:color w:val="404040"/>
                <w:sz w:val="18"/>
                <w:szCs w:val="18"/>
              </w:rPr>
              <w:t>Académico/Libro</w:t>
            </w:r>
          </w:p>
        </w:tc>
        <w:tc>
          <w:tcPr>
            <w:tcW w:w="1800" w:type="dxa"/>
            <w:tcBorders>
              <w:top w:val="single" w:sz="1" w:space="0" w:color="BBCDE0"/>
              <w:left w:val="single" w:sz="1" w:space="0" w:color="BBCDE0"/>
              <w:bottom w:val="single" w:sz="1" w:space="0" w:color="BBCDE0"/>
              <w:right w:val="single" w:sz="1" w:space="0" w:color="BBCDE0"/>
            </w:tcBorders>
            <w:shd w:val="clear" w:color="auto" w:fill="EBF3FB"/>
            <w:tcMar>
              <w:top w:w="60" w:type="dxa"/>
              <w:left w:w="120" w:type="dxa"/>
              <w:bottom w:w="60" w:type="dxa"/>
              <w:right w:w="120" w:type="dxa"/>
            </w:tcMar>
          </w:tcPr>
          <w:p w14:paraId="71AD50D6" w14:textId="77777777" w:rsidR="004C18D9" w:rsidRDefault="00000000">
            <w:r>
              <w:rPr>
                <w:color w:val="404040"/>
                <w:sz w:val="18"/>
                <w:szCs w:val="18"/>
              </w:rPr>
              <w:t>H1</w:t>
            </w:r>
          </w:p>
        </w:tc>
      </w:tr>
      <w:tr w:rsidR="004C18D9" w14:paraId="3F231A41" w14:textId="77777777">
        <w:tc>
          <w:tcPr>
            <w:tcW w:w="12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0F1D7F64" w14:textId="77777777" w:rsidR="004C18D9" w:rsidRDefault="00000000">
            <w:r>
              <w:rPr>
                <w:b/>
                <w:bCs/>
                <w:color w:val="1F3864"/>
                <w:sz w:val="18"/>
                <w:szCs w:val="18"/>
              </w:rPr>
              <w:t>S12</w:t>
            </w:r>
          </w:p>
        </w:tc>
        <w:tc>
          <w:tcPr>
            <w:tcW w:w="4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79ACEAB4" w14:textId="77777777" w:rsidR="004C18D9" w:rsidRPr="001D32D8" w:rsidRDefault="00000000">
            <w:pPr>
              <w:rPr>
                <w:lang w:val="en-US"/>
              </w:rPr>
            </w:pPr>
            <w:r>
              <w:rPr>
                <w:color w:val="404040"/>
                <w:sz w:val="18"/>
                <w:szCs w:val="18"/>
              </w:rPr>
              <w:t xml:space="preserve">Doshi-Velez, F. &amp; Kim, B. (2017). </w:t>
            </w:r>
            <w:r w:rsidRPr="001D32D8">
              <w:rPr>
                <w:color w:val="404040"/>
                <w:sz w:val="18"/>
                <w:szCs w:val="18"/>
                <w:lang w:val="en-US"/>
              </w:rPr>
              <w:t xml:space="preserve">Towards a rigorous science of interpretable ML. </w:t>
            </w:r>
            <w:proofErr w:type="spellStart"/>
            <w:r w:rsidRPr="001D32D8">
              <w:rPr>
                <w:color w:val="404040"/>
                <w:sz w:val="18"/>
                <w:szCs w:val="18"/>
                <w:lang w:val="en-US"/>
              </w:rPr>
              <w:t>arXiv</w:t>
            </w:r>
            <w:proofErr w:type="spellEnd"/>
            <w:r w:rsidRPr="001D32D8">
              <w:rPr>
                <w:color w:val="404040"/>
                <w:sz w:val="18"/>
                <w:szCs w:val="18"/>
                <w:lang w:val="en-US"/>
              </w:rPr>
              <w:t>.</w:t>
            </w:r>
          </w:p>
        </w:tc>
        <w:tc>
          <w:tcPr>
            <w:tcW w:w="156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79B4F140" w14:textId="77777777" w:rsidR="004C18D9" w:rsidRDefault="00000000">
            <w:r>
              <w:rPr>
                <w:color w:val="404040"/>
                <w:sz w:val="18"/>
                <w:szCs w:val="18"/>
              </w:rPr>
              <w:t>Estudio académico</w:t>
            </w:r>
          </w:p>
        </w:tc>
        <w:tc>
          <w:tcPr>
            <w:tcW w:w="1800" w:type="dxa"/>
            <w:tcBorders>
              <w:top w:val="single" w:sz="1" w:space="0" w:color="BBCDE0"/>
              <w:left w:val="single" w:sz="1" w:space="0" w:color="BBCDE0"/>
              <w:bottom w:val="single" w:sz="1" w:space="0" w:color="BBCDE0"/>
              <w:right w:val="single" w:sz="1" w:space="0" w:color="BBCDE0"/>
            </w:tcBorders>
            <w:shd w:val="clear" w:color="auto" w:fill="FFFFFF"/>
            <w:tcMar>
              <w:top w:w="60" w:type="dxa"/>
              <w:left w:w="120" w:type="dxa"/>
              <w:bottom w:w="60" w:type="dxa"/>
              <w:right w:w="120" w:type="dxa"/>
            </w:tcMar>
          </w:tcPr>
          <w:p w14:paraId="2D9819D0" w14:textId="77777777" w:rsidR="004C18D9" w:rsidRDefault="00000000">
            <w:r>
              <w:rPr>
                <w:color w:val="404040"/>
                <w:sz w:val="18"/>
                <w:szCs w:val="18"/>
              </w:rPr>
              <w:t>H2</w:t>
            </w:r>
          </w:p>
        </w:tc>
      </w:tr>
    </w:tbl>
    <w:p w14:paraId="40B2F359" w14:textId="77777777" w:rsidR="004C18D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8D9" w14:paraId="0EC99736" w14:textId="77777777">
        <w:tc>
          <w:tcPr>
            <w:tcW w:w="9360" w:type="dxa"/>
            <w:tcBorders>
              <w:top w:val="single" w:sz="1" w:space="0" w:color="BBCDE0"/>
              <w:left w:val="single" w:sz="1" w:space="0" w:color="BBCDE0"/>
              <w:bottom w:val="single" w:sz="1" w:space="0" w:color="BBCDE0"/>
              <w:right w:val="single" w:sz="1" w:space="0" w:color="BBCDE0"/>
            </w:tcBorders>
            <w:shd w:val="clear" w:color="auto" w:fill="D6E4F0"/>
            <w:tcMar>
              <w:top w:w="80" w:type="dxa"/>
              <w:left w:w="200" w:type="dxa"/>
              <w:bottom w:w="80" w:type="dxa"/>
              <w:right w:w="200" w:type="dxa"/>
            </w:tcMar>
          </w:tcPr>
          <w:p w14:paraId="2C2E7EF7" w14:textId="77777777" w:rsidR="004C18D9" w:rsidRDefault="00000000">
            <w:r>
              <w:rPr>
                <w:b/>
                <w:bCs/>
                <w:color w:val="1F3864"/>
                <w:sz w:val="24"/>
                <w:szCs w:val="24"/>
              </w:rPr>
              <w:lastRenderedPageBreak/>
              <w:t>REFERENCIAS BIBLIOGRÁFICAS</w:t>
            </w:r>
          </w:p>
        </w:tc>
      </w:tr>
    </w:tbl>
    <w:p w14:paraId="66BA9F0C" w14:textId="77777777" w:rsidR="004C18D9" w:rsidRDefault="004C18D9">
      <w:pPr>
        <w:spacing w:before="40" w:after="40"/>
      </w:pPr>
    </w:p>
    <w:p w14:paraId="2074848D" w14:textId="77777777" w:rsidR="004C18D9" w:rsidRPr="001D32D8" w:rsidRDefault="00000000">
      <w:pPr>
        <w:pStyle w:val="Prrafodelista"/>
        <w:numPr>
          <w:ilvl w:val="0"/>
          <w:numId w:val="2"/>
        </w:numPr>
        <w:spacing w:before="50" w:after="50"/>
        <w:rPr>
          <w:lang w:val="en-US"/>
        </w:rPr>
      </w:pPr>
      <w:r w:rsidRPr="00563733">
        <w:rPr>
          <w:color w:val="404040"/>
          <w:sz w:val="18"/>
          <w:szCs w:val="18"/>
          <w:lang w:val="en-US"/>
        </w:rPr>
        <w:t xml:space="preserve">Casper, S. et al. (2024). </w:t>
      </w:r>
      <w:r w:rsidRPr="001D32D8">
        <w:rPr>
          <w:color w:val="404040"/>
          <w:sz w:val="18"/>
          <w:szCs w:val="18"/>
          <w:lang w:val="en-US"/>
        </w:rPr>
        <w:t xml:space="preserve">Black-Box Access is Insufficient for Rigorous AI Audits. </w:t>
      </w:r>
      <w:proofErr w:type="spellStart"/>
      <w:r w:rsidRPr="001D32D8">
        <w:rPr>
          <w:color w:val="404040"/>
          <w:sz w:val="18"/>
          <w:szCs w:val="18"/>
          <w:lang w:val="en-US"/>
        </w:rPr>
        <w:t>arXiv</w:t>
      </w:r>
      <w:proofErr w:type="spellEnd"/>
      <w:r w:rsidRPr="001D32D8">
        <w:rPr>
          <w:color w:val="404040"/>
          <w:sz w:val="18"/>
          <w:szCs w:val="18"/>
          <w:lang w:val="en-US"/>
        </w:rPr>
        <w:t>. https://arxiv.org/abs/2401.14446</w:t>
      </w:r>
    </w:p>
    <w:p w14:paraId="310DCBFF" w14:textId="77777777" w:rsidR="004C18D9" w:rsidRPr="001D32D8" w:rsidRDefault="00000000">
      <w:pPr>
        <w:pStyle w:val="Prrafodelista"/>
        <w:numPr>
          <w:ilvl w:val="0"/>
          <w:numId w:val="2"/>
        </w:numPr>
        <w:spacing w:before="50" w:after="50"/>
        <w:rPr>
          <w:lang w:val="en-US"/>
        </w:rPr>
      </w:pPr>
      <w:r>
        <w:rPr>
          <w:color w:val="404040"/>
          <w:sz w:val="18"/>
          <w:szCs w:val="18"/>
        </w:rPr>
        <w:t xml:space="preserve">Costanza-Chock, S. et al. </w:t>
      </w:r>
      <w:r w:rsidRPr="00563733">
        <w:rPr>
          <w:color w:val="404040"/>
          <w:sz w:val="18"/>
          <w:szCs w:val="18"/>
          <w:lang w:val="en-US"/>
        </w:rPr>
        <w:t xml:space="preserve">(2023). </w:t>
      </w:r>
      <w:r w:rsidRPr="001D32D8">
        <w:rPr>
          <w:color w:val="404040"/>
          <w:sz w:val="18"/>
          <w:szCs w:val="18"/>
          <w:lang w:val="en-US"/>
        </w:rPr>
        <w:t xml:space="preserve">Who Audits the Auditors? Recommendations from a Field Scan of the Algorithmic Auditing Ecosystem. </w:t>
      </w:r>
      <w:proofErr w:type="spellStart"/>
      <w:r w:rsidRPr="001D32D8">
        <w:rPr>
          <w:color w:val="404040"/>
          <w:sz w:val="18"/>
          <w:szCs w:val="18"/>
          <w:lang w:val="en-US"/>
        </w:rPr>
        <w:t>arXiv</w:t>
      </w:r>
      <w:proofErr w:type="spellEnd"/>
      <w:r w:rsidRPr="001D32D8">
        <w:rPr>
          <w:color w:val="404040"/>
          <w:sz w:val="18"/>
          <w:szCs w:val="18"/>
          <w:lang w:val="en-US"/>
        </w:rPr>
        <w:t>.</w:t>
      </w:r>
    </w:p>
    <w:p w14:paraId="7957C701" w14:textId="77777777" w:rsidR="004C18D9" w:rsidRPr="001D32D8" w:rsidRDefault="00000000">
      <w:pPr>
        <w:pStyle w:val="Prrafodelista"/>
        <w:numPr>
          <w:ilvl w:val="0"/>
          <w:numId w:val="2"/>
        </w:numPr>
        <w:spacing w:before="50" w:after="50"/>
        <w:rPr>
          <w:lang w:val="en-US"/>
        </w:rPr>
      </w:pPr>
      <w:r>
        <w:rPr>
          <w:color w:val="404040"/>
          <w:sz w:val="18"/>
          <w:szCs w:val="18"/>
        </w:rPr>
        <w:t xml:space="preserve">Doshi-Velez, F. &amp; Kim, B. (2017). </w:t>
      </w:r>
      <w:r w:rsidRPr="001D32D8">
        <w:rPr>
          <w:color w:val="404040"/>
          <w:sz w:val="18"/>
          <w:szCs w:val="18"/>
          <w:lang w:val="en-US"/>
        </w:rPr>
        <w:t xml:space="preserve">Towards a rigorous science of interpretable machine learning. </w:t>
      </w:r>
      <w:proofErr w:type="spellStart"/>
      <w:r w:rsidRPr="001D32D8">
        <w:rPr>
          <w:color w:val="404040"/>
          <w:sz w:val="18"/>
          <w:szCs w:val="18"/>
          <w:lang w:val="en-US"/>
        </w:rPr>
        <w:t>arXiv</w:t>
      </w:r>
      <w:proofErr w:type="spellEnd"/>
      <w:r w:rsidRPr="001D32D8">
        <w:rPr>
          <w:color w:val="404040"/>
          <w:sz w:val="18"/>
          <w:szCs w:val="18"/>
          <w:lang w:val="en-US"/>
        </w:rPr>
        <w:t>. https://arxiv.org/abs/1702.08608</w:t>
      </w:r>
    </w:p>
    <w:p w14:paraId="377A7B9B" w14:textId="77777777" w:rsidR="004C18D9" w:rsidRDefault="00000000">
      <w:pPr>
        <w:pStyle w:val="Prrafodelista"/>
        <w:numPr>
          <w:ilvl w:val="0"/>
          <w:numId w:val="2"/>
        </w:numPr>
        <w:spacing w:before="50" w:after="50"/>
      </w:pPr>
      <w:r w:rsidRPr="001D32D8">
        <w:rPr>
          <w:color w:val="404040"/>
          <w:sz w:val="18"/>
          <w:szCs w:val="18"/>
          <w:lang w:val="en-US"/>
        </w:rPr>
        <w:t xml:space="preserve">European Commission. (2021). Proposal for a Regulation laying down </w:t>
      </w:r>
      <w:proofErr w:type="spellStart"/>
      <w:r w:rsidRPr="001D32D8">
        <w:rPr>
          <w:color w:val="404040"/>
          <w:sz w:val="18"/>
          <w:szCs w:val="18"/>
          <w:lang w:val="en-US"/>
        </w:rPr>
        <w:t>harmonised</w:t>
      </w:r>
      <w:proofErr w:type="spellEnd"/>
      <w:r w:rsidRPr="001D32D8">
        <w:rPr>
          <w:color w:val="404040"/>
          <w:sz w:val="18"/>
          <w:szCs w:val="18"/>
          <w:lang w:val="en-US"/>
        </w:rPr>
        <w:t xml:space="preserve"> rules on artificial intelligence (Artificial Intelligence Act). </w:t>
      </w:r>
      <w:proofErr w:type="spellStart"/>
      <w:r>
        <w:rPr>
          <w:color w:val="404040"/>
          <w:sz w:val="18"/>
          <w:szCs w:val="18"/>
        </w:rPr>
        <w:t>European</w:t>
      </w:r>
      <w:proofErr w:type="spellEnd"/>
      <w:r>
        <w:rPr>
          <w:color w:val="404040"/>
          <w:sz w:val="18"/>
          <w:szCs w:val="18"/>
        </w:rPr>
        <w:t xml:space="preserve"> Union.</w:t>
      </w:r>
    </w:p>
    <w:p w14:paraId="70E4C817" w14:textId="77777777" w:rsidR="004C18D9" w:rsidRPr="001D32D8" w:rsidRDefault="00000000">
      <w:pPr>
        <w:pStyle w:val="Prrafodelista"/>
        <w:numPr>
          <w:ilvl w:val="0"/>
          <w:numId w:val="2"/>
        </w:numPr>
        <w:spacing w:before="50" w:after="50"/>
        <w:rPr>
          <w:lang w:val="en-US"/>
        </w:rPr>
      </w:pPr>
      <w:r w:rsidRPr="001D32D8">
        <w:rPr>
          <w:color w:val="404040"/>
          <w:sz w:val="18"/>
          <w:szCs w:val="18"/>
          <w:lang w:val="en-US"/>
        </w:rPr>
        <w:t>Goodhart, C. A. E. (1975). Problems of monetary management: The U.K. experience. In Papers in Monetary Economics (Vol. 1). Reserve Bank of Australia.</w:t>
      </w:r>
    </w:p>
    <w:p w14:paraId="13DD11F2" w14:textId="77777777" w:rsidR="004C18D9" w:rsidRDefault="00000000">
      <w:pPr>
        <w:pStyle w:val="Prrafodelista"/>
        <w:numPr>
          <w:ilvl w:val="0"/>
          <w:numId w:val="2"/>
        </w:numPr>
        <w:spacing w:before="50" w:after="50"/>
      </w:pPr>
      <w:r w:rsidRPr="00563733">
        <w:rPr>
          <w:color w:val="404040"/>
          <w:sz w:val="18"/>
          <w:szCs w:val="18"/>
          <w:lang w:val="en-US"/>
        </w:rPr>
        <w:t xml:space="preserve">Kolt, N. et al. (2026). </w:t>
      </w:r>
      <w:r w:rsidRPr="001D32D8">
        <w:rPr>
          <w:color w:val="404040"/>
          <w:sz w:val="18"/>
          <w:szCs w:val="18"/>
          <w:lang w:val="en-US"/>
        </w:rPr>
        <w:t xml:space="preserve">Legal Alignment for Safe and Ethical AI. </w:t>
      </w:r>
      <w:r>
        <w:rPr>
          <w:color w:val="404040"/>
          <w:sz w:val="18"/>
          <w:szCs w:val="18"/>
        </w:rPr>
        <w:t>Oxford.</w:t>
      </w:r>
    </w:p>
    <w:p w14:paraId="2306207F" w14:textId="77777777" w:rsidR="004C18D9" w:rsidRDefault="00000000">
      <w:pPr>
        <w:pStyle w:val="Prrafodelista"/>
        <w:numPr>
          <w:ilvl w:val="0"/>
          <w:numId w:val="2"/>
        </w:numPr>
        <w:spacing w:before="50" w:after="50"/>
      </w:pPr>
      <w:r w:rsidRPr="001D32D8">
        <w:rPr>
          <w:color w:val="404040"/>
          <w:sz w:val="18"/>
          <w:szCs w:val="18"/>
          <w:lang w:val="en-US"/>
        </w:rPr>
        <w:t xml:space="preserve">Murphy, K. P. (2021). Probabilistic machine learning: An introduction. </w:t>
      </w:r>
      <w:r>
        <w:rPr>
          <w:color w:val="404040"/>
          <w:sz w:val="18"/>
          <w:szCs w:val="18"/>
        </w:rPr>
        <w:t>MIT Press.</w:t>
      </w:r>
    </w:p>
    <w:p w14:paraId="3D1968BA" w14:textId="77777777" w:rsidR="004C18D9" w:rsidRDefault="00000000">
      <w:pPr>
        <w:pStyle w:val="Prrafodelista"/>
        <w:numPr>
          <w:ilvl w:val="0"/>
          <w:numId w:val="2"/>
        </w:numPr>
        <w:spacing w:before="50" w:after="50"/>
      </w:pPr>
      <w:r w:rsidRPr="001D32D8">
        <w:rPr>
          <w:color w:val="404040"/>
          <w:sz w:val="18"/>
          <w:szCs w:val="18"/>
          <w:lang w:val="en-US"/>
        </w:rPr>
        <w:t xml:space="preserve">National Institute of Standards and Technology. (2023). Artificial Intelligence Risk Management Framework (AI RMF 1.0). </w:t>
      </w:r>
      <w:r>
        <w:rPr>
          <w:color w:val="404040"/>
          <w:sz w:val="18"/>
          <w:szCs w:val="18"/>
        </w:rPr>
        <w:t xml:space="preserve">U.S. </w:t>
      </w:r>
      <w:proofErr w:type="spellStart"/>
      <w:r>
        <w:rPr>
          <w:color w:val="404040"/>
          <w:sz w:val="18"/>
          <w:szCs w:val="18"/>
        </w:rPr>
        <w:t>Department</w:t>
      </w:r>
      <w:proofErr w:type="spellEnd"/>
      <w:r>
        <w:rPr>
          <w:color w:val="404040"/>
          <w:sz w:val="18"/>
          <w:szCs w:val="18"/>
        </w:rPr>
        <w:t xml:space="preserve"> </w:t>
      </w:r>
      <w:proofErr w:type="spellStart"/>
      <w:r>
        <w:rPr>
          <w:color w:val="404040"/>
          <w:sz w:val="18"/>
          <w:szCs w:val="18"/>
        </w:rPr>
        <w:t>of</w:t>
      </w:r>
      <w:proofErr w:type="spellEnd"/>
      <w:r>
        <w:rPr>
          <w:color w:val="404040"/>
          <w:sz w:val="18"/>
          <w:szCs w:val="18"/>
        </w:rPr>
        <w:t xml:space="preserve"> Commerce.</w:t>
      </w:r>
    </w:p>
    <w:p w14:paraId="12D37114" w14:textId="77777777" w:rsidR="004C18D9" w:rsidRDefault="00000000">
      <w:pPr>
        <w:pStyle w:val="Prrafodelista"/>
        <w:numPr>
          <w:ilvl w:val="0"/>
          <w:numId w:val="2"/>
        </w:numPr>
        <w:spacing w:before="50" w:after="50"/>
      </w:pPr>
      <w:r w:rsidRPr="001D32D8">
        <w:rPr>
          <w:color w:val="404040"/>
          <w:sz w:val="18"/>
          <w:szCs w:val="18"/>
          <w:lang w:val="en-US"/>
        </w:rPr>
        <w:t xml:space="preserve">OECD. (2023). OECD framework for the classification of AI systems: A tool for effective AI policies. </w:t>
      </w:r>
      <w:r>
        <w:rPr>
          <w:color w:val="404040"/>
          <w:sz w:val="18"/>
          <w:szCs w:val="18"/>
        </w:rPr>
        <w:t>OECD Publishing.</w:t>
      </w:r>
    </w:p>
    <w:p w14:paraId="54A5C702" w14:textId="77777777" w:rsidR="004C18D9" w:rsidRDefault="00000000">
      <w:pPr>
        <w:pStyle w:val="Prrafodelista"/>
        <w:numPr>
          <w:ilvl w:val="0"/>
          <w:numId w:val="2"/>
        </w:numPr>
        <w:spacing w:before="50" w:after="50"/>
      </w:pPr>
      <w:r w:rsidRPr="00563733">
        <w:rPr>
          <w:color w:val="404040"/>
          <w:sz w:val="18"/>
          <w:szCs w:val="18"/>
          <w:lang w:val="en-US"/>
        </w:rPr>
        <w:t xml:space="preserve">Singh et al. (2025). The Leaderboard Illusion. </w:t>
      </w:r>
      <w:r>
        <w:rPr>
          <w:color w:val="404040"/>
          <w:sz w:val="18"/>
          <w:szCs w:val="18"/>
        </w:rPr>
        <w:t xml:space="preserve">[Estudio sobre manipulación de </w:t>
      </w:r>
      <w:proofErr w:type="spellStart"/>
      <w:r>
        <w:rPr>
          <w:color w:val="404040"/>
          <w:sz w:val="18"/>
          <w:szCs w:val="18"/>
        </w:rPr>
        <w:t>benchmarks</w:t>
      </w:r>
      <w:proofErr w:type="spellEnd"/>
      <w:r>
        <w:rPr>
          <w:color w:val="404040"/>
          <w:sz w:val="18"/>
          <w:szCs w:val="18"/>
        </w:rPr>
        <w:t xml:space="preserve"> de LLM].</w:t>
      </w:r>
    </w:p>
    <w:p w14:paraId="76D08126" w14:textId="77777777" w:rsidR="004C18D9" w:rsidRDefault="00000000">
      <w:pPr>
        <w:pStyle w:val="Prrafodelista"/>
        <w:numPr>
          <w:ilvl w:val="0"/>
          <w:numId w:val="2"/>
        </w:numPr>
        <w:spacing w:before="50" w:after="50"/>
      </w:pPr>
      <w:r w:rsidRPr="001D32D8">
        <w:rPr>
          <w:color w:val="404040"/>
          <w:sz w:val="18"/>
          <w:szCs w:val="18"/>
          <w:lang w:val="en-US"/>
        </w:rPr>
        <w:t xml:space="preserve">Strathern, M. (1997). 'Improving ratings': Audit in the British university system. </w:t>
      </w:r>
      <w:proofErr w:type="spellStart"/>
      <w:r>
        <w:rPr>
          <w:color w:val="404040"/>
          <w:sz w:val="18"/>
          <w:szCs w:val="18"/>
        </w:rPr>
        <w:t>European</w:t>
      </w:r>
      <w:proofErr w:type="spellEnd"/>
      <w:r>
        <w:rPr>
          <w:color w:val="404040"/>
          <w:sz w:val="18"/>
          <w:szCs w:val="18"/>
        </w:rPr>
        <w:t xml:space="preserve"> </w:t>
      </w:r>
      <w:proofErr w:type="spellStart"/>
      <w:r>
        <w:rPr>
          <w:color w:val="404040"/>
          <w:sz w:val="18"/>
          <w:szCs w:val="18"/>
        </w:rPr>
        <w:t>Review</w:t>
      </w:r>
      <w:proofErr w:type="spellEnd"/>
      <w:r>
        <w:rPr>
          <w:color w:val="404040"/>
          <w:sz w:val="18"/>
          <w:szCs w:val="18"/>
        </w:rPr>
        <w:t>, 5(3), 305-321.</w:t>
      </w:r>
    </w:p>
    <w:p w14:paraId="37F77E73" w14:textId="77777777" w:rsidR="004C18D9" w:rsidRPr="001D32D8" w:rsidRDefault="00000000">
      <w:pPr>
        <w:pStyle w:val="Prrafodelista"/>
        <w:numPr>
          <w:ilvl w:val="0"/>
          <w:numId w:val="2"/>
        </w:numPr>
        <w:spacing w:before="50" w:after="50"/>
        <w:rPr>
          <w:lang w:val="en-US"/>
        </w:rPr>
      </w:pPr>
      <w:r>
        <w:rPr>
          <w:color w:val="404040"/>
          <w:sz w:val="18"/>
          <w:szCs w:val="18"/>
        </w:rPr>
        <w:t xml:space="preserve">Xia, B. et al. (2023). </w:t>
      </w:r>
      <w:r w:rsidRPr="001D32D8">
        <w:rPr>
          <w:color w:val="404040"/>
          <w:sz w:val="18"/>
          <w:szCs w:val="18"/>
          <w:lang w:val="en-US"/>
        </w:rPr>
        <w:t xml:space="preserve">Towards a Responsible AI Metrics Catalogue. </w:t>
      </w:r>
      <w:proofErr w:type="spellStart"/>
      <w:r w:rsidRPr="001D32D8">
        <w:rPr>
          <w:color w:val="404040"/>
          <w:sz w:val="18"/>
          <w:szCs w:val="18"/>
          <w:lang w:val="en-US"/>
        </w:rPr>
        <w:t>arXiv</w:t>
      </w:r>
      <w:proofErr w:type="spellEnd"/>
      <w:r w:rsidRPr="001D32D8">
        <w:rPr>
          <w:color w:val="404040"/>
          <w:sz w:val="18"/>
          <w:szCs w:val="18"/>
          <w:lang w:val="en-US"/>
        </w:rPr>
        <w:t>.</w:t>
      </w:r>
    </w:p>
    <w:p w14:paraId="2CBACE21" w14:textId="77777777" w:rsidR="004C18D9" w:rsidRPr="001D32D8" w:rsidRDefault="004C18D9">
      <w:pPr>
        <w:spacing w:before="40" w:after="40"/>
        <w:rPr>
          <w:lang w:val="en-US"/>
        </w:rPr>
      </w:pPr>
    </w:p>
    <w:p w14:paraId="1582A55A" w14:textId="77777777" w:rsidR="004C18D9" w:rsidRPr="001D32D8" w:rsidRDefault="004C18D9">
      <w:pPr>
        <w:spacing w:before="40" w:after="40"/>
        <w:rPr>
          <w:lang w:val="en-US"/>
        </w:rPr>
      </w:pPr>
    </w:p>
    <w:sectPr w:rsidR="004C18D9" w:rsidRPr="001D32D8">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FB1B" w14:textId="77777777" w:rsidR="00E77730" w:rsidRDefault="00E77730">
      <w:r>
        <w:separator/>
      </w:r>
    </w:p>
  </w:endnote>
  <w:endnote w:type="continuationSeparator" w:id="0">
    <w:p w14:paraId="1A321E71" w14:textId="77777777" w:rsidR="00E77730" w:rsidRDefault="00E77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FB59" w14:textId="77777777" w:rsidR="004C18D9" w:rsidRDefault="00000000">
    <w:pPr>
      <w:pBdr>
        <w:top w:val="single" w:sz="4" w:space="1" w:color="2E75B6"/>
      </w:pBdr>
      <w:jc w:val="center"/>
    </w:pPr>
    <w:r>
      <w:rPr>
        <w:color w:val="404040"/>
        <w:sz w:val="16"/>
        <w:szCs w:val="16"/>
      </w:rPr>
      <w:t xml:space="preserve">Riesgos modernos (Goodhart + IA): </w:t>
    </w:r>
    <w:proofErr w:type="spellStart"/>
    <w:r>
      <w:rPr>
        <w:color w:val="404040"/>
        <w:sz w:val="16"/>
        <w:szCs w:val="16"/>
      </w:rPr>
      <w:t>gaming</w:t>
    </w:r>
    <w:proofErr w:type="spellEnd"/>
    <w:r>
      <w:rPr>
        <w:color w:val="404040"/>
        <w:sz w:val="16"/>
        <w:szCs w:val="16"/>
      </w:rPr>
      <w:t xml:space="preserve">, auditoría, controles y </w:t>
    </w:r>
    <w:proofErr w:type="gramStart"/>
    <w:r>
      <w:rPr>
        <w:color w:val="404040"/>
        <w:sz w:val="16"/>
        <w:szCs w:val="16"/>
      </w:rPr>
      <w:t>responsabilidad  |</w:t>
    </w:r>
    <w:proofErr w:type="gramEnd"/>
    <w:r>
      <w:rPr>
        <w:color w:val="404040"/>
        <w:sz w:val="16"/>
        <w:szCs w:val="16"/>
      </w:rPr>
      <w:t xml:space="preserve">  Pág. </w:t>
    </w:r>
    <w:r>
      <w:rPr>
        <w:color w:val="2E75B6"/>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C89B" w14:textId="77777777" w:rsidR="00E77730" w:rsidRDefault="00E77730">
      <w:r>
        <w:separator/>
      </w:r>
    </w:p>
  </w:footnote>
  <w:footnote w:type="continuationSeparator" w:id="0">
    <w:p w14:paraId="07B5B689" w14:textId="77777777" w:rsidR="00E77730" w:rsidRDefault="00E77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640"/>
    </w:tblGrid>
    <w:tr w:rsidR="004C18D9" w14:paraId="1D26AB95" w14:textId="77777777">
      <w:tc>
        <w:tcPr>
          <w:tcW w:w="7200" w:type="dxa"/>
          <w:tcBorders>
            <w:top w:val="nil"/>
            <w:left w:val="nil"/>
            <w:bottom w:val="nil"/>
            <w:right w:val="nil"/>
          </w:tcBorders>
          <w:tcMar>
            <w:top w:w="60" w:type="dxa"/>
            <w:left w:w="0" w:type="dxa"/>
            <w:bottom w:w="60" w:type="dxa"/>
            <w:right w:w="0" w:type="dxa"/>
          </w:tcMar>
        </w:tcPr>
        <w:p w14:paraId="38D7B45E" w14:textId="77777777" w:rsidR="004C18D9" w:rsidRDefault="00000000">
          <w:r>
            <w:rPr>
              <w:color w:val="2E75B6"/>
              <w:sz w:val="16"/>
              <w:szCs w:val="16"/>
            </w:rPr>
            <w:t>ESTADO DEL ARTE — DOCTORADO QA/IA 2026</w:t>
          </w:r>
        </w:p>
      </w:tc>
      <w:tc>
        <w:tcPr>
          <w:tcW w:w="2640" w:type="dxa"/>
          <w:tcBorders>
            <w:top w:val="nil"/>
            <w:left w:val="nil"/>
            <w:bottom w:val="nil"/>
            <w:right w:val="nil"/>
          </w:tcBorders>
          <w:tcMar>
            <w:top w:w="60" w:type="dxa"/>
            <w:left w:w="0" w:type="dxa"/>
            <w:bottom w:w="60" w:type="dxa"/>
            <w:right w:w="0" w:type="dxa"/>
          </w:tcMar>
        </w:tcPr>
        <w:p w14:paraId="462F3C3C" w14:textId="77777777" w:rsidR="004C18D9" w:rsidRDefault="00000000">
          <w:pPr>
            <w:jc w:val="right"/>
          </w:pPr>
          <w:r>
            <w:rPr>
              <w:color w:val="404040"/>
              <w:sz w:val="16"/>
              <w:szCs w:val="16"/>
            </w:rPr>
            <w:t>Grupo 5 — Tema 6</w:t>
          </w:r>
        </w:p>
      </w:tc>
    </w:tr>
  </w:tbl>
  <w:p w14:paraId="6F91282D" w14:textId="77777777" w:rsidR="004C18D9" w:rsidRDefault="004C18D9">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4A9D"/>
    <w:multiLevelType w:val="hybridMultilevel"/>
    <w:tmpl w:val="7F80DECA"/>
    <w:lvl w:ilvl="0" w:tplc="9850C7C0">
      <w:start w:val="1"/>
      <w:numFmt w:val="bullet"/>
      <w:lvlText w:val="●"/>
      <w:lvlJc w:val="left"/>
      <w:pPr>
        <w:ind w:left="720" w:hanging="360"/>
      </w:pPr>
    </w:lvl>
    <w:lvl w:ilvl="1" w:tplc="C4C8B032">
      <w:start w:val="1"/>
      <w:numFmt w:val="bullet"/>
      <w:lvlText w:val="○"/>
      <w:lvlJc w:val="left"/>
      <w:pPr>
        <w:ind w:left="1440" w:hanging="360"/>
      </w:pPr>
    </w:lvl>
    <w:lvl w:ilvl="2" w:tplc="FE940AF6">
      <w:start w:val="1"/>
      <w:numFmt w:val="bullet"/>
      <w:lvlText w:val="■"/>
      <w:lvlJc w:val="left"/>
      <w:pPr>
        <w:ind w:left="2160" w:hanging="360"/>
      </w:pPr>
    </w:lvl>
    <w:lvl w:ilvl="3" w:tplc="CC509676">
      <w:start w:val="1"/>
      <w:numFmt w:val="bullet"/>
      <w:lvlText w:val="●"/>
      <w:lvlJc w:val="left"/>
      <w:pPr>
        <w:ind w:left="2880" w:hanging="360"/>
      </w:pPr>
    </w:lvl>
    <w:lvl w:ilvl="4" w:tplc="BEEAD24C">
      <w:start w:val="1"/>
      <w:numFmt w:val="bullet"/>
      <w:lvlText w:val="○"/>
      <w:lvlJc w:val="left"/>
      <w:pPr>
        <w:ind w:left="3600" w:hanging="360"/>
      </w:pPr>
    </w:lvl>
    <w:lvl w:ilvl="5" w:tplc="3A3C5ADC">
      <w:start w:val="1"/>
      <w:numFmt w:val="bullet"/>
      <w:lvlText w:val="■"/>
      <w:lvlJc w:val="left"/>
      <w:pPr>
        <w:ind w:left="4320" w:hanging="360"/>
      </w:pPr>
    </w:lvl>
    <w:lvl w:ilvl="6" w:tplc="3F644EBE">
      <w:start w:val="1"/>
      <w:numFmt w:val="bullet"/>
      <w:lvlText w:val="●"/>
      <w:lvlJc w:val="left"/>
      <w:pPr>
        <w:ind w:left="5040" w:hanging="360"/>
      </w:pPr>
    </w:lvl>
    <w:lvl w:ilvl="7" w:tplc="1FE055FE">
      <w:start w:val="1"/>
      <w:numFmt w:val="bullet"/>
      <w:lvlText w:val="●"/>
      <w:lvlJc w:val="left"/>
      <w:pPr>
        <w:ind w:left="5760" w:hanging="360"/>
      </w:pPr>
    </w:lvl>
    <w:lvl w:ilvl="8" w:tplc="7C3A3504">
      <w:start w:val="1"/>
      <w:numFmt w:val="bullet"/>
      <w:lvlText w:val="●"/>
      <w:lvlJc w:val="left"/>
      <w:pPr>
        <w:ind w:left="6480" w:hanging="360"/>
      </w:pPr>
    </w:lvl>
  </w:abstractNum>
  <w:abstractNum w:abstractNumId="1" w15:restartNumberingAfterBreak="0">
    <w:nsid w:val="45C6022C"/>
    <w:multiLevelType w:val="hybridMultilevel"/>
    <w:tmpl w:val="EE14FCD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5062167E"/>
    <w:multiLevelType w:val="hybridMultilevel"/>
    <w:tmpl w:val="0DB2BC56"/>
    <w:lvl w:ilvl="0" w:tplc="C680BC4A">
      <w:start w:val="1"/>
      <w:numFmt w:val="bullet"/>
      <w:lvlText w:val="•"/>
      <w:lvlJc w:val="left"/>
      <w:pPr>
        <w:ind w:left="720" w:hanging="360"/>
      </w:pPr>
    </w:lvl>
    <w:lvl w:ilvl="1" w:tplc="0CA42F00">
      <w:start w:val="1"/>
      <w:numFmt w:val="bullet"/>
      <w:lvlText w:val="◦"/>
      <w:lvlJc w:val="left"/>
      <w:pPr>
        <w:ind w:left="1080" w:hanging="360"/>
      </w:pPr>
    </w:lvl>
    <w:lvl w:ilvl="2" w:tplc="5DB204EC">
      <w:numFmt w:val="decimal"/>
      <w:lvlText w:val=""/>
      <w:lvlJc w:val="left"/>
    </w:lvl>
    <w:lvl w:ilvl="3" w:tplc="12161B56">
      <w:numFmt w:val="decimal"/>
      <w:lvlText w:val=""/>
      <w:lvlJc w:val="left"/>
    </w:lvl>
    <w:lvl w:ilvl="4" w:tplc="22F69AE4">
      <w:numFmt w:val="decimal"/>
      <w:lvlText w:val=""/>
      <w:lvlJc w:val="left"/>
    </w:lvl>
    <w:lvl w:ilvl="5" w:tplc="C338EB3A">
      <w:numFmt w:val="decimal"/>
      <w:lvlText w:val=""/>
      <w:lvlJc w:val="left"/>
    </w:lvl>
    <w:lvl w:ilvl="6" w:tplc="B5CE423A">
      <w:numFmt w:val="decimal"/>
      <w:lvlText w:val=""/>
      <w:lvlJc w:val="left"/>
    </w:lvl>
    <w:lvl w:ilvl="7" w:tplc="155813F8">
      <w:numFmt w:val="decimal"/>
      <w:lvlText w:val=""/>
      <w:lvlJc w:val="left"/>
    </w:lvl>
    <w:lvl w:ilvl="8" w:tplc="6DA0F98E">
      <w:numFmt w:val="decimal"/>
      <w:lvlText w:val=""/>
      <w:lvlJc w:val="left"/>
    </w:lvl>
  </w:abstractNum>
  <w:num w:numId="1" w16cid:durableId="891883789">
    <w:abstractNumId w:val="0"/>
    <w:lvlOverride w:ilvl="0">
      <w:startOverride w:val="1"/>
    </w:lvlOverride>
  </w:num>
  <w:num w:numId="2" w16cid:durableId="1919098912">
    <w:abstractNumId w:val="2"/>
    <w:lvlOverride w:ilvl="0">
      <w:startOverride w:val="1"/>
    </w:lvlOverride>
  </w:num>
  <w:num w:numId="3" w16cid:durableId="191964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8D9"/>
    <w:rsid w:val="001519CE"/>
    <w:rsid w:val="001D32D8"/>
    <w:rsid w:val="002A3CD3"/>
    <w:rsid w:val="003C2D61"/>
    <w:rsid w:val="004C18D9"/>
    <w:rsid w:val="00563733"/>
    <w:rsid w:val="005C1DAD"/>
    <w:rsid w:val="00697C01"/>
    <w:rsid w:val="008A0EA7"/>
    <w:rsid w:val="00935E5A"/>
    <w:rsid w:val="00BF2CA3"/>
    <w:rsid w:val="00E77730"/>
    <w:rsid w:val="00F82417"/>
    <w:rsid w:val="00FE757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2BC8"/>
  <w15:docId w15:val="{20A129C6-35A4-4049-A158-20488BDE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3864"/>
      <w:sz w:val="30"/>
      <w:szCs w:val="30"/>
    </w:rPr>
  </w:style>
  <w:style w:type="paragraph" w:styleId="Ttulo2">
    <w:name w:val="heading 2"/>
    <w:uiPriority w:val="9"/>
    <w:unhideWhenUsed/>
    <w:qFormat/>
    <w:pPr>
      <w:spacing w:before="240" w:after="80"/>
      <w:outlineLvl w:val="1"/>
    </w:pPr>
    <w:rPr>
      <w:b/>
      <w:bCs/>
      <w:color w:val="2E75B6"/>
      <w:sz w:val="24"/>
      <w:szCs w:val="24"/>
    </w:rPr>
  </w:style>
  <w:style w:type="paragraph" w:styleId="Ttulo3">
    <w:name w:val="heading 3"/>
    <w:uiPriority w:val="9"/>
    <w:unhideWhenUsed/>
    <w:qFormat/>
    <w:pPr>
      <w:spacing w:before="160" w:after="6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2770</Words>
  <Characters>16594</Characters>
  <Application>Microsoft Office Word</Application>
  <DocSecurity>0</DocSecurity>
  <Lines>436</Lines>
  <Paragraphs>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Helder Fernandez</cp:lastModifiedBy>
  <cp:revision>2</cp:revision>
  <dcterms:created xsi:type="dcterms:W3CDTF">2026-03-07T04:58:00Z</dcterms:created>
  <dcterms:modified xsi:type="dcterms:W3CDTF">2026-03-07T04:58:00Z</dcterms:modified>
</cp:coreProperties>
</file>