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80"/>
        <w:jc w:val="center"/>
      </w:pPr>
      <w:r>
        <w:rPr>
          <w:b/>
          <w:i w:val="0"/>
          <w:color w:val="1F3A5F"/>
          <w:sz w:val="48"/>
        </w:rPr>
        <w:t>Justificación y Documentación de la Arquitectura de Software</w:t>
      </w:r>
    </w:p>
    <w:p>
      <w:pPr>
        <w:spacing w:after="480"/>
        <w:jc w:val="center"/>
      </w:pPr>
      <w:r>
        <w:rPr>
          <w:b w:val="0"/>
          <w:i w:val="0"/>
          <w:sz w:val="28"/>
        </w:rPr>
        <w:t>Impulsores, escenarios de calidad, decisiones y alternativas evaluadas</w:t>
      </w:r>
    </w:p>
    <w:p>
      <w:pPr>
        <w:spacing w:after="80"/>
        <w:jc w:val="center"/>
      </w:pPr>
      <w:r>
        <w:rPr>
          <w:b/>
          <w:i w:val="0"/>
          <w:color w:val="008A3E"/>
          <w:sz w:val="60"/>
        </w:rPr>
        <w:t>GASTRO-SIM</w:t>
      </w:r>
    </w:p>
    <w:p>
      <w:pPr>
        <w:spacing w:after="800"/>
        <w:jc w:val="center"/>
      </w:pPr>
      <w:r>
        <w:rPr>
          <w:b w:val="0"/>
          <w:i w:val="0"/>
          <w:sz w:val="24"/>
        </w:rPr>
        <w:t>Simulador web 3D para el entrenamiento de la toma de decisiones humano–IA en escenarios gastrointestinales</w:t>
      </w:r>
    </w:p>
    <w:p>
      <w:pPr>
        <w:spacing w:after="40"/>
        <w:jc w:val="center"/>
      </w:pPr>
      <w:r>
        <w:rPr>
          <w:b w:val="0"/>
          <w:i w:val="0"/>
          <w:sz w:val="22"/>
        </w:rPr>
        <w:t>Equipo ITEVOLUTION</w:t>
      </w:r>
    </w:p>
    <w:p>
      <w:pPr>
        <w:spacing w:after="40"/>
        <w:jc w:val="center"/>
      </w:pPr>
      <w:r>
        <w:rPr>
          <w:b w:val="0"/>
          <w:i w:val="0"/>
          <w:sz w:val="22"/>
        </w:rPr>
        <w:t>Universidad Santiago de Cali – Facultad de Ingeniería – Ingeniería de Sistemas</w:t>
      </w:r>
    </w:p>
    <w:p>
      <w:pPr>
        <w:spacing w:after="40"/>
        <w:jc w:val="center"/>
      </w:pPr>
      <w:r>
        <w:rPr>
          <w:b w:val="0"/>
          <w:i w:val="0"/>
          <w:sz w:val="22"/>
        </w:rPr>
        <w:t>Gestión de Proyectos de TI · 2026-B · Docente: Jair E. Sanclemente Castro</w:t>
      </w:r>
    </w:p>
    <w:p>
      <w:pPr>
        <w:spacing w:after="40"/>
        <w:jc w:val="center"/>
      </w:pPr>
      <w:r>
        <w:rPr>
          <w:b w:val="0"/>
          <w:i w:val="0"/>
          <w:sz w:val="22"/>
        </w:rPr>
        <w:t>Versión 1.0 · 25/10/2026</w:t>
      </w:r>
    </w:p>
    <w:p>
      <w:r>
        <w:br w:type="page"/>
      </w:r>
    </w:p>
    <w:p>
      <w:pPr>
        <w:spacing w:after="120"/>
        <w:jc w:val="left"/>
      </w:pPr>
      <w:r>
        <w:rPr>
          <w:b/>
          <w:i w:val="0"/>
          <w:color w:val="1F3A5F"/>
          <w:sz w:val="26"/>
        </w:rPr>
        <w:t>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51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Documento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Justificación y Documentación de la Arquitectura de Software de GASTRO-SIM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Versión / fecha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1.0 · 25/10/2026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Elaborado por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Emmanuel Ospina Giraldo (Director de Proyecto)</w:t>
            </w:r>
          </w:p>
          <w:p>
            <w:r>
              <w:rPr>
                <w:sz w:val="18"/>
              </w:rPr>
              <w:t>Diego Armando Agudelo (Proveedor de Soluciones – Development Manager)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Revisado por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Nestor David Velasco Orozco (Garantía de Calidad – Quality Manager)</w:t>
            </w:r>
          </w:p>
          <w:p>
            <w:r>
              <w:rPr>
                <w:sz w:val="18"/>
              </w:rPr>
              <w:t>Jahan Michelle Chará Bolaños (Analista – Planning Manager)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Aprobado por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Jair E. Sanclemente Castro – Propietario del Proyecto (Product Owner)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Paquete de la EDT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3.1 Arquitectura y despliegue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Documentos base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Acta de Constitución v1.2 · Matriz de Trazabilidad v1.3 · SRS ISO/IEC/IEEE 29148 v1.0 · Caso de uso general v1.0 · EDT v1.1</w:t>
            </w:r>
          </w:p>
        </w:tc>
      </w:tr>
    </w:tbl>
    <w:p>
      <w:pPr>
        <w:spacing w:after="0"/>
      </w:pPr>
    </w:p>
    <w:p>
      <w:pPr>
        <w:spacing w:after="120"/>
        <w:jc w:val="left"/>
      </w:pPr>
      <w:r>
        <w:rPr>
          <w:b/>
          <w:i w:val="0"/>
          <w:color w:val="1F3A5F"/>
          <w:sz w:val="26"/>
        </w:rPr>
        <w:t>Tabla de contenido</w:t>
      </w:r>
    </w:p>
    <w:p>
      <w:fldSimple w:instr="TOC \o &quot;1-2&quot; \h \z \u">
        <w:r>
          <w:t>Haga clic derecho aquí y elija «Actualizar campo» para generar la tabla de contenido.</w:t>
        </w:r>
      </w:fldSimple>
    </w:p>
    <w:p>
      <w:r>
        <w:br w:type="page"/>
      </w:r>
    </w:p>
    <w:p>
      <w:pPr>
        <w:pStyle w:val="Heading1"/>
      </w:pPr>
      <w:r>
        <w:t>1. Introducción</w:t>
      </w:r>
    </w:p>
    <w:p>
      <w:pPr>
        <w:spacing w:after="120"/>
        <w:jc w:val="both"/>
      </w:pPr>
      <w:r>
        <w:rPr>
          <w:b w:val="0"/>
          <w:i w:val="0"/>
        </w:rPr>
        <w:t>Documentar una arquitectura no es solo dibujarla: también hay que dejar escrito por qué se eligió así, qué otras opciones se consideraron y qué se sacrifica con cada decisión. Sin esa justificación, quien llegue después verá el diseño pero no podrá saber si una pieza es esencial o un accidente, y cualquier cambio será una apuesta.</w:t>
      </w:r>
    </w:p>
    <w:p>
      <w:pPr>
        <w:spacing w:after="120"/>
        <w:jc w:val="both"/>
      </w:pPr>
      <w:r>
        <w:rPr>
          <w:b w:val="0"/>
          <w:i w:val="0"/>
        </w:rPr>
        <w:t xml:space="preserve">Este documento sigue el enfoque del Software Engineering Institute (SEI) de Carnegie Mellon: partir de los </w:t>
      </w:r>
      <w:r>
        <w:rPr>
          <w:b/>
          <w:i w:val="0"/>
        </w:rPr>
        <w:t>impulsores arquitectónicos</w:t>
      </w:r>
      <w:r>
        <w:rPr>
          <w:b w:val="0"/>
          <w:i w:val="0"/>
        </w:rPr>
        <w:t xml:space="preserve"> (objetivos, restricciones y atributos de calidad), expresar la calidad esperada como </w:t>
      </w:r>
      <w:r>
        <w:rPr>
          <w:b/>
          <w:i w:val="0"/>
        </w:rPr>
        <w:t>escenarios medibles</w:t>
      </w:r>
      <w:r>
        <w:rPr>
          <w:b w:val="0"/>
          <w:i w:val="0"/>
        </w:rPr>
        <w:t xml:space="preserve">, registrar cada </w:t>
      </w:r>
      <w:r>
        <w:rPr>
          <w:b/>
          <w:i w:val="0"/>
        </w:rPr>
        <w:t>decisión</w:t>
      </w:r>
      <w:r>
        <w:rPr>
          <w:b w:val="0"/>
          <w:i w:val="0"/>
        </w:rPr>
        <w:t xml:space="preserve"> con sus alternativas y consecuencias, y terminar con un análisis de </w:t>
      </w:r>
      <w:r>
        <w:rPr>
          <w:b/>
          <w:i w:val="0"/>
        </w:rPr>
        <w:t>riesgos, puntos de sensibilidad y compromisos</w:t>
      </w:r>
      <w:r>
        <w:rPr>
          <w:b w:val="0"/>
          <w:i w:val="0"/>
        </w:rPr>
        <w:t>, en la línea del método de evaluación ATAM. Complementa a los documentos de Arquitectura del Sistema y Arquitectura del Software, que describen el qué; este explica el porqué.</w:t>
      </w:r>
    </w:p>
    <w:p>
      <w:pPr>
        <w:pStyle w:val="Heading1"/>
      </w:pPr>
      <w:r>
        <w:t>2. Impulsores arquitectónicos</w:t>
      </w:r>
    </w:p>
    <w:p>
      <w:pPr>
        <w:pStyle w:val="Heading2"/>
      </w:pPr>
      <w:r>
        <w:t>2.1 Objetivos del proyecto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Entregar en tres ciclos TSP (v0.5 el 25/10, v0.9 el 15/11 y v1.0 el 29/11 de 2026) un simulador web 3D funcional y validado por el Propietario del Proyecto.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Medir con datos confiables cómo deciden los estudiantes frente a una IA que a veces se equivoca a propósito.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Mantener coherencia con la documentación del curso (PMBOK 6, PM², TSP e ISO/IEC/IEEE 29148).</w:t>
      </w:r>
    </w:p>
    <w:p>
      <w:pPr>
        <w:pStyle w:val="Heading2"/>
      </w:pPr>
      <w:r>
        <w:t>2.2 Restricciones</w:t>
      </w: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1. Restricciones que condicionan la arquitectura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794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306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Restricción</w:t>
            </w:r>
          </w:p>
        </w:tc>
        <w:tc>
          <w:tcPr>
            <w:tcW w:type="dxa" w:w="2154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3345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Efecto en el diseño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R-1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El simulador debe ser 3D y ejecutarse en el navegador, sin instalar nada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Propietario del Proyecto, RF-03.1</w:t>
            </w:r>
          </w:p>
        </w:tc>
        <w:tc>
          <w:tcPr>
            <w:tcW w:type="dxa" w:w="3345"/>
          </w:tcPr>
          <w:p>
            <w:r>
              <w:rPr>
                <w:sz w:val="17"/>
              </w:rPr>
              <w:t>Motor 3D web; no se considera una aplicación de escritorio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R-2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Verificación en dos pasos obligatoria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Acta de Constitución, RF-01.5</w:t>
            </w:r>
          </w:p>
        </w:tc>
        <w:tc>
          <w:tcPr>
            <w:tcW w:type="dxa" w:w="3345"/>
          </w:tcPr>
          <w:p>
            <w:r>
              <w:rPr>
                <w:sz w:val="17"/>
              </w:rPr>
              <w:t>Proveedor de identidad con TOTP integrado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R-3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Equipo de 5 personas con dedicación parcial y 7 semanas de construcción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Acta y cronograma (riesgo R11)</w:t>
            </w:r>
          </w:p>
        </w:tc>
        <w:tc>
          <w:tcPr>
            <w:tcW w:type="dxa" w:w="3345"/>
          </w:tcPr>
          <w:p>
            <w:r>
              <w:rPr>
                <w:sz w:val="17"/>
              </w:rPr>
              <w:t>Una sola unidad desplegable; servicios administrados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R-4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Presupuesto cero: planes gratuitos o educativos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Acta de Constitución</w:t>
            </w:r>
          </w:p>
        </w:tc>
        <w:tc>
          <w:tcPr>
            <w:tcW w:type="dxa" w:w="3345"/>
          </w:tcPr>
          <w:p>
            <w:r>
              <w:rPr>
                <w:sz w:val="17"/>
              </w:rPr>
              <w:t>Supabase y Gemini en plan gratuito; solo datos sintéticos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R-5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Solo imágenes públicas desidentificadas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RNF-08, Ley 1581 de 2012</w:t>
            </w:r>
          </w:p>
        </w:tc>
        <w:tc>
          <w:tcPr>
            <w:tcW w:type="dxa" w:w="3345"/>
          </w:tcPr>
          <w:p>
            <w:r>
              <w:rPr>
                <w:sz w:val="17"/>
              </w:rPr>
              <w:t>Dataset HyperKvasir; historias generadas por IA</w:t>
            </w:r>
          </w:p>
        </w:tc>
      </w:tr>
      <w:tr>
        <w:tc>
          <w:tcPr>
            <w:tcW w:type="dxa" w:w="794"/>
          </w:tcPr>
          <w:p>
            <w:r>
              <w:rPr>
                <w:sz w:val="17"/>
              </w:rPr>
              <w:t>R-6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Instalación con un solo comando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RNF-10</w:t>
            </w:r>
          </w:p>
        </w:tc>
        <w:tc>
          <w:tcPr>
            <w:tcW w:type="dxa" w:w="3345"/>
          </w:tcPr>
          <w:p>
            <w:r>
              <w:rPr>
                <w:sz w:val="17"/>
              </w:rPr>
              <w:t>Docker y docker compose</w:t>
            </w:r>
          </w:p>
        </w:tc>
      </w:tr>
    </w:tbl>
    <w:p>
      <w:pPr>
        <w:spacing w:after="0"/>
      </w:pPr>
    </w:p>
    <w:p>
      <w:pPr>
        <w:pStyle w:val="Heading2"/>
      </w:pPr>
      <w:r>
        <w:t>2.3 Requisitos funcionales con peso arquitectónico</w:t>
      </w:r>
    </w:p>
    <w:p>
      <w:pPr>
        <w:spacing w:after="120"/>
        <w:jc w:val="both"/>
      </w:pPr>
      <w:r>
        <w:rPr>
          <w:b w:val="0"/>
          <w:i w:val="0"/>
        </w:rPr>
        <w:t>No todos los requisitos influyen en la arquitectura. Estos sí, porque obligan a decidir dónde vive la lógica o cómo se protege la información:</w:t>
      </w:r>
    </w:p>
    <w:p>
      <w:pPr>
        <w:pStyle w:val="ListBullet"/>
        <w:spacing w:after="40"/>
        <w:jc w:val="left"/>
      </w:pPr>
      <w:r>
        <w:rPr>
          <w:b/>
          <w:i w:val="0"/>
        </w:rPr>
        <w:t>RF-05 y RF-07.2:</w:t>
      </w:r>
      <w:r>
        <w:rPr>
          <w:b w:val="0"/>
          <w:i w:val="0"/>
        </w:rPr>
        <w:t xml:space="preserve"> el usuario no debe ver la recomendación antes de decidir ni la respuesta antes de terminar. Esto exige que el servidor controle el flujo y guarde la respuesta de referencia.</w:t>
      </w:r>
    </w:p>
    <w:p>
      <w:pPr>
        <w:pStyle w:val="ListBullet"/>
        <w:spacing w:after="40"/>
        <w:jc w:val="left"/>
      </w:pPr>
      <w:r>
        <w:rPr>
          <w:b/>
          <w:i w:val="0"/>
        </w:rPr>
        <w:t>RF-08:</w:t>
      </w:r>
      <w:r>
        <w:rPr>
          <w:b w:val="0"/>
          <w:i w:val="0"/>
        </w:rPr>
        <w:t xml:space="preserve"> la alteración de recomendaciones debe ser configurable y extensible a nuevos tipos.</w:t>
      </w:r>
    </w:p>
    <w:p>
      <w:pPr>
        <w:pStyle w:val="ListBullet"/>
        <w:spacing w:after="40"/>
        <w:jc w:val="left"/>
      </w:pPr>
      <w:r>
        <w:rPr>
          <w:b/>
          <w:i w:val="0"/>
        </w:rPr>
        <w:t>RF-14:</w:t>
      </w:r>
      <w:r>
        <w:rPr>
          <w:b w:val="0"/>
          <w:i w:val="0"/>
        </w:rPr>
        <w:t xml:space="preserve"> los casos se generan con un modelo de lenguaje externo, deben validarse y ser reproducibles.</w:t>
      </w:r>
    </w:p>
    <w:p>
      <w:pPr>
        <w:pStyle w:val="ListBullet"/>
        <w:spacing w:after="40"/>
        <w:jc w:val="left"/>
      </w:pPr>
      <w:r>
        <w:rPr>
          <w:b/>
          <w:i w:val="0"/>
        </w:rPr>
        <w:t>RF-12 y RF-15:</w:t>
      </w:r>
      <w:r>
        <w:rPr>
          <w:b w:val="0"/>
          <w:i w:val="0"/>
        </w:rPr>
        <w:t xml:space="preserve"> cada intento produce datos de investigación que deben quedar separados de la identidad del usuario.</w:t>
      </w:r>
    </w:p>
    <w:p>
      <w:pPr>
        <w:pStyle w:val="Heading1"/>
      </w:pPr>
      <w:r>
        <w:t>3. Árbol de utilidad</w:t>
      </w:r>
    </w:p>
    <w:p>
      <w:pPr>
        <w:spacing w:after="120"/>
        <w:jc w:val="both"/>
      </w:pPr>
      <w:r>
        <w:rPr>
          <w:b w:val="0"/>
          <w:i w:val="0"/>
        </w:rPr>
        <w:t>El árbol de utilidad ordena los atributos de calidad según dos criterios: su importancia para el negocio (A = alta, M = media, B = baja) y la dificultad técnica de lograrlos. Los escenarios marcados (A, A) son los que más condicionan la arquitectura.</w:t>
      </w: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2. Árbol de utilidad de GASTRO-SIM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Atributo</w:t>
            </w:r>
          </w:p>
        </w:tc>
        <w:tc>
          <w:tcPr>
            <w:tcW w:type="dxa" w:w="204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Refinamiento</w:t>
            </w:r>
          </w:p>
        </w:tc>
        <w:tc>
          <w:tcPr>
            <w:tcW w:type="dxa" w:w="4082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Escenario</w:t>
            </w:r>
          </w:p>
        </w:tc>
        <w:tc>
          <w:tcPr>
            <w:tcW w:type="dxa" w:w="153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Importancia, dificultad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Rendimiento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Escena 3D fluida</w:t>
            </w:r>
          </w:p>
        </w:tc>
        <w:tc>
          <w:tcPr>
            <w:tcW w:type="dxa" w:w="4082"/>
          </w:tcPr>
          <w:p>
            <w:r>
              <w:rPr>
                <w:sz w:val="17"/>
              </w:rPr>
              <w:t>E1: 30 FPS en un portátil con gráficos integrados</w:t>
            </w:r>
          </w:p>
        </w:tc>
        <w:tc>
          <w:tcPr>
            <w:tcW w:type="dxa" w:w="1531"/>
          </w:tcPr>
          <w:p>
            <w:r>
              <w:rPr>
                <w:sz w:val="17"/>
              </w:rPr>
              <w:t>(A, A)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Rendimiento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Generación de casos</w:t>
            </w:r>
          </w:p>
        </w:tc>
        <w:tc>
          <w:tcPr>
            <w:tcW w:type="dxa" w:w="4082"/>
          </w:tcPr>
          <w:p>
            <w:r>
              <w:rPr>
                <w:sz w:val="17"/>
              </w:rPr>
              <w:t>E2: caso listo en menos de 15 s en el 90 % de las solicitudes</w:t>
            </w:r>
          </w:p>
        </w:tc>
        <w:tc>
          <w:tcPr>
            <w:tcW w:type="dxa" w:w="1531"/>
          </w:tcPr>
          <w:p>
            <w:r>
              <w:rPr>
                <w:sz w:val="17"/>
              </w:rPr>
              <w:t>(A, A)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Seguridad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Integridad del experimento</w:t>
            </w:r>
          </w:p>
        </w:tc>
        <w:tc>
          <w:tcPr>
            <w:tcW w:type="dxa" w:w="4082"/>
          </w:tcPr>
          <w:p>
            <w:r>
              <w:rPr>
                <w:sz w:val="17"/>
              </w:rPr>
              <w:t>E3: nadie obtiene la respuesta antes de su decisión final</w:t>
            </w:r>
          </w:p>
        </w:tc>
        <w:tc>
          <w:tcPr>
            <w:tcW w:type="dxa" w:w="1531"/>
          </w:tcPr>
          <w:p>
            <w:r>
              <w:rPr>
                <w:sz w:val="17"/>
              </w:rPr>
              <w:t>(A, M)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Seguridad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Acceso</w:t>
            </w:r>
          </w:p>
        </w:tc>
        <w:tc>
          <w:tcPr>
            <w:tcW w:type="dxa" w:w="4082"/>
          </w:tcPr>
          <w:p>
            <w:r>
              <w:rPr>
                <w:sz w:val="17"/>
              </w:rPr>
              <w:t>E4: ninguna cuenta entra sin el segundo factor</w:t>
            </w:r>
          </w:p>
        </w:tc>
        <w:tc>
          <w:tcPr>
            <w:tcW w:type="dxa" w:w="1531"/>
          </w:tcPr>
          <w:p>
            <w:r>
              <w:rPr>
                <w:sz w:val="17"/>
              </w:rPr>
              <w:t>(A, B)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Disponibilidad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Tolerancia a fallas externas</w:t>
            </w:r>
          </w:p>
        </w:tc>
        <w:tc>
          <w:tcPr>
            <w:tcW w:type="dxa" w:w="4082"/>
          </w:tcPr>
          <w:p>
            <w:r>
              <w:rPr>
                <w:sz w:val="17"/>
              </w:rPr>
              <w:t>E5: si el modelo de lenguaje no responde, el intento continúa</w:t>
            </w:r>
          </w:p>
        </w:tc>
        <w:tc>
          <w:tcPr>
            <w:tcW w:type="dxa" w:w="1531"/>
          </w:tcPr>
          <w:p>
            <w:r>
              <w:rPr>
                <w:sz w:val="17"/>
              </w:rPr>
              <w:t>(A, M)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Modificabilidad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Cambio de proveedor de IA</w:t>
            </w:r>
          </w:p>
        </w:tc>
        <w:tc>
          <w:tcPr>
            <w:tcW w:type="dxa" w:w="4082"/>
          </w:tcPr>
          <w:p>
            <w:r>
              <w:rPr>
                <w:sz w:val="17"/>
              </w:rPr>
              <w:t>E6: cambiar de modelo o proveedor en menos de un día</w:t>
            </w:r>
          </w:p>
        </w:tc>
        <w:tc>
          <w:tcPr>
            <w:tcW w:type="dxa" w:w="1531"/>
          </w:tcPr>
          <w:p>
            <w:r>
              <w:rPr>
                <w:sz w:val="17"/>
              </w:rPr>
              <w:t>(M, M)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Modificabilidad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Nuevos tipos de alteración</w:t>
            </w:r>
          </w:p>
        </w:tc>
        <w:tc>
          <w:tcPr>
            <w:tcW w:type="dxa" w:w="4082"/>
          </w:tcPr>
          <w:p>
            <w:r>
              <w:rPr>
                <w:sz w:val="17"/>
              </w:rPr>
              <w:t>E7: agregar un tipo de alteración sin tocar otros módulos</w:t>
            </w:r>
          </w:p>
        </w:tc>
        <w:tc>
          <w:tcPr>
            <w:tcW w:type="dxa" w:w="1531"/>
          </w:tcPr>
          <w:p>
            <w:r>
              <w:rPr>
                <w:sz w:val="17"/>
              </w:rPr>
              <w:t>(M, B)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Portabilidad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Instalación</w:t>
            </w:r>
          </w:p>
        </w:tc>
        <w:tc>
          <w:tcPr>
            <w:tcW w:type="dxa" w:w="4082"/>
          </w:tcPr>
          <w:p>
            <w:r>
              <w:rPr>
                <w:sz w:val="17"/>
              </w:rPr>
              <w:t>E8: sistema funcionando en un equipo limpio en menos de 15 min</w:t>
            </w:r>
          </w:p>
        </w:tc>
        <w:tc>
          <w:tcPr>
            <w:tcW w:type="dxa" w:w="1531"/>
          </w:tcPr>
          <w:p>
            <w:r>
              <w:rPr>
                <w:sz w:val="17"/>
              </w:rPr>
              <w:t>(M, B)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Privacidad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Datos de investigación</w:t>
            </w:r>
          </w:p>
        </w:tc>
        <w:tc>
          <w:tcPr>
            <w:tcW w:type="dxa" w:w="4082"/>
          </w:tcPr>
          <w:p>
            <w:r>
              <w:rPr>
                <w:sz w:val="17"/>
              </w:rPr>
              <w:t>E9: la exportación no permite identificar a nadie</w:t>
            </w:r>
          </w:p>
        </w:tc>
        <w:tc>
          <w:tcPr>
            <w:tcW w:type="dxa" w:w="1531"/>
          </w:tcPr>
          <w:p>
            <w:r>
              <w:rPr>
                <w:sz w:val="17"/>
              </w:rPr>
              <w:t>(A, B)</w:t>
            </w:r>
          </w:p>
        </w:tc>
      </w:tr>
    </w:tbl>
    <w:p>
      <w:pPr>
        <w:spacing w:after="0"/>
      </w:pPr>
    </w:p>
    <w:p>
      <w:pPr>
        <w:pStyle w:val="Heading1"/>
      </w:pPr>
      <w:r>
        <w:t>4. Escenarios de atributos de calidad</w:t>
      </w:r>
    </w:p>
    <w:p>
      <w:pPr>
        <w:spacing w:after="120"/>
        <w:jc w:val="both"/>
      </w:pPr>
      <w:r>
        <w:rPr>
          <w:b w:val="0"/>
          <w:i w:val="0"/>
        </w:rPr>
        <w:t>Cada escenario se describe con sus seis partes: fuente del estímulo, estímulo, artefacto, entorno, respuesta y medida de la respuesta. Así la calidad deja de ser un adjetivo («rápido», «seguro») y se convierte en algo que se puede probar. Se detallan los siete escenarios de mayor peso; E7 y E9 se verifican con los casos de prueba CP-08.2 y CP-15 del plan de calidad.</w:t>
      </w: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3. E1 · Rendimiento 3D (RNF-01)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Parte</w:t>
            </w:r>
          </w:p>
        </w:tc>
        <w:tc>
          <w:tcPr>
            <w:tcW w:type="dxa" w:w="7654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Fuente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Estudiante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Estímulo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Recorre el estómago moviendo el endoscopio de forma continua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Artefacto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Simulador 3D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Entorno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Operación normal, portátil con gráficos integrados, 1366 × 768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Respuesta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La escena se dibuja sin saltos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Medida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≥ 30 FPS de media y ningún congelamiento mayor a 200 ms</w:t>
            </w:r>
          </w:p>
        </w:tc>
      </w:tr>
    </w:tbl>
    <w:p>
      <w:pPr>
        <w:spacing w:after="0"/>
      </w:pP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4. E2 · Tiempo de generación (RNF-14)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Parte</w:t>
            </w:r>
          </w:p>
        </w:tc>
        <w:tc>
          <w:tcPr>
            <w:tcW w:type="dxa" w:w="7654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Fuente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Estudiante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Estímulo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Pide un caso intermedio de esófago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Artefacto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ServicioCasos y adaptador de Gemini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Entorno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Carga normal, servicio externo disponible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Respuesta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Se genera, valida y guarda el caso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Medida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&lt; 15 s en el 90 % de las solicitudes</w:t>
            </w:r>
          </w:p>
        </w:tc>
      </w:tr>
    </w:tbl>
    <w:p>
      <w:pPr>
        <w:spacing w:after="0"/>
      </w:pP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5. E3 · Integridad del experimento (RF-05, RF-07.2)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Parte</w:t>
            </w:r>
          </w:p>
        </w:tc>
        <w:tc>
          <w:tcPr>
            <w:tcW w:type="dxa" w:w="7654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Fuente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Usuario malintencionado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Estímulo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Llama a la API para pedir la recomendación o la respuesta antes de tiempo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Artefacto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API de intentos y base de datos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Entorno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Operación normal, con herramientas del navegador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Respuesta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Rechaza la petición con 409 y no revela datos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Medida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0 fugas en la prueba de penetración básica del ciclo 2</w:t>
            </w:r>
          </w:p>
        </w:tc>
      </w:tr>
    </w:tbl>
    <w:p>
      <w:pPr>
        <w:spacing w:after="0"/>
      </w:pP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6. E4 · Acceso con 2FA (RF-01.5, RNF-07)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Parte</w:t>
            </w:r>
          </w:p>
        </w:tc>
        <w:tc>
          <w:tcPr>
            <w:tcW w:type="dxa" w:w="7654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Fuente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Persona con la contraseña robada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Estímulo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Intenta ingresar sin el código TOTP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Artefacto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Supabase Auth y verificador JWT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Entorno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Operación normal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Respuesta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El token queda en nivel aal1 y la API lo rechaza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Medida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0 cuentas activas sin 2FA (consulta CP-NF07)</w:t>
            </w:r>
          </w:p>
        </w:tc>
      </w:tr>
    </w:tbl>
    <w:p>
      <w:pPr>
        <w:spacing w:after="0"/>
      </w:pP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7. E5 · Falla del modelo de lenguaje (RF-07.3)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Parte</w:t>
            </w:r>
          </w:p>
        </w:tc>
        <w:tc>
          <w:tcPr>
            <w:tcW w:type="dxa" w:w="7654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Fuente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API de Gemini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Estímulo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Devuelve 503 o no responde en 15 s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Artefacto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ClienteLLM con decorador de reintentos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Entorno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Plan gratuito saturado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Respuesta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Reintenta, cambia a modelo de respaldo y, si todo falla, muestra un mensaje de respaldo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Medida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El intento sigue abierto; el usuario puede terminarlo en el 100 % de los casos</w:t>
            </w:r>
          </w:p>
        </w:tc>
      </w:tr>
    </w:tbl>
    <w:p>
      <w:pPr>
        <w:spacing w:after="0"/>
      </w:pP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8. E6 · Cambio de proveedor de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Parte</w:t>
            </w:r>
          </w:p>
        </w:tc>
        <w:tc>
          <w:tcPr>
            <w:tcW w:type="dxa" w:w="7654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Fuente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Equipo de desarrollo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Estímulo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Debe cambiar Gemini por otro proveedor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Artefacto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Capa de infraestructura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Entorno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Tiempo de desarrollo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Respuesta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Se escribe un adaptador nuevo que cumple la interfaz ClienteLLM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Medida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&lt; 1 día de trabajo; 0 cambios en dominio y servicios</w:t>
            </w:r>
          </w:p>
        </w:tc>
      </w:tr>
    </w:tbl>
    <w:p>
      <w:pPr>
        <w:spacing w:after="0"/>
      </w:pP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9. E8 · Instalación (RNF-10)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Parte</w:t>
            </w:r>
          </w:p>
        </w:tc>
        <w:tc>
          <w:tcPr>
            <w:tcW w:type="dxa" w:w="7654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Fuente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Docente o evaluador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Estímulo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Clona el repositorio en un equipo limpio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Artefacto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Contenedores y README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Entorno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Equipo con Docker instalado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Respuesta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El sistema arranca con docker compose up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Medida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&lt; 15 minutos siguiendo el README</w:t>
            </w:r>
          </w:p>
        </w:tc>
      </w:tr>
    </w:tbl>
    <w:p>
      <w:pPr>
        <w:spacing w:after="0"/>
      </w:pPr>
    </w:p>
    <w:p>
      <w:pPr>
        <w:pStyle w:val="Heading1"/>
      </w:pPr>
      <w:r>
        <w:t>5. Decisiones arquitectónicas (ADR)</w:t>
      </w:r>
    </w:p>
    <w:p>
      <w:pPr>
        <w:spacing w:after="120"/>
        <w:jc w:val="both"/>
      </w:pPr>
      <w:r>
        <w:rPr>
          <w:b w:val="0"/>
          <w:i w:val="0"/>
        </w:rPr>
        <w:t>Cada decisión se registra con el formato de Registro de Decisión Arquitectónica (ADR): contexto, decisión, alternativas consideradas y consecuencias. Los ADR se guardarán también en docs/04-diseno/adr del repositorio, para que cualquier cambio futuro se discuta en un pull request.</w:t>
      </w: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10. ADR-01 · Cliente-servidor de tres capas con backend monolítico modular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54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Contexto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R-3 limita el esfuerzo de operación; RF-05 y RF-07.2 exigen que la lógica crítica viva en el servidor.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Decisión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Un frontend SPA, una única API organizada en módulos que corresponden a la EDT y servicios de datos administrados.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Alternativas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Microservicios por módulo; arquitectura serverless con el frontend consultando la base de datos directamente.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Consecuencias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(+) Un solo despliegue y depuración simple. (+) Los módulos permiten repartir el trabajo. (−) La API es un punto único de falla; se mitiga con contenedor sin estado y reinicio automático.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Aceptada · 25/10/2026</w:t>
            </w:r>
          </w:p>
        </w:tc>
      </w:tr>
    </w:tbl>
    <w:p>
      <w:pPr>
        <w:spacing w:after="0"/>
      </w:pP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11. ADR-02 · Three.js con React Three Fiber como motor 3D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54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Contexto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R-1 exige 3D en navegador; RNF-02 limita los recursos a 10 MB por caso; la interfaz del caso es intensiva en formularios.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Decisión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Escena con React Three Fiber y drei, modelos glTF/GLB con compresión Draco, integrada con la SPA en React.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Alternativas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Unity con exportación WebGL; Babylon.js.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Consecuencias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(+) Un solo lenguaje y un solo proyecto para interfaz y 3D. (+) Paquetes más livianos que un build de Unity WebGL. (−) Menos herramientas visuales; el modelado se hace en Blender y se importa.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Aceptada · 25/10/2026</w:t>
            </w:r>
          </w:p>
        </w:tc>
      </w:tr>
    </w:tbl>
    <w:p>
      <w:pPr>
        <w:spacing w:after="0"/>
      </w:pP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12. ADR-03 · Supabase como base de datos, autenticación y almacenamiento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54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Contexto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R-2 exige 2FA; R-4 exige costo cero; el equipo no debe programar autenticación desde cero.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Decisión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PostgreSQL, Auth con MFA TOTP y Storage de Supabase.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Alternativas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PostgreSQL propio con autenticación hecha a mano; Firebase.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Consecuencias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(+) TOTP, hash de contraseñas y respaldos ya resueltos. (+) PostgreSQL estándar, migrable. (−) Supabase no ofrece códigos de recuperación (RF-01.6); se implementan en la tabla codigo_recuperacion.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Aceptada · 25/10/2026</w:t>
            </w:r>
          </w:p>
        </w:tc>
      </w:tr>
    </w:tbl>
    <w:p>
      <w:pPr>
        <w:spacing w:after="0"/>
      </w:pP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13. ADR-04 · Acceso a datos solo a través de la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54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Contexto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Si el navegador lee la tabla de casos, puede ver la respuesta de referencia (E3).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Decisión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El navegador usa Supabase solo para autenticarse; todos los datos pasan por la API. RLS activado en todas las tablas sin políticas de lectura amplias.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Alternativas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Consultas directas desde el navegador con políticas RLS por fila y columna.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Consecuencias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(+) La regla de negocio está en un solo lugar y es fácil de probar. (−) La API recibe más peticiones; se compensa enviando la telemetría en lotes.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Aceptada · 25/10/2026</w:t>
            </w:r>
          </w:p>
        </w:tc>
      </w:tr>
    </w:tbl>
    <w:p>
      <w:pPr>
        <w:spacing w:after="0"/>
      </w:pP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14. ADR-05 · Predicciones de visión precalculadas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54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Contexto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RNF-14 pide casos en menos de 15 s y no hay presupuesto para un servidor con GPU.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Decisión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El modelo se entrena en Colab y sus predicciones, ROI y Grad-CAM se guardan por imagen en la base de datos.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Alternativas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Servidor de inferencia en línea; inferencia en el navegador con ONNX.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Consecuencias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(+) Respuesta inmediata y resultados repetibles. (−) Solo funciona sobre imágenes del dataset ya procesadas, lo cual es suficiente para el alcance.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Aceptada · 25/10/2026</w:t>
            </w:r>
          </w:p>
        </w:tc>
      </w:tr>
    </w:tbl>
    <w:p>
      <w:pPr>
        <w:spacing w:after="0"/>
      </w:pP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15. ADR-06 · Interfaz ClienteLLM con adaptador y decorador de respaldo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54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Contexto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El plan gratuito de Gemini devolvió errores 503 en las pruebas técnicas de octubre; los modelos cambian de nombre con frecuencia.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Decisión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Interfaz propia ClienteLLM, AdaptadorGemini y decorador ReintentoConRespaldo con lista de modelos configurable.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Alternativas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Llamar a google-genai directamente desde los servicios.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Consecuencias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(+) Cumple E5 y E6. (+) Permite un adaptador simulado para pruebas sin costo. (−) Una capa más de código.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Aceptada · 25/10/2026</w:t>
            </w:r>
          </w:p>
        </w:tc>
      </w:tr>
    </w:tbl>
    <w:p>
      <w:pPr>
        <w:spacing w:after="0"/>
      </w:pP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16. ADR-07 · Esquema de investigación separado y seudonimizado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54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Contexto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RNF-08 exige separar los datos de investigación de los de cuenta; RF-15 exporta datos.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Decisión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Esquema investigacion cuyas tablas solo conocen el seudónimo del participante.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Alternativas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Guardar los intentos con el identificador del usuario.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Consecuencias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(+) La exportación no contiene identificadores directos. (−) Las consultas del tablero necesitan un paso extra para unir perfil y seudónimo.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Aceptada · 25/10/2026</w:t>
            </w:r>
          </w:p>
        </w:tc>
      </w:tr>
    </w:tbl>
    <w:p>
      <w:pPr>
        <w:spacing w:after="0"/>
      </w:pP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17. ADR-08 · Contenedores Docker para todos los entornos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654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Contexto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RNF-10 pide instalar con un solo comando; el equipo usa macOS y Windows.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Decisión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Dos imágenes (web y api) y un docker-compose.yml; la nube ejecuta las mismas imágenes.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Alternativas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Instalar dependencias a mano; plataformas serverless específicas.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Consecuencias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(+) Mismo comportamiento en todos los equipos. (−) Curva de aprendizaje inicial de Docker para parte del equipo.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7654"/>
          </w:tcPr>
          <w:p>
            <w:r>
              <w:rPr>
                <w:sz w:val="17"/>
              </w:rPr>
              <w:t>Aceptada · 25/10/2026</w:t>
            </w:r>
          </w:p>
        </w:tc>
      </w:tr>
    </w:tbl>
    <w:p>
      <w:pPr>
        <w:spacing w:after="0"/>
      </w:pPr>
    </w:p>
    <w:p>
      <w:pPr>
        <w:pStyle w:val="Heading1"/>
      </w:pPr>
      <w:r>
        <w:t>6. Evaluación ponderada de alternativas de arquitectura</w:t>
      </w:r>
    </w:p>
    <w:p>
      <w:pPr>
        <w:spacing w:after="120"/>
        <w:jc w:val="both"/>
      </w:pPr>
      <w:r>
        <w:rPr>
          <w:b w:val="0"/>
          <w:i w:val="0"/>
        </w:rPr>
        <w:t>Para la decisión principal (ADR-01) se compararon tres alternativas completas con criterios ponderados. La escala va de 1 (muy desfavorable) a 5 (muy favorable).</w:t>
      </w: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18. Matriz de decisión ponderada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4252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1020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Peso</w:t>
            </w:r>
          </w:p>
        </w:tc>
        <w:tc>
          <w:tcPr>
            <w:tcW w:type="dxa" w:w="136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A</w:t>
            </w:r>
          </w:p>
        </w:tc>
        <w:tc>
          <w:tcPr>
            <w:tcW w:type="dxa" w:w="136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B</w:t>
            </w:r>
          </w:p>
        </w:tc>
        <w:tc>
          <w:tcPr>
            <w:tcW w:type="dxa" w:w="136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C</w:t>
            </w:r>
          </w:p>
        </w:tc>
      </w:tr>
      <w:tr>
        <w:tc>
          <w:tcPr>
            <w:tcW w:type="dxa" w:w="4252"/>
          </w:tcPr>
          <w:p>
            <w:r>
              <w:rPr>
                <w:sz w:val="17"/>
              </w:rPr>
              <w:t>Esfuerzo y curva de aprendizaje para el equipo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25 %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4</w:t>
            </w:r>
          </w:p>
        </w:tc>
      </w:tr>
      <w:tr>
        <w:tc>
          <w:tcPr>
            <w:tcW w:type="dxa" w:w="4252"/>
          </w:tcPr>
          <w:p>
            <w:r>
              <w:rPr>
                <w:sz w:val="17"/>
              </w:rPr>
              <w:t>Cumplimiento de rendimiento y seguridad (E1 a E5)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25 %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4252"/>
          </w:tcPr>
          <w:p>
            <w:r>
              <w:rPr>
                <w:sz w:val="17"/>
              </w:rPr>
              <w:t>Costo de operación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15 %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5</w:t>
            </w:r>
          </w:p>
        </w:tc>
      </w:tr>
      <w:tr>
        <w:tc>
          <w:tcPr>
            <w:tcW w:type="dxa" w:w="4252"/>
          </w:tcPr>
          <w:p>
            <w:r>
              <w:rPr>
                <w:sz w:val="17"/>
              </w:rPr>
              <w:t>Mantenibilidad y pruebas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15 %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4252"/>
          </w:tcPr>
          <w:p>
            <w:r>
              <w:rPr>
                <w:sz w:val="17"/>
              </w:rPr>
              <w:t>Facilidad de despliegue (RNF-10)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10 %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4252"/>
          </w:tcPr>
          <w:p>
            <w:r>
              <w:rPr>
                <w:sz w:val="17"/>
              </w:rPr>
              <w:t>Escalabilidad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10 %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4</w:t>
            </w:r>
          </w:p>
        </w:tc>
      </w:tr>
      <w:tr>
        <w:tc>
          <w:tcPr>
            <w:tcW w:type="dxa" w:w="4252"/>
          </w:tcPr>
          <w:p>
            <w:r>
              <w:rPr>
                <w:sz w:val="17"/>
              </w:rPr>
              <w:t>Puntaje ponderado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4.40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2.85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3.40</w:t>
            </w:r>
          </w:p>
        </w:tc>
      </w:tr>
    </w:tbl>
    <w:p>
      <w:pPr>
        <w:spacing w:after="0"/>
      </w:pPr>
    </w:p>
    <w:p>
      <w:pPr>
        <w:spacing w:after="120"/>
        <w:jc w:val="both"/>
      </w:pPr>
      <w:r>
        <w:rPr>
          <w:b w:val="0"/>
          <w:i w:val="0"/>
        </w:rPr>
        <w:t>La alternativa A obtiene 4.40 sobre 5, frente a 3.40 de la C y 2.85 de la B. La C es barata pero no cumple bien la integridad del experimento (E3), porque obliga a exponer tablas al navegador; la B ofrece la mejor escalabilidad, una cualidad que el proyecto no necesita con unos 60 usuarios, a cambio de un esfuerzo que el equipo no puede asumir.</w:t>
      </w:r>
    </w:p>
    <w:p>
      <w:pPr>
        <w:pStyle w:val="Heading1"/>
      </w:pPr>
      <w:r>
        <w:t>7. Tácticas arquitectónicas por atributo</w:t>
      </w: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19. Tácticas aplicadas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Atributo</w:t>
            </w:r>
          </w:p>
        </w:tc>
        <w:tc>
          <w:tcPr>
            <w:tcW w:type="dxa" w:w="2835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Táctica</w:t>
            </w:r>
          </w:p>
        </w:tc>
        <w:tc>
          <w:tcPr>
            <w:tcW w:type="dxa" w:w="4819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Dónde se aplica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Rendimiento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Reducir la demanda de recursos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Modelos 3D con pocos polígonos, compresión Draco y texturas KTX2; nivel de detalle por distancia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Rendimiento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Precalcular resultados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Predicciones de visión y vista materializada del tablero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Rendimiento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Agrupar peticiones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Telemetría enviada en lotes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Disponibilidad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Reintento y redundancia funcional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Decorador ReintentoConRespaldo con modelos alternativos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Disponibilidad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Degradación controlada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Mensaje de respaldo del tutor; el intento continúa sin IA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Seguridad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Autenticar y autorizar actores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TOTP, verificación aal2, roles en cada ruta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Seguridad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Limitar la exposición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Acceso a datos solo por la API; secretos solo en el servidor; RLS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Modificabilidad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Encapsular y usar intermediarios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Adaptadores para Gemini y Storage; interfaces de repositorio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Modificabilidad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Aumentar la cohesión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Un módulo por paquete de la EDT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Privacidad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Seudonimizar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Esquema de investigación con seudónimo</w:t>
            </w:r>
          </w:p>
        </w:tc>
      </w:tr>
    </w:tbl>
    <w:p>
      <w:pPr>
        <w:spacing w:after="0"/>
      </w:pPr>
    </w:p>
    <w:p>
      <w:pPr>
        <w:pStyle w:val="Heading1"/>
      </w:pPr>
      <w:r>
        <w:t>8. Riesgos, puntos de sensibilidad y compromisos</w:t>
      </w: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20. Resultado del análisis tipo ATAM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36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4139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3855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Respuesta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Riesgo</w:t>
            </w:r>
          </w:p>
        </w:tc>
        <w:tc>
          <w:tcPr>
            <w:tcW w:type="dxa" w:w="4139"/>
          </w:tcPr>
          <w:p>
            <w:r>
              <w:rPr>
                <w:sz w:val="17"/>
              </w:rPr>
              <w:t>La escena 3D no alcanza 30 FPS en equipos de gama baja, porque el modelado y la optimización dependen de una sola persona.</w:t>
            </w:r>
          </w:p>
        </w:tc>
        <w:tc>
          <w:tcPr>
            <w:tcW w:type="dxa" w:w="3855"/>
          </w:tcPr>
          <w:p>
            <w:r>
              <w:rPr>
                <w:sz w:val="17"/>
              </w:rPr>
              <w:t>Prueba de rendimiento al cierre del ciclo 1; presupuesto de polígonos; trabajo en pareja en el 3D (ver riesgo R11).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Riesgo</w:t>
            </w:r>
          </w:p>
        </w:tc>
        <w:tc>
          <w:tcPr>
            <w:tcW w:type="dxa" w:w="4139"/>
          </w:tcPr>
          <w:p>
            <w:r>
              <w:rPr>
                <w:sz w:val="17"/>
              </w:rPr>
              <w:t>El plan gratuito del modelo de lenguaje limita las solicitudes durante la demostración.</w:t>
            </w:r>
          </w:p>
        </w:tc>
        <w:tc>
          <w:tcPr>
            <w:tcW w:type="dxa" w:w="3855"/>
          </w:tcPr>
          <w:p>
            <w:r>
              <w:rPr>
                <w:sz w:val="17"/>
              </w:rPr>
              <w:t>Generar y aprobar un banco de casos antes de la demostración; los casos guardados se pueden repetir.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Riesgo</w:t>
            </w:r>
          </w:p>
        </w:tc>
        <w:tc>
          <w:tcPr>
            <w:tcW w:type="dxa" w:w="4139"/>
          </w:tcPr>
          <w:p>
            <w:r>
              <w:rPr>
                <w:sz w:val="17"/>
              </w:rPr>
              <w:t>HyperKvasir no tiene hallazgos del duodeno.</w:t>
            </w:r>
          </w:p>
        </w:tc>
        <w:tc>
          <w:tcPr>
            <w:tcW w:type="dxa" w:w="3855"/>
          </w:tcPr>
          <w:p>
            <w:r>
              <w:rPr>
                <w:sz w:val="17"/>
              </w:rPr>
              <w:t>Los casos del duodeno usan imágenes normales del píloro; se informa al Propietario del Proyecto para decidir si se busca otra fuente.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Sensibilidad</w:t>
            </w:r>
          </w:p>
        </w:tc>
        <w:tc>
          <w:tcPr>
            <w:tcW w:type="dxa" w:w="4139"/>
          </w:tcPr>
          <w:p>
            <w:r>
              <w:rPr>
                <w:sz w:val="17"/>
              </w:rPr>
              <w:t>El tiempo de generación (E2) depende casi por completo de la latencia del modelo de lenguaje.</w:t>
            </w:r>
          </w:p>
        </w:tc>
        <w:tc>
          <w:tcPr>
            <w:tcW w:type="dxa" w:w="3855"/>
          </w:tcPr>
          <w:p>
            <w:r>
              <w:rPr>
                <w:sz w:val="17"/>
              </w:rPr>
              <w:t>Limitar la longitud de la respuesta, usar thinking_level bajo y medir en cada ciclo.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Sensibilidad</w:t>
            </w:r>
          </w:p>
        </w:tc>
        <w:tc>
          <w:tcPr>
            <w:tcW w:type="dxa" w:w="4139"/>
          </w:tcPr>
          <w:p>
            <w:r>
              <w:rPr>
                <w:sz w:val="17"/>
              </w:rPr>
              <w:t>La seguridad del experimento depende de que ninguna ruta devuelva la referencia antes de tiempo.</w:t>
            </w:r>
          </w:p>
        </w:tc>
        <w:tc>
          <w:tcPr>
            <w:tcW w:type="dxa" w:w="3855"/>
          </w:tcPr>
          <w:p>
            <w:r>
              <w:rPr>
                <w:sz w:val="17"/>
              </w:rPr>
              <w:t>Pruebas automáticas de la máquina de estados en cada pull request.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Compromiso</w:t>
            </w:r>
          </w:p>
        </w:tc>
        <w:tc>
          <w:tcPr>
            <w:tcW w:type="dxa" w:w="4139"/>
          </w:tcPr>
          <w:p>
            <w:r>
              <w:rPr>
                <w:sz w:val="17"/>
              </w:rPr>
              <w:t>Acceso solo por la API: más seguridad (E3) a cambio de más carga en el servidor.</w:t>
            </w:r>
          </w:p>
        </w:tc>
        <w:tc>
          <w:tcPr>
            <w:tcW w:type="dxa" w:w="3855"/>
          </w:tcPr>
          <w:p>
            <w:r>
              <w:rPr>
                <w:sz w:val="17"/>
              </w:rPr>
              <w:t>Aceptado; la carga esperada es baja.</w:t>
            </w:r>
          </w:p>
        </w:tc>
      </w:tr>
      <w:tr>
        <w:tc>
          <w:tcPr>
            <w:tcW w:type="dxa" w:w="1361"/>
          </w:tcPr>
          <w:p>
            <w:r>
              <w:rPr>
                <w:sz w:val="17"/>
              </w:rPr>
              <w:t>Compromiso</w:t>
            </w:r>
          </w:p>
        </w:tc>
        <w:tc>
          <w:tcPr>
            <w:tcW w:type="dxa" w:w="4139"/>
          </w:tcPr>
          <w:p>
            <w:r>
              <w:rPr>
                <w:sz w:val="17"/>
              </w:rPr>
              <w:t>Monolito modular: menos esfuerzo (R-3) a cambio de menor escalabilidad independiente.</w:t>
            </w:r>
          </w:p>
        </w:tc>
        <w:tc>
          <w:tcPr>
            <w:tcW w:type="dxa" w:w="3855"/>
          </w:tcPr>
          <w:p>
            <w:r>
              <w:rPr>
                <w:sz w:val="17"/>
              </w:rPr>
              <w:t>Aceptado; los módulos permitirían separar servicios en una versión futura.</w:t>
            </w:r>
          </w:p>
        </w:tc>
      </w:tr>
    </w:tbl>
    <w:p>
      <w:pPr>
        <w:spacing w:after="0"/>
      </w:pPr>
    </w:p>
    <w:p>
      <w:pPr>
        <w:pStyle w:val="Heading1"/>
      </w:pPr>
      <w:r>
        <w:t>9. Trazabilidad de las decisiones</w:t>
      </w:r>
    </w:p>
    <w:p>
      <w:pPr>
        <w:keepNext/>
        <w:spacing w:after="60"/>
        <w:jc w:val="left"/>
      </w:pPr>
      <w:r>
        <w:rPr>
          <w:b/>
          <w:i w:val="0"/>
          <w:color w:val="44546A"/>
          <w:sz w:val="18"/>
        </w:rPr>
        <w:t>Tabla 21. Decisiones frente a requisitos y escenarios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4535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Requisitos</w:t>
            </w:r>
          </w:p>
        </w:tc>
        <w:tc>
          <w:tcPr>
            <w:tcW w:type="dxa" w:w="3118"/>
            <w:shd w:val="clear" w:color="auto" w:fill="1F3A5F"/>
          </w:tcPr>
          <w:p>
            <w:r>
              <w:rPr>
                <w:b/>
                <w:color w:val="FFFFFF"/>
                <w:sz w:val="17"/>
              </w:rPr>
              <w:t>Escenarios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ADR-01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RF-05, RF-07.2, RNF-09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E3, E8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ADR-02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RF-03, RNF-01, RNF-02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E1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ADR-03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RF-01, RNF-07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E4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ADR-04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RF-05, RF-07.2, RNF-07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E3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ADR-05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RF-06, RNF-12, RNF-14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E2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ADR-06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RF-07.3, RF-14.4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E5, E6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ADR-07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RF-12, RF-15, RNF-08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E9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ADR-08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RNF-10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E8</w:t>
            </w:r>
          </w:p>
        </w:tc>
      </w:tr>
    </w:tbl>
    <w:p>
      <w:pPr>
        <w:spacing w:after="0"/>
      </w:pPr>
    </w:p>
    <w:p>
      <w:pPr>
        <w:pStyle w:val="Heading1"/>
      </w:pPr>
      <w:r>
        <w:t>10. Mantenimiento de esta documentación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Los diagramas se mantienen como texto (Mermaid y draw.io) en docs/04-diseno, para que sus cambios se revisen en los pull requests como el código.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Toda decisión nueva o modificada se registra como un ADR numerado; un ADR reemplazado no se borra, se marca como «Sustituido por ADR-xx».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Al cierre de cada ciclo TSP, el Quality Manager comprueba que los escenarios E1 a E9 se midieron y actualiza este documento con los resultados.</w:t>
      </w:r>
    </w:p>
    <w:p>
      <w:pPr>
        <w:pStyle w:val="Heading1"/>
      </w:pPr>
      <w:r>
        <w:t>Referencias</w:t>
      </w:r>
    </w:p>
    <w:p>
      <w:pPr>
        <w:spacing w:after="80"/>
        <w:ind w:left="567" w:hanging="567"/>
        <w:jc w:val="left"/>
      </w:pPr>
      <w:r>
        <w:rPr>
          <w:b w:val="0"/>
          <w:i w:val="0"/>
          <w:sz w:val="20"/>
        </w:rPr>
        <w:t>Bass, L., Clements, P. y Kazman, R. (2021). Software Architecture in Practice (4.ª ed.). Addison-Wesley.</w:t>
      </w:r>
    </w:p>
    <w:p>
      <w:pPr>
        <w:spacing w:after="80"/>
        <w:ind w:left="567" w:hanging="567"/>
        <w:jc w:val="left"/>
      </w:pPr>
      <w:r>
        <w:rPr>
          <w:b w:val="0"/>
          <w:i w:val="0"/>
          <w:sz w:val="20"/>
        </w:rPr>
        <w:t>Clements, P. et al. (2010). Documenting Software Architectures: Views and Beyond (2.ª ed.). Addison-Wesley.</w:t>
      </w:r>
    </w:p>
    <w:p>
      <w:pPr>
        <w:spacing w:after="80"/>
        <w:ind w:left="567" w:hanging="567"/>
        <w:jc w:val="left"/>
      </w:pPr>
      <w:r>
        <w:rPr>
          <w:b w:val="0"/>
          <w:i w:val="0"/>
          <w:sz w:val="20"/>
        </w:rPr>
        <w:t>Kazman, R., Klein, M. y Clements, P. (2000). ATAM: Method for Architecture Evaluation (CMU/SEI-2000-TR-004). Software Engineering Institute.</w:t>
      </w:r>
    </w:p>
    <w:p>
      <w:pPr>
        <w:spacing w:after="80"/>
        <w:ind w:left="567" w:hanging="567"/>
        <w:jc w:val="left"/>
      </w:pPr>
      <w:r>
        <w:rPr>
          <w:b w:val="0"/>
          <w:i w:val="0"/>
          <w:sz w:val="20"/>
        </w:rPr>
        <w:t>Nygard, M. (2011). Documenting Architecture Decisions. https://cognitect.com/blog/2011/11/15/documenting-architecture-decisions</w:t>
      </w:r>
    </w:p>
    <w:p>
      <w:pPr>
        <w:spacing w:after="80"/>
        <w:ind w:left="567" w:hanging="567"/>
        <w:jc w:val="left"/>
      </w:pPr>
      <w:r>
        <w:rPr>
          <w:b w:val="0"/>
          <w:i w:val="0"/>
          <w:sz w:val="20"/>
        </w:rPr>
        <w:t>Software Engineering Institute (2026). Software Architecture. Carnegie Mellon University. https://insights.sei.cmu.edu/software-architecture/</w:t>
      </w:r>
    </w:p>
    <w:p>
      <w:pPr>
        <w:spacing w:after="80"/>
        <w:ind w:left="567" w:hanging="567"/>
        <w:jc w:val="left"/>
      </w:pPr>
      <w:r>
        <w:rPr>
          <w:b w:val="0"/>
          <w:i w:val="0"/>
          <w:sz w:val="20"/>
        </w:rPr>
        <w:t>Pressman, R. S. (2010). Ingeniería del software: un enfoque práctico (7.ª ed.). McGraw-Hill.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Equipo ITEVOLUTION · Justificación de la Arquitectura v1.0 · 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2" w:space="1" w:color="1F3A5F"/>
      </w:pBdr>
    </w:pPr>
    <w:r>
      <w:rPr>
        <w:b/>
        <w:sz w:val="18"/>
      </w:rPr>
      <w:t>GASTRO-SIM · Justificación de la Arquitectura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