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b/>
          <w:i w:val="0"/>
          <w:color w:val="1F3A5F"/>
          <w:sz w:val="48"/>
        </w:rPr>
        <w:t>Arquitectura del Sistema</w:t>
      </w:r>
    </w:p>
    <w:p>
      <w:pPr>
        <w:spacing w:after="480"/>
        <w:jc w:val="center"/>
      </w:pPr>
      <w:r>
        <w:rPr>
          <w:b w:val="0"/>
          <w:i w:val="0"/>
          <w:sz w:val="28"/>
        </w:rPr>
        <w:t>Modelo de organización e interoperación de los componentes</w:t>
      </w:r>
    </w:p>
    <w:p>
      <w:pPr>
        <w:spacing w:after="80"/>
        <w:jc w:val="center"/>
      </w:pPr>
      <w:r>
        <w:rPr>
          <w:b/>
          <w:i w:val="0"/>
          <w:color w:val="008A3E"/>
          <w:sz w:val="60"/>
        </w:rPr>
        <w:t>GASTRO-SIM</w:t>
      </w:r>
    </w:p>
    <w:p>
      <w:pPr>
        <w:spacing w:after="800"/>
        <w:jc w:val="center"/>
      </w:pPr>
      <w:r>
        <w:rPr>
          <w:b w:val="0"/>
          <w:i w:val="0"/>
          <w:sz w:val="24"/>
        </w:rPr>
        <w:t>Simulador web 3D para el entrenamiento de la toma de decisiones humano–IA en escenarios gastrointestinales</w:t>
      </w:r>
    </w:p>
    <w:p>
      <w:pPr>
        <w:spacing w:after="40"/>
        <w:jc w:val="center"/>
      </w:pPr>
      <w:r>
        <w:rPr>
          <w:b w:val="0"/>
          <w:i w:val="0"/>
          <w:sz w:val="22"/>
        </w:rPr>
        <w:t>Equipo ITEVOLUTION</w:t>
      </w:r>
    </w:p>
    <w:p>
      <w:pPr>
        <w:spacing w:after="40"/>
        <w:jc w:val="center"/>
      </w:pPr>
      <w:r>
        <w:rPr>
          <w:b w:val="0"/>
          <w:i w:val="0"/>
          <w:sz w:val="22"/>
        </w:rPr>
        <w:t>Universidad Santiago de Cali – Facultad de Ingeniería – Ingeniería de Sistemas</w:t>
      </w:r>
    </w:p>
    <w:p>
      <w:pPr>
        <w:spacing w:after="40"/>
        <w:jc w:val="center"/>
      </w:pPr>
      <w:r>
        <w:rPr>
          <w:b w:val="0"/>
          <w:i w:val="0"/>
          <w:sz w:val="22"/>
        </w:rPr>
        <w:t>Gestión de Proyectos de TI · 2026-B · Docente: Jair E. Sanclemente Castro</w:t>
      </w:r>
    </w:p>
    <w:p>
      <w:pPr>
        <w:spacing w:after="40"/>
        <w:jc w:val="center"/>
      </w:pPr>
      <w:r>
        <w:rPr>
          <w:b w:val="0"/>
          <w:i w:val="0"/>
          <w:sz w:val="22"/>
        </w:rPr>
        <w:t>Versión 1.0 · 25/10/2026</w:t>
      </w:r>
    </w:p>
    <w:p>
      <w:r>
        <w:br w:type="page"/>
      </w:r>
    </w:p>
    <w:p>
      <w:pPr>
        <w:spacing w:after="120"/>
        <w:jc w:val="left"/>
      </w:pPr>
      <w:r>
        <w:rPr>
          <w:b/>
          <w:i w:val="0"/>
          <w:color w:val="1F3A5F"/>
          <w:sz w:val="26"/>
        </w:rPr>
        <w:t>Control del documento</w:t>
      </w:r>
    </w:p>
    <w:tbl>
      <w:tblPr>
        <w:tblStyle w:val="TableGrid"/>
        <w:tblW w:type="auto" w:w="0"/>
        <w:jc w:val="center"/>
        <w:tblLook w:firstColumn="1" w:firstRow="1" w:lastColumn="0" w:lastRow="0" w:noHBand="0" w:noVBand="1" w:val="04A0"/>
      </w:tblPr>
      <w:tblGrid>
        <w:gridCol w:w="4759"/>
        <w:gridCol w:w="4759"/>
      </w:tblGrid>
      <w:tr>
        <w:tc>
          <w:tcPr>
            <w:tcW w:type="dxa" w:w="2551"/>
            <w:shd w:val="clear" w:color="auto" w:fill="1F3A5F"/>
          </w:tcPr>
          <w:p>
            <w:r>
              <w:rPr>
                <w:b/>
                <w:color w:val="FFFFFF"/>
                <w:sz w:val="18"/>
              </w:rPr>
              <w:t>Campo</w:t>
            </w:r>
          </w:p>
        </w:tc>
        <w:tc>
          <w:tcPr>
            <w:tcW w:type="dxa" w:w="6803"/>
            <w:shd w:val="clear" w:color="auto" w:fill="1F3A5F"/>
          </w:tcPr>
          <w:p>
            <w:r>
              <w:rPr>
                <w:b/>
                <w:color w:val="FFFFFF"/>
                <w:sz w:val="18"/>
              </w:rPr>
              <w:t>Valor</w:t>
            </w:r>
          </w:p>
        </w:tc>
      </w:tr>
      <w:tr>
        <w:tc>
          <w:tcPr>
            <w:tcW w:type="dxa" w:w="2551"/>
          </w:tcPr>
          <w:p>
            <w:r>
              <w:rPr>
                <w:sz w:val="18"/>
              </w:rPr>
              <w:t>Documento</w:t>
            </w:r>
          </w:p>
        </w:tc>
        <w:tc>
          <w:tcPr>
            <w:tcW w:type="dxa" w:w="6803"/>
          </w:tcPr>
          <w:p>
            <w:r>
              <w:rPr>
                <w:sz w:val="18"/>
              </w:rPr>
              <w:t>Arquitectura del Sistema de GASTRO-SIM</w:t>
            </w:r>
          </w:p>
        </w:tc>
      </w:tr>
      <w:tr>
        <w:tc>
          <w:tcPr>
            <w:tcW w:type="dxa" w:w="2551"/>
          </w:tcPr>
          <w:p>
            <w:r>
              <w:rPr>
                <w:sz w:val="18"/>
              </w:rPr>
              <w:t>Versión / fecha</w:t>
            </w:r>
          </w:p>
        </w:tc>
        <w:tc>
          <w:tcPr>
            <w:tcW w:type="dxa" w:w="6803"/>
          </w:tcPr>
          <w:p>
            <w:r>
              <w:rPr>
                <w:sz w:val="18"/>
              </w:rPr>
              <w:t>1.0 · 25/10/2026</w:t>
            </w:r>
          </w:p>
        </w:tc>
      </w:tr>
      <w:tr>
        <w:tc>
          <w:tcPr>
            <w:tcW w:type="dxa" w:w="2551"/>
          </w:tcPr>
          <w:p>
            <w:r>
              <w:rPr>
                <w:sz w:val="18"/>
              </w:rPr>
              <w:t>Elaborado por</w:t>
            </w:r>
          </w:p>
        </w:tc>
        <w:tc>
          <w:tcPr>
            <w:tcW w:type="dxa" w:w="6803"/>
          </w:tcPr>
          <w:p>
            <w:r>
              <w:rPr>
                <w:sz w:val="18"/>
              </w:rPr>
              <w:t>Diego Armando Agudelo (Proveedor de Soluciones – Development Manager)</w:t>
            </w:r>
          </w:p>
          <w:p>
            <w:r>
              <w:rPr>
                <w:sz w:val="18"/>
              </w:rPr>
              <w:t>Emmanuel Ospina Giraldo (Director de Proyecto)</w:t>
            </w:r>
          </w:p>
        </w:tc>
      </w:tr>
      <w:tr>
        <w:tc>
          <w:tcPr>
            <w:tcW w:type="dxa" w:w="2551"/>
          </w:tcPr>
          <w:p>
            <w:r>
              <w:rPr>
                <w:sz w:val="18"/>
              </w:rPr>
              <w:t>Revisado por</w:t>
            </w:r>
          </w:p>
        </w:tc>
        <w:tc>
          <w:tcPr>
            <w:tcW w:type="dxa" w:w="6803"/>
          </w:tcPr>
          <w:p>
            <w:r>
              <w:rPr>
                <w:sz w:val="18"/>
              </w:rPr>
              <w:t>Nestor David Velasco Orozco (Garantía de Calidad – Quality Manager)</w:t>
            </w:r>
          </w:p>
          <w:p>
            <w:r>
              <w:rPr>
                <w:sz w:val="18"/>
              </w:rPr>
              <w:t>Jahan Michelle Chará Bolaños (Analista – Planning Manager)</w:t>
            </w:r>
          </w:p>
        </w:tc>
      </w:tr>
      <w:tr>
        <w:tc>
          <w:tcPr>
            <w:tcW w:type="dxa" w:w="2551"/>
          </w:tcPr>
          <w:p>
            <w:r>
              <w:rPr>
                <w:sz w:val="18"/>
              </w:rPr>
              <w:t>Aprobado por</w:t>
            </w:r>
          </w:p>
        </w:tc>
        <w:tc>
          <w:tcPr>
            <w:tcW w:type="dxa" w:w="6803"/>
          </w:tcPr>
          <w:p>
            <w:r>
              <w:rPr>
                <w:sz w:val="18"/>
              </w:rPr>
              <w:t>Jair E. Sanclemente Castro – Propietario del Proyecto (Product Owner)</w:t>
            </w:r>
          </w:p>
        </w:tc>
      </w:tr>
      <w:tr>
        <w:tc>
          <w:tcPr>
            <w:tcW w:type="dxa" w:w="2551"/>
          </w:tcPr>
          <w:p>
            <w:r>
              <w:rPr>
                <w:sz w:val="18"/>
              </w:rPr>
              <w:t>Paquete de la EDT</w:t>
            </w:r>
          </w:p>
        </w:tc>
        <w:tc>
          <w:tcPr>
            <w:tcW w:type="dxa" w:w="6803"/>
          </w:tcPr>
          <w:p>
            <w:r>
              <w:rPr>
                <w:sz w:val="18"/>
              </w:rPr>
              <w:t>3.1 Arquitectura y despliegue</w:t>
            </w:r>
          </w:p>
        </w:tc>
      </w:tr>
      <w:tr>
        <w:tc>
          <w:tcPr>
            <w:tcW w:type="dxa" w:w="2551"/>
          </w:tcPr>
          <w:p>
            <w:r>
              <w:rPr>
                <w:sz w:val="18"/>
              </w:rPr>
              <w:t>Documentos base</w:t>
            </w:r>
          </w:p>
        </w:tc>
        <w:tc>
          <w:tcPr>
            <w:tcW w:type="dxa" w:w="6803"/>
          </w:tcPr>
          <w:p>
            <w:r>
              <w:rPr>
                <w:sz w:val="18"/>
              </w:rPr>
              <w:t>Acta de Constitución v1.2 · Matriz de Trazabilidad v1.3 · SRS ISO/IEC/IEEE 29148 v1.0 · Caso de uso general v1.0 · EDT v1.1</w:t>
            </w:r>
          </w:p>
        </w:tc>
      </w:tr>
    </w:tbl>
    <w:p>
      <w:pPr>
        <w:spacing w:after="0"/>
      </w:pPr>
    </w:p>
    <w:p>
      <w:pPr>
        <w:spacing w:after="120"/>
        <w:jc w:val="left"/>
      </w:pPr>
      <w:r>
        <w:rPr>
          <w:b/>
          <w:i w:val="0"/>
          <w:color w:val="1F3A5F"/>
          <w:sz w:val="26"/>
        </w:rPr>
        <w:t>Tabla de contenido</w:t>
      </w:r>
    </w:p>
    <w:p>
      <w:fldSimple w:instr="TOC \o &quot;1-2&quot; \h \z \u">
        <w:r>
          <w:t>Haga clic derecho aquí y elija «Actualizar campo» para generar la tabla de contenido.</w:t>
        </w:r>
      </w:fldSimple>
    </w:p>
    <w:p>
      <w:r>
        <w:br w:type="page"/>
      </w:r>
    </w:p>
    <w:p>
      <w:pPr>
        <w:pStyle w:val="Heading1"/>
      </w:pPr>
      <w:r>
        <w:t>1. Introducción</w:t>
      </w:r>
    </w:p>
    <w:p>
      <w:pPr>
        <w:pStyle w:val="Heading2"/>
      </w:pPr>
      <w:r>
        <w:t>1.1 Propósito</w:t>
      </w:r>
    </w:p>
    <w:p>
      <w:pPr>
        <w:spacing w:after="120"/>
        <w:jc w:val="both"/>
      </w:pPr>
      <w:r>
        <w:rPr>
          <w:b w:val="0"/>
          <w:i w:val="0"/>
        </w:rPr>
        <w:t>Este documento describe cómo se organiza GASTRO-SIM como sistema: qué piezas lo forman, dónde se ejecuta cada una y cómo se comunican entre sí y con los servicios externos. Un modelo de arquitectura de sistema es una descripción breve y manejable de esa organización; por eso aquí se privilegian los diagramas y las tablas sobre el detalle de implementación, que se trata en el documento de Arquitectura del Software.</w:t>
      </w:r>
    </w:p>
    <w:p>
      <w:pPr>
        <w:pStyle w:val="Heading2"/>
      </w:pPr>
      <w:r>
        <w:t>1.2 Alcance</w:t>
      </w:r>
    </w:p>
    <w:p>
      <w:pPr>
        <w:spacing w:after="120"/>
        <w:jc w:val="both"/>
      </w:pPr>
      <w:r>
        <w:rPr>
          <w:b w:val="0"/>
          <w:i w:val="0"/>
        </w:rPr>
        <w:t>Cubre la versión 1.0 del producto definida en el Acta de Constitución y en la SRS: aplicación web en español para escritorio, simulador 3D del tracto digestivo superior, generación de casos con un agente de IA, recomendación de un componente de visión precalculada, tutor conversacional, inyección controlada de errores, registro de intentos y verificación en dos pasos obligatoria.</w:t>
      </w:r>
    </w:p>
    <w:p>
      <w:pPr>
        <w:pStyle w:val="Heading2"/>
      </w:pPr>
      <w:r>
        <w:t>1.3 Relación con otros documentos</w:t>
      </w:r>
    </w:p>
    <w:tbl>
      <w:tblPr>
        <w:tblStyle w:val="TableGrid"/>
        <w:tblW w:type="auto" w:w="0"/>
        <w:jc w:val="center"/>
        <w:tblLook w:firstColumn="1" w:firstRow="1" w:lastColumn="0" w:lastRow="0" w:noHBand="0" w:noVBand="1" w:val="04A0"/>
      </w:tblPr>
      <w:tblGrid>
        <w:gridCol w:w="4759"/>
        <w:gridCol w:w="4759"/>
      </w:tblGrid>
      <w:tr>
        <w:tc>
          <w:tcPr>
            <w:tcW w:type="dxa" w:w="3118"/>
            <w:shd w:val="clear" w:color="auto" w:fill="1F3A5F"/>
          </w:tcPr>
          <w:p>
            <w:r>
              <w:rPr>
                <w:b/>
                <w:color w:val="FFFFFF"/>
                <w:sz w:val="18"/>
              </w:rPr>
              <w:t>Documento</w:t>
            </w:r>
          </w:p>
        </w:tc>
        <w:tc>
          <w:tcPr>
            <w:tcW w:type="dxa" w:w="6236"/>
            <w:shd w:val="clear" w:color="auto" w:fill="1F3A5F"/>
          </w:tcPr>
          <w:p>
            <w:r>
              <w:rPr>
                <w:b/>
                <w:color w:val="FFFFFF"/>
                <w:sz w:val="18"/>
              </w:rPr>
              <w:t>Qué aporta a este documento</w:t>
            </w:r>
          </w:p>
        </w:tc>
      </w:tr>
      <w:tr>
        <w:tc>
          <w:tcPr>
            <w:tcW w:type="dxa" w:w="3118"/>
          </w:tcPr>
          <w:p>
            <w:r>
              <w:rPr>
                <w:sz w:val="18"/>
              </w:rPr>
              <w:t>SRS (ISO/IEC/IEEE 29148) v1.0</w:t>
            </w:r>
          </w:p>
        </w:tc>
        <w:tc>
          <w:tcPr>
            <w:tcW w:type="dxa" w:w="6236"/>
          </w:tcPr>
          <w:p>
            <w:r>
              <w:rPr>
                <w:sz w:val="18"/>
              </w:rPr>
              <w:t>Requisitos funcionales y no funcionales que la arquitectura debe satisfacer (RF-01 a RF-16, RNF-01 a RNF-14).</w:t>
            </w:r>
          </w:p>
        </w:tc>
      </w:tr>
      <w:tr>
        <w:tc>
          <w:tcPr>
            <w:tcW w:type="dxa" w:w="3118"/>
          </w:tcPr>
          <w:p>
            <w:r>
              <w:rPr>
                <w:sz w:val="18"/>
              </w:rPr>
              <w:t>EDT v1.1</w:t>
            </w:r>
          </w:p>
        </w:tc>
        <w:tc>
          <w:tcPr>
            <w:tcW w:type="dxa" w:w="6236"/>
          </w:tcPr>
          <w:p>
            <w:r>
              <w:rPr>
                <w:sz w:val="18"/>
              </w:rPr>
              <w:t>Los seis componentes de producto (4.1 a 4.6) que se convierten en los módulos del sistema.</w:t>
            </w:r>
          </w:p>
        </w:tc>
      </w:tr>
      <w:tr>
        <w:tc>
          <w:tcPr>
            <w:tcW w:type="dxa" w:w="3118"/>
          </w:tcPr>
          <w:p>
            <w:r>
              <w:rPr>
                <w:sz w:val="18"/>
              </w:rPr>
              <w:t>Arquitectura del Software v1.0</w:t>
            </w:r>
          </w:p>
        </w:tc>
        <w:tc>
          <w:tcPr>
            <w:tcW w:type="dxa" w:w="6236"/>
          </w:tcPr>
          <w:p>
            <w:r>
              <w:rPr>
                <w:sz w:val="18"/>
              </w:rPr>
              <w:t>Estructura interna de cada contenedor: capas, componentes, secuencias y API.</w:t>
            </w:r>
          </w:p>
        </w:tc>
      </w:tr>
      <w:tr>
        <w:tc>
          <w:tcPr>
            <w:tcW w:type="dxa" w:w="3118"/>
          </w:tcPr>
          <w:p>
            <w:r>
              <w:rPr>
                <w:sz w:val="18"/>
              </w:rPr>
              <w:t>Justificación de la Arquitectura v1.0</w:t>
            </w:r>
          </w:p>
        </w:tc>
        <w:tc>
          <w:tcPr>
            <w:tcW w:type="dxa" w:w="6236"/>
          </w:tcPr>
          <w:p>
            <w:r>
              <w:rPr>
                <w:sz w:val="18"/>
              </w:rPr>
              <w:t>Razones de cada decisión, alternativas evaluadas y escenarios de calidad.</w:t>
            </w:r>
          </w:p>
        </w:tc>
      </w:tr>
      <w:tr>
        <w:tc>
          <w:tcPr>
            <w:tcW w:type="dxa" w:w="3118"/>
          </w:tcPr>
          <w:p>
            <w:r>
              <w:rPr>
                <w:sz w:val="18"/>
              </w:rPr>
              <w:t>Diseño de Base de Datos v1.0</w:t>
            </w:r>
          </w:p>
        </w:tc>
        <w:tc>
          <w:tcPr>
            <w:tcW w:type="dxa" w:w="6236"/>
          </w:tcPr>
          <w:p>
            <w:r>
              <w:rPr>
                <w:sz w:val="18"/>
              </w:rPr>
              <w:t>Modelo conceptual, lógico y físico de los datos que aquí aparecen como un nodo.</w:t>
            </w:r>
          </w:p>
        </w:tc>
      </w:tr>
    </w:tbl>
    <w:p>
      <w:pPr>
        <w:spacing w:after="0"/>
      </w:pPr>
    </w:p>
    <w:p>
      <w:pPr>
        <w:pStyle w:val="Heading1"/>
      </w:pPr>
      <w:r>
        <w:t>2. Contexto del sistema</w:t>
      </w:r>
    </w:p>
    <w:p>
      <w:pPr>
        <w:spacing w:after="120"/>
        <w:jc w:val="both"/>
      </w:pPr>
      <w:r>
        <w:rPr>
          <w:b w:val="0"/>
          <w:i w:val="0"/>
        </w:rPr>
        <w:t>El diagrama de contexto muestra a GASTRO-SIM como una caja negra rodeada de las personas que lo usan y de los sistemas con los que intercambia información. Sirve para fijar la frontera del sistema: lo que está dentro se construye; lo que está fuera se integra.</w:t>
      </w:r>
    </w:p>
    <w:p>
      <w:pPr>
        <w:keepNext/>
        <w:jc w:val="center"/>
      </w:pPr>
      <w:r>
        <w:drawing>
          <wp:inline xmlns:a="http://schemas.openxmlformats.org/drawingml/2006/main" xmlns:pic="http://schemas.openxmlformats.org/drawingml/2006/picture">
            <wp:extent cx="5940000" cy="1979238"/>
            <wp:docPr id="1" name="Picture 1"/>
            <wp:cNvGraphicFramePr>
              <a:graphicFrameLocks noChangeAspect="1"/>
            </wp:cNvGraphicFramePr>
            <a:graphic>
              <a:graphicData uri="http://schemas.openxmlformats.org/drawingml/2006/picture">
                <pic:pic>
                  <pic:nvPicPr>
                    <pic:cNvPr id="0" name="S1_contexto.png"/>
                    <pic:cNvPicPr/>
                  </pic:nvPicPr>
                  <pic:blipFill>
                    <a:blip r:embed="rId11"/>
                    <a:stretch>
                      <a:fillRect/>
                    </a:stretch>
                  </pic:blipFill>
                  <pic:spPr>
                    <a:xfrm>
                      <a:off x="0" y="0"/>
                      <a:ext cx="5940000" cy="1979238"/>
                    </a:xfrm>
                    <a:prstGeom prst="rect"/>
                  </pic:spPr>
                </pic:pic>
              </a:graphicData>
            </a:graphic>
          </wp:inline>
        </w:drawing>
      </w:r>
    </w:p>
    <w:p>
      <w:pPr>
        <w:spacing w:after="200"/>
        <w:jc w:val="center"/>
      </w:pPr>
      <w:r>
        <w:rPr>
          <w:b w:val="0"/>
          <w:i/>
          <w:color w:val="44546A"/>
          <w:sz w:val="18"/>
        </w:rPr>
        <w:t>Figura 1. Diagrama de contexto de GASTRO-SIM (nivel 1 del modelo C4).</w:t>
      </w:r>
    </w:p>
    <w:p>
      <w:pPr>
        <w:keepNext/>
        <w:spacing w:after="60"/>
        <w:jc w:val="left"/>
      </w:pPr>
      <w:r>
        <w:rPr>
          <w:b/>
          <w:i w:val="0"/>
          <w:color w:val="44546A"/>
          <w:sz w:val="18"/>
        </w:rPr>
        <w:t>Tabla 1. Actores y sistemas externos</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color="auto" w:fill="1F3A5F"/>
          </w:tcPr>
          <w:p>
            <w:r>
              <w:rPr>
                <w:b/>
                <w:color w:val="FFFFFF"/>
                <w:sz w:val="18"/>
              </w:rPr>
              <w:t>Elemento</w:t>
            </w:r>
          </w:p>
        </w:tc>
        <w:tc>
          <w:tcPr>
            <w:tcW w:type="dxa" w:w="1701"/>
            <w:shd w:val="clear" w:color="auto" w:fill="1F3A5F"/>
          </w:tcPr>
          <w:p>
            <w:r>
              <w:rPr>
                <w:b/>
                <w:color w:val="FFFFFF"/>
                <w:sz w:val="18"/>
              </w:rPr>
              <w:t>Tipo</w:t>
            </w:r>
          </w:p>
        </w:tc>
        <w:tc>
          <w:tcPr>
            <w:tcW w:type="dxa" w:w="5386"/>
            <w:shd w:val="clear" w:color="auto" w:fill="1F3A5F"/>
          </w:tcPr>
          <w:p>
            <w:r>
              <w:rPr>
                <w:b/>
                <w:color w:val="FFFFFF"/>
                <w:sz w:val="18"/>
              </w:rPr>
              <w:t>Interacción con GASTRO-SIM</w:t>
            </w:r>
          </w:p>
        </w:tc>
      </w:tr>
      <w:tr>
        <w:tc>
          <w:tcPr>
            <w:tcW w:type="dxa" w:w="2268"/>
          </w:tcPr>
          <w:p>
            <w:r>
              <w:rPr>
                <w:sz w:val="18"/>
              </w:rPr>
              <w:t>Estudiante</w:t>
            </w:r>
          </w:p>
        </w:tc>
        <w:tc>
          <w:tcPr>
            <w:tcW w:type="dxa" w:w="1701"/>
          </w:tcPr>
          <w:p>
            <w:r>
              <w:rPr>
                <w:sz w:val="18"/>
              </w:rPr>
              <w:t>Persona</w:t>
            </w:r>
          </w:p>
        </w:tc>
        <w:tc>
          <w:tcPr>
            <w:tcW w:type="dxa" w:w="5386"/>
          </w:tcPr>
          <w:p>
            <w:r>
              <w:rPr>
                <w:sz w:val="18"/>
              </w:rPr>
              <w:t>Solicita casos, explora la escena 3D, registra decisiones, consulta al tutor y revisa su desempeño.</w:t>
            </w:r>
          </w:p>
        </w:tc>
      </w:tr>
      <w:tr>
        <w:tc>
          <w:tcPr>
            <w:tcW w:type="dxa" w:w="2268"/>
          </w:tcPr>
          <w:p>
            <w:r>
              <w:rPr>
                <w:sz w:val="18"/>
              </w:rPr>
              <w:t>Docente / administrador</w:t>
            </w:r>
          </w:p>
        </w:tc>
        <w:tc>
          <w:tcPr>
            <w:tcW w:type="dxa" w:w="1701"/>
          </w:tcPr>
          <w:p>
            <w:r>
              <w:rPr>
                <w:sz w:val="18"/>
              </w:rPr>
              <w:t>Persona</w:t>
            </w:r>
          </w:p>
        </w:tc>
        <w:tc>
          <w:tcPr>
            <w:tcW w:type="dxa" w:w="5386"/>
          </w:tcPr>
          <w:p>
            <w:r>
              <w:rPr>
                <w:sz w:val="18"/>
              </w:rPr>
              <w:t>Revisa y aprueba casos generados, configura la inyección de errores, gestiona roles y exporta datos seudonimizados.</w:t>
            </w:r>
          </w:p>
        </w:tc>
      </w:tr>
      <w:tr>
        <w:tc>
          <w:tcPr>
            <w:tcW w:type="dxa" w:w="2268"/>
          </w:tcPr>
          <w:p>
            <w:r>
              <w:rPr>
                <w:sz w:val="18"/>
              </w:rPr>
              <w:t>Validador clínico</w:t>
            </w:r>
          </w:p>
        </w:tc>
        <w:tc>
          <w:tcPr>
            <w:tcW w:type="dxa" w:w="1701"/>
          </w:tcPr>
          <w:p>
            <w:r>
              <w:rPr>
                <w:sz w:val="18"/>
              </w:rPr>
              <w:t>Persona</w:t>
            </w:r>
          </w:p>
        </w:tc>
        <w:tc>
          <w:tcPr>
            <w:tcW w:type="dxa" w:w="5386"/>
          </w:tcPr>
          <w:p>
            <w:r>
              <w:rPr>
                <w:sz w:val="18"/>
              </w:rPr>
              <w:t>Revisa muestras de casos para confirmar su coherencia médica (RNF-13). No usa una interfaz propia: trabaja con la vista del docente.</w:t>
            </w:r>
          </w:p>
        </w:tc>
      </w:tr>
      <w:tr>
        <w:tc>
          <w:tcPr>
            <w:tcW w:type="dxa" w:w="2268"/>
          </w:tcPr>
          <w:p>
            <w:r>
              <w:rPr>
                <w:sz w:val="18"/>
              </w:rPr>
              <w:t>API de Gemini</w:t>
            </w:r>
          </w:p>
        </w:tc>
        <w:tc>
          <w:tcPr>
            <w:tcW w:type="dxa" w:w="1701"/>
          </w:tcPr>
          <w:p>
            <w:r>
              <w:rPr>
                <w:sz w:val="18"/>
              </w:rPr>
              <w:t>Sistema externo</w:t>
            </w:r>
          </w:p>
        </w:tc>
        <w:tc>
          <w:tcPr>
            <w:tcW w:type="dxa" w:w="5386"/>
          </w:tcPr>
          <w:p>
            <w:r>
              <w:rPr>
                <w:sz w:val="18"/>
              </w:rPr>
              <w:t>Redacta las historias clínicas sintéticas y las respuestas del tutor. Solo recibe datos sintéticos.</w:t>
            </w:r>
          </w:p>
        </w:tc>
      </w:tr>
      <w:tr>
        <w:tc>
          <w:tcPr>
            <w:tcW w:type="dxa" w:w="2268"/>
          </w:tcPr>
          <w:p>
            <w:r>
              <w:rPr>
                <w:sz w:val="18"/>
              </w:rPr>
              <w:t>Aplicación autenticadora</w:t>
            </w:r>
          </w:p>
        </w:tc>
        <w:tc>
          <w:tcPr>
            <w:tcW w:type="dxa" w:w="1701"/>
          </w:tcPr>
          <w:p>
            <w:r>
              <w:rPr>
                <w:sz w:val="18"/>
              </w:rPr>
              <w:t>Sistema externo</w:t>
            </w:r>
          </w:p>
        </w:tc>
        <w:tc>
          <w:tcPr>
            <w:tcW w:type="dxa" w:w="5386"/>
          </w:tcPr>
          <w:p>
            <w:r>
              <w:rPr>
                <w:sz w:val="18"/>
              </w:rPr>
              <w:t>Genera el código TOTP de 6 dígitos que exige la verificación en dos pasos.</w:t>
            </w:r>
          </w:p>
        </w:tc>
      </w:tr>
      <w:tr>
        <w:tc>
          <w:tcPr>
            <w:tcW w:type="dxa" w:w="2268"/>
          </w:tcPr>
          <w:p>
            <w:r>
              <w:rPr>
                <w:sz w:val="18"/>
              </w:rPr>
              <w:t>Dataset HyperKvasir</w:t>
            </w:r>
          </w:p>
        </w:tc>
        <w:tc>
          <w:tcPr>
            <w:tcW w:type="dxa" w:w="1701"/>
          </w:tcPr>
          <w:p>
            <w:r>
              <w:rPr>
                <w:sz w:val="18"/>
              </w:rPr>
              <w:t>Fuente de datos</w:t>
            </w:r>
          </w:p>
        </w:tc>
        <w:tc>
          <w:tcPr>
            <w:tcW w:type="dxa" w:w="5386"/>
          </w:tcPr>
          <w:p>
            <w:r>
              <w:rPr>
                <w:sz w:val="18"/>
              </w:rPr>
              <w:t>Aporta las imágenes del tracto superior (licencia CC BY 4.0). Se carga una vez, fuera de línea.</w:t>
            </w:r>
          </w:p>
        </w:tc>
      </w:tr>
    </w:tbl>
    <w:p>
      <w:pPr>
        <w:spacing w:after="0"/>
      </w:pPr>
    </w:p>
    <w:p>
      <w:pPr>
        <w:pStyle w:val="Heading1"/>
      </w:pPr>
      <w:r>
        <w:t>3. Estilo arquitectónico</w:t>
      </w:r>
    </w:p>
    <w:p>
      <w:pPr>
        <w:pStyle w:val="Heading2"/>
      </w:pPr>
      <w:r>
        <w:t>3.1 Estilos evaluados</w:t>
      </w:r>
    </w:p>
    <w:p>
      <w:pPr>
        <w:spacing w:after="120"/>
        <w:jc w:val="both"/>
      </w:pPr>
      <w:r>
        <w:rPr>
          <w:b w:val="0"/>
          <w:i w:val="0"/>
        </w:rPr>
        <w:t>Se compararon los seis estilos de arquitectura de sistema más frecuentes en el software actual frente a las condiciones concretas del proyecto: cinco integrantes con dedicación parcial, entrega final el 29 de noviembre, servicios en planes gratuitos y un componente 3D obligatorio que consume buena parte del esfuerzo.</w:t>
      </w:r>
    </w:p>
    <w:p>
      <w:pPr>
        <w:keepNext/>
        <w:spacing w:after="60"/>
        <w:jc w:val="left"/>
      </w:pPr>
      <w:r>
        <w:rPr>
          <w:b/>
          <w:i w:val="0"/>
          <w:color w:val="44546A"/>
          <w:sz w:val="18"/>
        </w:rPr>
        <w:t>Tabla 2. Comparación de estilos de arquitectura de sistema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color="auto" w:fill="1F3A5F"/>
          </w:tcPr>
          <w:p>
            <w:r>
              <w:rPr>
                <w:b/>
                <w:color w:val="FFFFFF"/>
                <w:sz w:val="17"/>
              </w:rPr>
              <w:t>Estilo</w:t>
            </w:r>
          </w:p>
        </w:tc>
        <w:tc>
          <w:tcPr>
            <w:tcW w:type="dxa" w:w="2608"/>
            <w:shd w:val="clear" w:color="auto" w:fill="1F3A5F"/>
          </w:tcPr>
          <w:p>
            <w:r>
              <w:rPr>
                <w:b/>
                <w:color w:val="FFFFFF"/>
                <w:sz w:val="17"/>
              </w:rPr>
              <w:t>Ventaja para GASTRO-SIM</w:t>
            </w:r>
          </w:p>
        </w:tc>
        <w:tc>
          <w:tcPr>
            <w:tcW w:type="dxa" w:w="2721"/>
            <w:shd w:val="clear" w:color="auto" w:fill="1F3A5F"/>
          </w:tcPr>
          <w:p>
            <w:r>
              <w:rPr>
                <w:b/>
                <w:color w:val="FFFFFF"/>
                <w:sz w:val="17"/>
              </w:rPr>
              <w:t>Desventaja para GASTRO-SIM</w:t>
            </w:r>
          </w:p>
        </w:tc>
        <w:tc>
          <w:tcPr>
            <w:tcW w:type="dxa" w:w="2098"/>
            <w:shd w:val="clear" w:color="auto" w:fill="1F3A5F"/>
          </w:tcPr>
          <w:p>
            <w:r>
              <w:rPr>
                <w:b/>
                <w:color w:val="FFFFFF"/>
                <w:sz w:val="17"/>
              </w:rPr>
              <w:t>Resultado</w:t>
            </w:r>
          </w:p>
        </w:tc>
      </w:tr>
      <w:tr>
        <w:tc>
          <w:tcPr>
            <w:tcW w:type="dxa" w:w="1928"/>
          </w:tcPr>
          <w:p>
            <w:r>
              <w:rPr>
                <w:sz w:val="17"/>
              </w:rPr>
              <w:t>CAP – Por capas (N-tier)</w:t>
            </w:r>
          </w:p>
        </w:tc>
        <w:tc>
          <w:tcPr>
            <w:tcW w:type="dxa" w:w="2608"/>
          </w:tcPr>
          <w:p>
            <w:r>
              <w:rPr>
                <w:sz w:val="17"/>
              </w:rPr>
              <w:t>Separa presentación, lógica y datos; cada capa se prueba y cambia por separado.</w:t>
            </w:r>
          </w:p>
        </w:tc>
        <w:tc>
          <w:tcPr>
            <w:tcW w:type="dxa" w:w="2721"/>
          </w:tcPr>
          <w:p>
            <w:r>
              <w:rPr>
                <w:sz w:val="17"/>
              </w:rPr>
              <w:t>Si se abusa de capas, agrega llamadas innecesarias.</w:t>
            </w:r>
          </w:p>
        </w:tc>
        <w:tc>
          <w:tcPr>
            <w:tcW w:type="dxa" w:w="2098"/>
          </w:tcPr>
          <w:p>
            <w:r>
              <w:rPr>
                <w:sz w:val="17"/>
              </w:rPr>
              <w:t>Seleccionado (combinado con CLI)</w:t>
            </w:r>
          </w:p>
        </w:tc>
      </w:tr>
      <w:tr>
        <w:tc>
          <w:tcPr>
            <w:tcW w:type="dxa" w:w="1928"/>
          </w:tcPr>
          <w:p>
            <w:r>
              <w:rPr>
                <w:sz w:val="17"/>
              </w:rPr>
              <w:t>CLI – Cliente-servidor</w:t>
            </w:r>
          </w:p>
        </w:tc>
        <w:tc>
          <w:tcPr>
            <w:tcW w:type="dxa" w:w="2608"/>
          </w:tcPr>
          <w:p>
            <w:r>
              <w:rPr>
                <w:sz w:val="17"/>
              </w:rPr>
              <w:t>El navegador ejecuta la interfaz y el 3D; el servidor protege la lógica y los secretos.</w:t>
            </w:r>
          </w:p>
        </w:tc>
        <w:tc>
          <w:tcPr>
            <w:tcW w:type="dxa" w:w="2721"/>
          </w:tcPr>
          <w:p>
            <w:r>
              <w:rPr>
                <w:sz w:val="17"/>
              </w:rPr>
              <w:t>El servidor es un punto único de falla.</w:t>
            </w:r>
          </w:p>
        </w:tc>
        <w:tc>
          <w:tcPr>
            <w:tcW w:type="dxa" w:w="2098"/>
          </w:tcPr>
          <w:p>
            <w:r>
              <w:rPr>
                <w:sz w:val="17"/>
              </w:rPr>
              <w:t>Seleccionado</w:t>
            </w:r>
          </w:p>
        </w:tc>
      </w:tr>
      <w:tr>
        <w:tc>
          <w:tcPr>
            <w:tcW w:type="dxa" w:w="1928"/>
          </w:tcPr>
          <w:p>
            <w:r>
              <w:rPr>
                <w:sz w:val="17"/>
              </w:rPr>
              <w:t>EVT – Dirigida por eventos</w:t>
            </w:r>
          </w:p>
        </w:tc>
        <w:tc>
          <w:tcPr>
            <w:tcW w:type="dxa" w:w="2608"/>
          </w:tcPr>
          <w:p>
            <w:r>
              <w:rPr>
                <w:sz w:val="17"/>
              </w:rPr>
              <w:t>Útil para la telemetría y la escena 3D.</w:t>
            </w:r>
          </w:p>
        </w:tc>
        <w:tc>
          <w:tcPr>
            <w:tcW w:type="dxa" w:w="2721"/>
          </w:tcPr>
          <w:p>
            <w:r>
              <w:rPr>
                <w:sz w:val="17"/>
              </w:rPr>
              <w:t>Un bus de mensajes distribuido sería excesivo para el volumen esperado.</w:t>
            </w:r>
          </w:p>
        </w:tc>
        <w:tc>
          <w:tcPr>
            <w:tcW w:type="dxa" w:w="2098"/>
          </w:tcPr>
          <w:p>
            <w:r>
              <w:rPr>
                <w:sz w:val="17"/>
              </w:rPr>
              <w:t>Solo dentro del frontend (patrón Observer)</w:t>
            </w:r>
          </w:p>
        </w:tc>
      </w:tr>
      <w:tr>
        <w:tc>
          <w:tcPr>
            <w:tcW w:type="dxa" w:w="1928"/>
          </w:tcPr>
          <w:p>
            <w:r>
              <w:rPr>
                <w:sz w:val="17"/>
              </w:rPr>
              <w:t>MIC – Microservicios</w:t>
            </w:r>
          </w:p>
        </w:tc>
        <w:tc>
          <w:tcPr>
            <w:tcW w:type="dxa" w:w="2608"/>
          </w:tcPr>
          <w:p>
            <w:r>
              <w:rPr>
                <w:sz w:val="17"/>
              </w:rPr>
              <w:t>Escalado y despliegue independiente por servicio.</w:t>
            </w:r>
          </w:p>
        </w:tc>
        <w:tc>
          <w:tcPr>
            <w:tcW w:type="dxa" w:w="2721"/>
          </w:tcPr>
          <w:p>
            <w:r>
              <w:rPr>
                <w:sz w:val="17"/>
              </w:rPr>
              <w:t>Exige orquestación, redes y monitoreo que el equipo no puede sostener en siete semanas.</w:t>
            </w:r>
          </w:p>
        </w:tc>
        <w:tc>
          <w:tcPr>
            <w:tcW w:type="dxa" w:w="2098"/>
          </w:tcPr>
          <w:p>
            <w:r>
              <w:rPr>
                <w:sz w:val="17"/>
              </w:rPr>
              <w:t>Descartado</w:t>
            </w:r>
          </w:p>
        </w:tc>
      </w:tr>
      <w:tr>
        <w:tc>
          <w:tcPr>
            <w:tcW w:type="dxa" w:w="1928"/>
          </w:tcPr>
          <w:p>
            <w:r>
              <w:rPr>
                <w:sz w:val="17"/>
              </w:rPr>
              <w:t>MON – Monolítica</w:t>
            </w:r>
          </w:p>
        </w:tc>
        <w:tc>
          <w:tcPr>
            <w:tcW w:type="dxa" w:w="2608"/>
          </w:tcPr>
          <w:p>
            <w:r>
              <w:rPr>
                <w:sz w:val="17"/>
              </w:rPr>
              <w:t>Un solo despliegue, depuración sencilla, sin latencia entre servicios.</w:t>
            </w:r>
          </w:p>
        </w:tc>
        <w:tc>
          <w:tcPr>
            <w:tcW w:type="dxa" w:w="2721"/>
          </w:tcPr>
          <w:p>
            <w:r>
              <w:rPr>
                <w:sz w:val="17"/>
              </w:rPr>
              <w:t>Riesgo de acoplamiento si no se organiza por módulos.</w:t>
            </w:r>
          </w:p>
        </w:tc>
        <w:tc>
          <w:tcPr>
            <w:tcW w:type="dxa" w:w="2098"/>
          </w:tcPr>
          <w:p>
            <w:r>
              <w:rPr>
                <w:sz w:val="17"/>
              </w:rPr>
              <w:t>Seleccionado para el backend, como monolito modular</w:t>
            </w:r>
          </w:p>
        </w:tc>
      </w:tr>
      <w:tr>
        <w:tc>
          <w:tcPr>
            <w:tcW w:type="dxa" w:w="1928"/>
          </w:tcPr>
          <w:p>
            <w:r>
              <w:rPr>
                <w:sz w:val="17"/>
              </w:rPr>
              <w:t>SER – Orientada a servicios (SOA)</w:t>
            </w:r>
          </w:p>
        </w:tc>
        <w:tc>
          <w:tcPr>
            <w:tcW w:type="dxa" w:w="2608"/>
          </w:tcPr>
          <w:p>
            <w:r>
              <w:rPr>
                <w:sz w:val="17"/>
              </w:rPr>
              <w:t>Integra servicios corporativos con contratos formales.</w:t>
            </w:r>
          </w:p>
        </w:tc>
        <w:tc>
          <w:tcPr>
            <w:tcW w:type="dxa" w:w="2721"/>
          </w:tcPr>
          <w:p>
            <w:r>
              <w:rPr>
                <w:sz w:val="17"/>
              </w:rPr>
              <w:t>No hay sistemas corporativos que integrar; añade un bus de servicios sin beneficio.</w:t>
            </w:r>
          </w:p>
        </w:tc>
        <w:tc>
          <w:tcPr>
            <w:tcW w:type="dxa" w:w="2098"/>
          </w:tcPr>
          <w:p>
            <w:r>
              <w:rPr>
                <w:sz w:val="17"/>
              </w:rPr>
              <w:t>Descartado</w:t>
            </w:r>
          </w:p>
        </w:tc>
      </w:tr>
    </w:tbl>
    <w:p>
      <w:pPr>
        <w:spacing w:after="0"/>
      </w:pPr>
    </w:p>
    <w:p>
      <w:pPr>
        <w:pStyle w:val="Heading2"/>
      </w:pPr>
      <w:r>
        <w:t>3.2 Estilo seleccionado</w:t>
      </w:r>
    </w:p>
    <w:p>
      <w:pPr>
        <w:spacing w:after="120"/>
        <w:jc w:val="both"/>
      </w:pPr>
      <w:r>
        <w:rPr>
          <w:b w:val="0"/>
          <w:i w:val="0"/>
        </w:rPr>
        <w:t xml:space="preserve">GASTRO-SIM adopta una </w:t>
      </w:r>
      <w:r>
        <w:rPr>
          <w:b/>
          <w:i w:val="0"/>
        </w:rPr>
        <w:t>arquitectura cliente-servidor de tres capas</w:t>
      </w:r>
      <w:r>
        <w:rPr>
          <w:b w:val="0"/>
          <w:i w:val="0"/>
        </w:rPr>
        <w:t xml:space="preserve">. El navegador (cliente) aloja la capa de presentación, incluida la escena 3D; un servidor de aplicaciones aloja la capa de lógica de negocio como un </w:t>
      </w:r>
      <w:r>
        <w:rPr>
          <w:b/>
          <w:i w:val="0"/>
        </w:rPr>
        <w:t>monolito modular</w:t>
      </w:r>
      <w:r>
        <w:rPr>
          <w:b w:val="0"/>
          <w:i w:val="0"/>
        </w:rPr>
        <w:t>, organizado internamente en los mismos seis módulos de la EDT; y la capa de datos la forman los servicios administrados de Supabase. Los servicios de IA externos se consumen solo desde el servidor, nunca desde el navegador.</w:t>
      </w:r>
    </w:p>
    <w:p>
      <w:pPr>
        <w:keepNext/>
        <w:jc w:val="center"/>
      </w:pPr>
      <w:r>
        <w:drawing>
          <wp:inline xmlns:a="http://schemas.openxmlformats.org/drawingml/2006/main" xmlns:pic="http://schemas.openxmlformats.org/drawingml/2006/picture">
            <wp:extent cx="5940000" cy="3921471"/>
            <wp:docPr id="2" name="Picture 2"/>
            <wp:cNvGraphicFramePr>
              <a:graphicFrameLocks noChangeAspect="1"/>
            </wp:cNvGraphicFramePr>
            <a:graphic>
              <a:graphicData uri="http://schemas.openxmlformats.org/drawingml/2006/picture">
                <pic:pic>
                  <pic:nvPicPr>
                    <pic:cNvPr id="0" name="S2_capas.png"/>
                    <pic:cNvPicPr/>
                  </pic:nvPicPr>
                  <pic:blipFill>
                    <a:blip r:embed="rId12"/>
                    <a:stretch>
                      <a:fillRect/>
                    </a:stretch>
                  </pic:blipFill>
                  <pic:spPr>
                    <a:xfrm>
                      <a:off x="0" y="0"/>
                      <a:ext cx="5940000" cy="3921471"/>
                    </a:xfrm>
                    <a:prstGeom prst="rect"/>
                  </pic:spPr>
                </pic:pic>
              </a:graphicData>
            </a:graphic>
          </wp:inline>
        </w:drawing>
      </w:r>
    </w:p>
    <w:p>
      <w:pPr>
        <w:spacing w:after="200"/>
        <w:jc w:val="center"/>
      </w:pPr>
      <w:r>
        <w:rPr>
          <w:b w:val="0"/>
          <w:i/>
          <w:color w:val="44546A"/>
          <w:sz w:val="18"/>
        </w:rPr>
        <w:t>Figura 2. Arquitectura cliente-servidor de tres capas de GASTRO-SIM.</w:t>
      </w:r>
    </w:p>
    <w:p>
      <w:pPr>
        <w:spacing w:after="120"/>
        <w:jc w:val="both"/>
      </w:pPr>
      <w:r>
        <w:rPr>
          <w:b w:val="0"/>
          <w:i w:val="0"/>
        </w:rPr>
        <w:t xml:space="preserve">Hay dos reglas que hacen funcionar este estilo. La primera: </w:t>
      </w:r>
      <w:r>
        <w:rPr>
          <w:b/>
          <w:i w:val="0"/>
        </w:rPr>
        <w:t>el navegador no consulta la base de datos directamente</w:t>
      </w:r>
      <w:r>
        <w:rPr>
          <w:b w:val="0"/>
          <w:i w:val="0"/>
        </w:rPr>
        <w:t xml:space="preserve">; todo dato de negocio pasa por la API, que decide qué puede ver cada rol. Esto impide que la respuesta de referencia de un caso llegue al cliente antes de la decisión final. La segunda: </w:t>
      </w:r>
      <w:r>
        <w:rPr>
          <w:b/>
          <w:i w:val="0"/>
        </w:rPr>
        <w:t>la escena 3D descarga sus recursos pesados</w:t>
      </w:r>
      <w:r>
        <w:rPr>
          <w:b w:val="0"/>
          <w:i w:val="0"/>
        </w:rPr>
        <w:t xml:space="preserve"> (modelos .glb e imágenes) directamente del almacenamiento mediante URL firmadas de corta duración, para no cargar al servidor con tráfico que no necesita procesar.</w:t>
      </w:r>
    </w:p>
    <w:p>
      <w:pPr>
        <w:pStyle w:val="Heading1"/>
      </w:pPr>
      <w:r>
        <w:t>4. Componentes del sistema</w:t>
      </w:r>
    </w:p>
    <w:p>
      <w:pPr>
        <w:keepNext/>
        <w:spacing w:after="60"/>
        <w:jc w:val="left"/>
      </w:pPr>
      <w:r>
        <w:rPr>
          <w:b/>
          <w:i w:val="0"/>
          <w:color w:val="44546A"/>
          <w:sz w:val="18"/>
        </w:rPr>
        <w:t>Tabla 3. Componentes, tecnologías y responsabilidades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247"/>
            <w:shd w:val="clear" w:color="auto" w:fill="1F3A5F"/>
          </w:tcPr>
          <w:p>
            <w:r>
              <w:rPr>
                <w:b/>
                <w:color w:val="FFFFFF"/>
                <w:sz w:val="16"/>
              </w:rPr>
              <w:t>Capa</w:t>
            </w:r>
          </w:p>
        </w:tc>
        <w:tc>
          <w:tcPr>
            <w:tcW w:type="dxa" w:w="1587"/>
            <w:shd w:val="clear" w:color="auto" w:fill="1F3A5F"/>
          </w:tcPr>
          <w:p>
            <w:r>
              <w:rPr>
                <w:b/>
                <w:color w:val="FFFFFF"/>
                <w:sz w:val="16"/>
              </w:rPr>
              <w:t>Componente</w:t>
            </w:r>
          </w:p>
        </w:tc>
        <w:tc>
          <w:tcPr>
            <w:tcW w:type="dxa" w:w="2041"/>
            <w:shd w:val="clear" w:color="auto" w:fill="1F3A5F"/>
          </w:tcPr>
          <w:p>
            <w:r>
              <w:rPr>
                <w:b/>
                <w:color w:val="FFFFFF"/>
                <w:sz w:val="16"/>
              </w:rPr>
              <w:t>Tecnología</w:t>
            </w:r>
          </w:p>
        </w:tc>
        <w:tc>
          <w:tcPr>
            <w:tcW w:type="dxa" w:w="2778"/>
            <w:shd w:val="clear" w:color="auto" w:fill="1F3A5F"/>
          </w:tcPr>
          <w:p>
            <w:r>
              <w:rPr>
                <w:b/>
                <w:color w:val="FFFFFF"/>
                <w:sz w:val="16"/>
              </w:rPr>
              <w:t>Responsabilidad</w:t>
            </w:r>
          </w:p>
        </w:tc>
        <w:tc>
          <w:tcPr>
            <w:tcW w:type="dxa" w:w="1701"/>
            <w:shd w:val="clear" w:color="auto" w:fill="1F3A5F"/>
          </w:tcPr>
          <w:p>
            <w:r>
              <w:rPr>
                <w:b/>
                <w:color w:val="FFFFFF"/>
                <w:sz w:val="16"/>
              </w:rPr>
              <w:t>Requisitos</w:t>
            </w:r>
          </w:p>
        </w:tc>
      </w:tr>
      <w:tr>
        <w:tc>
          <w:tcPr>
            <w:tcW w:type="dxa" w:w="1247"/>
          </w:tcPr>
          <w:p>
            <w:r>
              <w:rPr>
                <w:sz w:val="16"/>
              </w:rPr>
              <w:t>Presentación</w:t>
            </w:r>
          </w:p>
        </w:tc>
        <w:tc>
          <w:tcPr>
            <w:tcW w:type="dxa" w:w="1587"/>
          </w:tcPr>
          <w:p>
            <w:r>
              <w:rPr>
                <w:sz w:val="16"/>
              </w:rPr>
              <w:t>Aplicación web (SPA)</w:t>
            </w:r>
          </w:p>
        </w:tc>
        <w:tc>
          <w:tcPr>
            <w:tcW w:type="dxa" w:w="2041"/>
          </w:tcPr>
          <w:p>
            <w:r>
              <w:rPr>
                <w:sz w:val="16"/>
              </w:rPr>
              <w:t>React 18, TypeScript, Vite, Zustand</w:t>
            </w:r>
          </w:p>
        </w:tc>
        <w:tc>
          <w:tcPr>
            <w:tcW w:type="dxa" w:w="2778"/>
          </w:tcPr>
          <w:p>
            <w:r>
              <w:rPr>
                <w:sz w:val="16"/>
              </w:rPr>
              <w:t>Pantallas, formularios, tableros y estado de la sesión.</w:t>
            </w:r>
          </w:p>
        </w:tc>
        <w:tc>
          <w:tcPr>
            <w:tcW w:type="dxa" w:w="1701"/>
          </w:tcPr>
          <w:p>
            <w:r>
              <w:rPr>
                <w:sz w:val="16"/>
              </w:rPr>
              <w:t>RF-02, RF-04, RF-05, RF-09, RF-10, RF-13</w:t>
            </w:r>
          </w:p>
        </w:tc>
      </w:tr>
      <w:tr>
        <w:tc>
          <w:tcPr>
            <w:tcW w:type="dxa" w:w="1247"/>
          </w:tcPr>
          <w:p>
            <w:r>
              <w:rPr>
                <w:sz w:val="16"/>
              </w:rPr>
              <w:t>Presentación</w:t>
            </w:r>
          </w:p>
        </w:tc>
        <w:tc>
          <w:tcPr>
            <w:tcW w:type="dxa" w:w="1587"/>
          </w:tcPr>
          <w:p>
            <w:r>
              <w:rPr>
                <w:sz w:val="16"/>
              </w:rPr>
              <w:t>Simulador 3D</w:t>
            </w:r>
          </w:p>
        </w:tc>
        <w:tc>
          <w:tcPr>
            <w:tcW w:type="dxa" w:w="2041"/>
          </w:tcPr>
          <w:p>
            <w:r>
              <w:rPr>
                <w:sz w:val="16"/>
              </w:rPr>
              <w:t>Three.js, React Three Fiber, drei; modelos glTF/GLB con compresión Draco</w:t>
            </w:r>
          </w:p>
        </w:tc>
        <w:tc>
          <w:tcPr>
            <w:tcW w:type="dxa" w:w="2778"/>
          </w:tcPr>
          <w:p>
            <w:r>
              <w:rPr>
                <w:sz w:val="16"/>
              </w:rPr>
              <w:t>Escena del tracto, control del endoscopio, hitos, hallazgo, minimapa y captura.</w:t>
            </w:r>
          </w:p>
        </w:tc>
        <w:tc>
          <w:tcPr>
            <w:tcW w:type="dxa" w:w="1701"/>
          </w:tcPr>
          <w:p>
            <w:r>
              <w:rPr>
                <w:sz w:val="16"/>
              </w:rPr>
              <w:t>RF-03, RNF-01, RNF-02</w:t>
            </w:r>
          </w:p>
        </w:tc>
      </w:tr>
      <w:tr>
        <w:tc>
          <w:tcPr>
            <w:tcW w:type="dxa" w:w="1247"/>
          </w:tcPr>
          <w:p>
            <w:r>
              <w:rPr>
                <w:sz w:val="16"/>
              </w:rPr>
              <w:t>Presentación</w:t>
            </w:r>
          </w:p>
        </w:tc>
        <w:tc>
          <w:tcPr>
            <w:tcW w:type="dxa" w:w="1587"/>
          </w:tcPr>
          <w:p>
            <w:r>
              <w:rPr>
                <w:sz w:val="16"/>
              </w:rPr>
              <w:t>Cliente de autenticación</w:t>
            </w:r>
          </w:p>
        </w:tc>
        <w:tc>
          <w:tcPr>
            <w:tcW w:type="dxa" w:w="2041"/>
          </w:tcPr>
          <w:p>
            <w:r>
              <w:rPr>
                <w:sz w:val="16"/>
              </w:rPr>
              <w:t>supabase-js</w:t>
            </w:r>
          </w:p>
        </w:tc>
        <w:tc>
          <w:tcPr>
            <w:tcW w:type="dxa" w:w="2778"/>
          </w:tcPr>
          <w:p>
            <w:r>
              <w:rPr>
                <w:sz w:val="16"/>
              </w:rPr>
              <w:t>Registro, inicio de sesión, inscripción y verificación del factor TOTP.</w:t>
            </w:r>
          </w:p>
        </w:tc>
        <w:tc>
          <w:tcPr>
            <w:tcW w:type="dxa" w:w="1701"/>
          </w:tcPr>
          <w:p>
            <w:r>
              <w:rPr>
                <w:sz w:val="16"/>
              </w:rPr>
              <w:t>RF-01.1, RF-01.2, RF-01.5, RF-01.6</w:t>
            </w:r>
          </w:p>
        </w:tc>
      </w:tr>
      <w:tr>
        <w:tc>
          <w:tcPr>
            <w:tcW w:type="dxa" w:w="1247"/>
          </w:tcPr>
          <w:p>
            <w:r>
              <w:rPr>
                <w:sz w:val="16"/>
              </w:rPr>
              <w:t>Lógica</w:t>
            </w:r>
          </w:p>
        </w:tc>
        <w:tc>
          <w:tcPr>
            <w:tcW w:type="dxa" w:w="1587"/>
          </w:tcPr>
          <w:p>
            <w:r>
              <w:rPr>
                <w:sz w:val="16"/>
              </w:rPr>
              <w:t>API de aplicación</w:t>
            </w:r>
          </w:p>
        </w:tc>
        <w:tc>
          <w:tcPr>
            <w:tcW w:type="dxa" w:w="2041"/>
          </w:tcPr>
          <w:p>
            <w:r>
              <w:rPr>
                <w:sz w:val="16"/>
              </w:rPr>
              <w:t>Python 3.12, FastAPI, Uvicorn, Pydantic</w:t>
            </w:r>
          </w:p>
        </w:tc>
        <w:tc>
          <w:tcPr>
            <w:tcW w:type="dxa" w:w="2778"/>
          </w:tcPr>
          <w:p>
            <w:r>
              <w:rPr>
                <w:sz w:val="16"/>
              </w:rPr>
              <w:t>Reglas de negocio, validación del token, orquestación de la IA y registro de intentos.</w:t>
            </w:r>
          </w:p>
        </w:tc>
        <w:tc>
          <w:tcPr>
            <w:tcW w:type="dxa" w:w="1701"/>
          </w:tcPr>
          <w:p>
            <w:r>
              <w:rPr>
                <w:sz w:val="16"/>
              </w:rPr>
              <w:t>Todos los RF de negocio</w:t>
            </w:r>
          </w:p>
        </w:tc>
      </w:tr>
      <w:tr>
        <w:tc>
          <w:tcPr>
            <w:tcW w:type="dxa" w:w="1247"/>
          </w:tcPr>
          <w:p>
            <w:r>
              <w:rPr>
                <w:sz w:val="16"/>
              </w:rPr>
              <w:t>Lógica</w:t>
            </w:r>
          </w:p>
        </w:tc>
        <w:tc>
          <w:tcPr>
            <w:tcW w:type="dxa" w:w="1587"/>
          </w:tcPr>
          <w:p>
            <w:r>
              <w:rPr>
                <w:sz w:val="16"/>
              </w:rPr>
              <w:t>Agentes de IA</w:t>
            </w:r>
          </w:p>
        </w:tc>
        <w:tc>
          <w:tcPr>
            <w:tcW w:type="dxa" w:w="2041"/>
          </w:tcPr>
          <w:p>
            <w:r>
              <w:rPr>
                <w:sz w:val="16"/>
              </w:rPr>
              <w:t>google-genai (API de Gemini)</w:t>
            </w:r>
          </w:p>
        </w:tc>
        <w:tc>
          <w:tcPr>
            <w:tcW w:type="dxa" w:w="2778"/>
          </w:tcPr>
          <w:p>
            <w:r>
              <w:rPr>
                <w:sz w:val="16"/>
              </w:rPr>
              <w:t>Generador de casos y tutor; reintentos y modelos de respaldo.</w:t>
            </w:r>
          </w:p>
        </w:tc>
        <w:tc>
          <w:tcPr>
            <w:tcW w:type="dxa" w:w="1701"/>
          </w:tcPr>
          <w:p>
            <w:r>
              <w:rPr>
                <w:sz w:val="16"/>
              </w:rPr>
              <w:t>RF-07, RF-14, RNF-03, RNF-14</w:t>
            </w:r>
          </w:p>
        </w:tc>
      </w:tr>
      <w:tr>
        <w:tc>
          <w:tcPr>
            <w:tcW w:type="dxa" w:w="1247"/>
          </w:tcPr>
          <w:p>
            <w:r>
              <w:rPr>
                <w:sz w:val="16"/>
              </w:rPr>
              <w:t>Datos</w:t>
            </w:r>
          </w:p>
        </w:tc>
        <w:tc>
          <w:tcPr>
            <w:tcW w:type="dxa" w:w="1587"/>
          </w:tcPr>
          <w:p>
            <w:r>
              <w:rPr>
                <w:sz w:val="16"/>
              </w:rPr>
              <w:t>Base de datos</w:t>
            </w:r>
          </w:p>
        </w:tc>
        <w:tc>
          <w:tcPr>
            <w:tcW w:type="dxa" w:w="2041"/>
          </w:tcPr>
          <w:p>
            <w:r>
              <w:rPr>
                <w:sz w:val="16"/>
              </w:rPr>
              <w:t>PostgreSQL 15 (Supabase)</w:t>
            </w:r>
          </w:p>
        </w:tc>
        <w:tc>
          <w:tcPr>
            <w:tcW w:type="dxa" w:w="2778"/>
          </w:tcPr>
          <w:p>
            <w:r>
              <w:rPr>
                <w:sz w:val="16"/>
              </w:rPr>
              <w:t>Cuentas, contenido, casos e intentos; esquema de investigación separado.</w:t>
            </w:r>
          </w:p>
        </w:tc>
        <w:tc>
          <w:tcPr>
            <w:tcW w:type="dxa" w:w="1701"/>
          </w:tcPr>
          <w:p>
            <w:r>
              <w:rPr>
                <w:sz w:val="16"/>
              </w:rPr>
              <w:t>RF-12, RF-14.5, RF-15, RNF-08</w:t>
            </w:r>
          </w:p>
        </w:tc>
      </w:tr>
      <w:tr>
        <w:tc>
          <w:tcPr>
            <w:tcW w:type="dxa" w:w="1247"/>
          </w:tcPr>
          <w:p>
            <w:r>
              <w:rPr>
                <w:sz w:val="16"/>
              </w:rPr>
              <w:t>Datos</w:t>
            </w:r>
          </w:p>
        </w:tc>
        <w:tc>
          <w:tcPr>
            <w:tcW w:type="dxa" w:w="1587"/>
          </w:tcPr>
          <w:p>
            <w:r>
              <w:rPr>
                <w:sz w:val="16"/>
              </w:rPr>
              <w:t>Almacenamiento</w:t>
            </w:r>
          </w:p>
        </w:tc>
        <w:tc>
          <w:tcPr>
            <w:tcW w:type="dxa" w:w="2041"/>
          </w:tcPr>
          <w:p>
            <w:r>
              <w:rPr>
                <w:sz w:val="16"/>
              </w:rPr>
              <w:t>Supabase Storage</w:t>
            </w:r>
          </w:p>
        </w:tc>
        <w:tc>
          <w:tcPr>
            <w:tcW w:type="dxa" w:w="2778"/>
          </w:tcPr>
          <w:p>
            <w:r>
              <w:rPr>
                <w:sz w:val="16"/>
              </w:rPr>
              <w:t>Imágenes del dataset, mapas Grad-CAM y escenas 3D.</w:t>
            </w:r>
          </w:p>
        </w:tc>
        <w:tc>
          <w:tcPr>
            <w:tcW w:type="dxa" w:w="1701"/>
          </w:tcPr>
          <w:p>
            <w:r>
              <w:rPr>
                <w:sz w:val="16"/>
              </w:rPr>
              <w:t>RF-06.3, RF-14.1, RNF-02</w:t>
            </w:r>
          </w:p>
        </w:tc>
      </w:tr>
      <w:tr>
        <w:tc>
          <w:tcPr>
            <w:tcW w:type="dxa" w:w="1247"/>
          </w:tcPr>
          <w:p>
            <w:r>
              <w:rPr>
                <w:sz w:val="16"/>
              </w:rPr>
              <w:t>Datos</w:t>
            </w:r>
          </w:p>
        </w:tc>
        <w:tc>
          <w:tcPr>
            <w:tcW w:type="dxa" w:w="1587"/>
          </w:tcPr>
          <w:p>
            <w:r>
              <w:rPr>
                <w:sz w:val="16"/>
              </w:rPr>
              <w:t>Autenticación</w:t>
            </w:r>
          </w:p>
        </w:tc>
        <w:tc>
          <w:tcPr>
            <w:tcW w:type="dxa" w:w="2041"/>
          </w:tcPr>
          <w:p>
            <w:r>
              <w:rPr>
                <w:sz w:val="16"/>
              </w:rPr>
              <w:t>Supabase Auth (MFA TOTP)</w:t>
            </w:r>
          </w:p>
        </w:tc>
        <w:tc>
          <w:tcPr>
            <w:tcW w:type="dxa" w:w="2778"/>
          </w:tcPr>
          <w:p>
            <w:r>
              <w:rPr>
                <w:sz w:val="16"/>
              </w:rPr>
              <w:t>Contraseñas con hash, sesiones y segundo factor.</w:t>
            </w:r>
          </w:p>
        </w:tc>
        <w:tc>
          <w:tcPr>
            <w:tcW w:type="dxa" w:w="1701"/>
          </w:tcPr>
          <w:p>
            <w:r>
              <w:rPr>
                <w:sz w:val="16"/>
              </w:rPr>
              <w:t>RF-01, RNF-07</w:t>
            </w:r>
          </w:p>
        </w:tc>
      </w:tr>
      <w:tr>
        <w:tc>
          <w:tcPr>
            <w:tcW w:type="dxa" w:w="1247"/>
          </w:tcPr>
          <w:p>
            <w:r>
              <w:rPr>
                <w:sz w:val="16"/>
              </w:rPr>
              <w:t>Fuera de línea</w:t>
            </w:r>
          </w:p>
        </w:tc>
        <w:tc>
          <w:tcPr>
            <w:tcW w:type="dxa" w:w="1587"/>
          </w:tcPr>
          <w:p>
            <w:r>
              <w:rPr>
                <w:sz w:val="16"/>
              </w:rPr>
              <w:t>Entrenamiento de visión</w:t>
            </w:r>
          </w:p>
        </w:tc>
        <w:tc>
          <w:tcPr>
            <w:tcW w:type="dxa" w:w="2041"/>
          </w:tcPr>
          <w:p>
            <w:r>
              <w:rPr>
                <w:sz w:val="16"/>
              </w:rPr>
              <w:t>Google Colab (GPU), PyTorch</w:t>
            </w:r>
          </w:p>
        </w:tc>
        <w:tc>
          <w:tcPr>
            <w:tcW w:type="dxa" w:w="2778"/>
          </w:tcPr>
          <w:p>
            <w:r>
              <w:rPr>
                <w:sz w:val="16"/>
              </w:rPr>
              <w:t>Ajusta el modelo, calcula predicciones, ROI y Grad-CAM, y los carga a la base de datos.</w:t>
            </w:r>
          </w:p>
        </w:tc>
        <w:tc>
          <w:tcPr>
            <w:tcW w:type="dxa" w:w="1701"/>
          </w:tcPr>
          <w:p>
            <w:r>
              <w:rPr>
                <w:sz w:val="16"/>
              </w:rPr>
              <w:t>RF-06, RNF-12</w:t>
            </w:r>
          </w:p>
        </w:tc>
      </w:tr>
    </w:tbl>
    <w:p>
      <w:pPr>
        <w:spacing w:after="0"/>
      </w:pPr>
    </w:p>
    <w:p>
      <w:pPr>
        <w:pStyle w:val="Heading1"/>
      </w:pPr>
      <w:r>
        <w:t>5. Vista de despliegue</w:t>
      </w:r>
    </w:p>
    <w:p>
      <w:pPr>
        <w:spacing w:after="120"/>
        <w:jc w:val="both"/>
      </w:pPr>
      <w:r>
        <w:rPr>
          <w:b w:val="0"/>
          <w:i w:val="0"/>
        </w:rPr>
        <w:t>La vista de despliegue ubica cada componente en un nodo físico o de nube. El producto se empaqueta en dos contenedores Docker, uno para el frontend y otro para la API, lo que permite ejecutar exactamente la misma configuración en el computador de un integrante y en la nube.</w:t>
      </w:r>
    </w:p>
    <w:p>
      <w:pPr>
        <w:keepNext/>
        <w:jc w:val="center"/>
      </w:pPr>
      <w:r>
        <w:drawing>
          <wp:inline xmlns:a="http://schemas.openxmlformats.org/drawingml/2006/main" xmlns:pic="http://schemas.openxmlformats.org/drawingml/2006/picture">
            <wp:extent cx="5940000" cy="2999614"/>
            <wp:docPr id="3" name="Picture 3"/>
            <wp:cNvGraphicFramePr>
              <a:graphicFrameLocks noChangeAspect="1"/>
            </wp:cNvGraphicFramePr>
            <a:graphic>
              <a:graphicData uri="http://schemas.openxmlformats.org/drawingml/2006/picture">
                <pic:pic>
                  <pic:nvPicPr>
                    <pic:cNvPr id="0" name="S3_despliegue.png"/>
                    <pic:cNvPicPr/>
                  </pic:nvPicPr>
                  <pic:blipFill>
                    <a:blip r:embed="rId13"/>
                    <a:stretch>
                      <a:fillRect/>
                    </a:stretch>
                  </pic:blipFill>
                  <pic:spPr>
                    <a:xfrm>
                      <a:off x="0" y="0"/>
                      <a:ext cx="5940000" cy="2999614"/>
                    </a:xfrm>
                    <a:prstGeom prst="rect"/>
                  </pic:spPr>
                </pic:pic>
              </a:graphicData>
            </a:graphic>
          </wp:inline>
        </w:drawing>
      </w:r>
    </w:p>
    <w:p>
      <w:pPr>
        <w:spacing w:after="200"/>
        <w:jc w:val="center"/>
      </w:pPr>
      <w:r>
        <w:rPr>
          <w:b w:val="0"/>
          <w:i/>
          <w:color w:val="44546A"/>
          <w:sz w:val="18"/>
        </w:rPr>
        <w:t>Figura 3. Diagrama de despliegue de GASTRO-SIM (notación UML con estereotipos).</w:t>
      </w:r>
    </w:p>
    <w:p>
      <w:pPr>
        <w:keepNext/>
        <w:spacing w:after="60"/>
        <w:jc w:val="left"/>
      </w:pPr>
      <w:r>
        <w:rPr>
          <w:b/>
          <w:i w:val="0"/>
          <w:color w:val="44546A"/>
          <w:sz w:val="18"/>
        </w:rPr>
        <w:t>Tabla 4. Nodos de despliegue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814"/>
            <w:shd w:val="clear" w:color="auto" w:fill="1F3A5F"/>
          </w:tcPr>
          <w:p>
            <w:r>
              <w:rPr>
                <w:b/>
                <w:color w:val="FFFFFF"/>
                <w:sz w:val="17"/>
              </w:rPr>
              <w:t>Nodo</w:t>
            </w:r>
          </w:p>
        </w:tc>
        <w:tc>
          <w:tcPr>
            <w:tcW w:type="dxa" w:w="2608"/>
            <w:shd w:val="clear" w:color="auto" w:fill="1F3A5F"/>
          </w:tcPr>
          <w:p>
            <w:r>
              <w:rPr>
                <w:b/>
                <w:color w:val="FFFFFF"/>
                <w:sz w:val="17"/>
              </w:rPr>
              <w:t>Qué ejecuta</w:t>
            </w:r>
          </w:p>
        </w:tc>
        <w:tc>
          <w:tcPr>
            <w:tcW w:type="dxa" w:w="1814"/>
            <w:shd w:val="clear" w:color="auto" w:fill="1F3A5F"/>
          </w:tcPr>
          <w:p>
            <w:r>
              <w:rPr>
                <w:b/>
                <w:color w:val="FFFFFF"/>
                <w:sz w:val="17"/>
              </w:rPr>
              <w:t>Protocolo / puerto</w:t>
            </w:r>
          </w:p>
        </w:tc>
        <w:tc>
          <w:tcPr>
            <w:tcW w:type="dxa" w:w="3118"/>
            <w:shd w:val="clear" w:color="auto" w:fill="1F3A5F"/>
          </w:tcPr>
          <w:p>
            <w:r>
              <w:rPr>
                <w:b/>
                <w:color w:val="FFFFFF"/>
                <w:sz w:val="17"/>
              </w:rPr>
              <w:t>Observaciones</w:t>
            </w:r>
          </w:p>
        </w:tc>
      </w:tr>
      <w:tr>
        <w:tc>
          <w:tcPr>
            <w:tcW w:type="dxa" w:w="1814"/>
          </w:tcPr>
          <w:p>
            <w:r>
              <w:rPr>
                <w:sz w:val="17"/>
              </w:rPr>
              <w:t>PC del usuario</w:t>
            </w:r>
          </w:p>
        </w:tc>
        <w:tc>
          <w:tcPr>
            <w:tcW w:type="dxa" w:w="2608"/>
          </w:tcPr>
          <w:p>
            <w:r>
              <w:rPr>
                <w:sz w:val="17"/>
              </w:rPr>
              <w:t>Navegador con WebGL 2 (Chrome, Firefox o Edge, dos últimas versiones)</w:t>
            </w:r>
          </w:p>
        </w:tc>
        <w:tc>
          <w:tcPr>
            <w:tcW w:type="dxa" w:w="1814"/>
          </w:tcPr>
          <w:p>
            <w:r>
              <w:rPr>
                <w:sz w:val="17"/>
              </w:rPr>
              <w:t>HTTPS 443</w:t>
            </w:r>
          </w:p>
        </w:tc>
        <w:tc>
          <w:tcPr>
            <w:tcW w:type="dxa" w:w="3118"/>
          </w:tcPr>
          <w:p>
            <w:r>
              <w:rPr>
                <w:sz w:val="17"/>
              </w:rPr>
              <w:t>Referencia mínima: portátil con gráficos integrados, 1366 × 768 (RNF-01, RNF-06).</w:t>
            </w:r>
          </w:p>
        </w:tc>
      </w:tr>
      <w:tr>
        <w:tc>
          <w:tcPr>
            <w:tcW w:type="dxa" w:w="1814"/>
          </w:tcPr>
          <w:p>
            <w:r>
              <w:rPr>
                <w:sz w:val="17"/>
              </w:rPr>
              <w:t>Contenedor gastro-web</w:t>
            </w:r>
          </w:p>
        </w:tc>
        <w:tc>
          <w:tcPr>
            <w:tcW w:type="dxa" w:w="2608"/>
          </w:tcPr>
          <w:p>
            <w:r>
              <w:rPr>
                <w:sz w:val="17"/>
              </w:rPr>
              <w:t>Nginx con el build estático de React</w:t>
            </w:r>
          </w:p>
        </w:tc>
        <w:tc>
          <w:tcPr>
            <w:tcW w:type="dxa" w:w="1814"/>
          </w:tcPr>
          <w:p>
            <w:r>
              <w:rPr>
                <w:sz w:val="17"/>
              </w:rPr>
              <w:t>HTTPS 443</w:t>
            </w:r>
          </w:p>
        </w:tc>
        <w:tc>
          <w:tcPr>
            <w:tcW w:type="dxa" w:w="3118"/>
          </w:tcPr>
          <w:p>
            <w:r>
              <w:rPr>
                <w:sz w:val="17"/>
              </w:rPr>
              <w:t>Compresión gzip/brotli y caché de recursos con hash en el nombre.</w:t>
            </w:r>
          </w:p>
        </w:tc>
      </w:tr>
      <w:tr>
        <w:tc>
          <w:tcPr>
            <w:tcW w:type="dxa" w:w="1814"/>
          </w:tcPr>
          <w:p>
            <w:r>
              <w:rPr>
                <w:sz w:val="17"/>
              </w:rPr>
              <w:t>Contenedor gastro-api</w:t>
            </w:r>
          </w:p>
        </w:tc>
        <w:tc>
          <w:tcPr>
            <w:tcW w:type="dxa" w:w="2608"/>
          </w:tcPr>
          <w:p>
            <w:r>
              <w:rPr>
                <w:sz w:val="17"/>
              </w:rPr>
              <w:t>Uvicorn + FastAPI</w:t>
            </w:r>
          </w:p>
        </w:tc>
        <w:tc>
          <w:tcPr>
            <w:tcW w:type="dxa" w:w="1814"/>
          </w:tcPr>
          <w:p>
            <w:r>
              <w:rPr>
                <w:sz w:val="17"/>
              </w:rPr>
              <w:t>HTTPS 443 → 8000 interno</w:t>
            </w:r>
          </w:p>
        </w:tc>
        <w:tc>
          <w:tcPr>
            <w:tcW w:type="dxa" w:w="3118"/>
          </w:tcPr>
          <w:p>
            <w:r>
              <w:rPr>
                <w:sz w:val="17"/>
              </w:rPr>
              <w:t>Sin estado: la sesión viaja en el token, así que se puede reiniciar o duplicar.</w:t>
            </w:r>
          </w:p>
        </w:tc>
      </w:tr>
      <w:tr>
        <w:tc>
          <w:tcPr>
            <w:tcW w:type="dxa" w:w="1814"/>
          </w:tcPr>
          <w:p>
            <w:r>
              <w:rPr>
                <w:sz w:val="17"/>
              </w:rPr>
              <w:t>Supabase</w:t>
            </w:r>
          </w:p>
        </w:tc>
        <w:tc>
          <w:tcPr>
            <w:tcW w:type="dxa" w:w="2608"/>
          </w:tcPr>
          <w:p>
            <w:r>
              <w:rPr>
                <w:sz w:val="17"/>
              </w:rPr>
              <w:t>PostgreSQL 15, Auth y Storage</w:t>
            </w:r>
          </w:p>
        </w:tc>
        <w:tc>
          <w:tcPr>
            <w:tcW w:type="dxa" w:w="1814"/>
          </w:tcPr>
          <w:p>
            <w:r>
              <w:rPr>
                <w:sz w:val="17"/>
              </w:rPr>
              <w:t>TLS 5432/6543; HTTPS</w:t>
            </w:r>
          </w:p>
        </w:tc>
        <w:tc>
          <w:tcPr>
            <w:tcW w:type="dxa" w:w="3118"/>
          </w:tcPr>
          <w:p>
            <w:r>
              <w:rPr>
                <w:sz w:val="17"/>
              </w:rPr>
              <w:t>Respaldo diario automático del plan; región más cercana disponible.</w:t>
            </w:r>
          </w:p>
        </w:tc>
      </w:tr>
      <w:tr>
        <w:tc>
          <w:tcPr>
            <w:tcW w:type="dxa" w:w="1814"/>
          </w:tcPr>
          <w:p>
            <w:r>
              <w:rPr>
                <w:sz w:val="17"/>
              </w:rPr>
              <w:t>Google AI</w:t>
            </w:r>
          </w:p>
        </w:tc>
        <w:tc>
          <w:tcPr>
            <w:tcW w:type="dxa" w:w="2608"/>
          </w:tcPr>
          <w:p>
            <w:r>
              <w:rPr>
                <w:sz w:val="17"/>
              </w:rPr>
              <w:t>API de Gemini</w:t>
            </w:r>
          </w:p>
        </w:tc>
        <w:tc>
          <w:tcPr>
            <w:tcW w:type="dxa" w:w="1814"/>
          </w:tcPr>
          <w:p>
            <w:r>
              <w:rPr>
                <w:sz w:val="17"/>
              </w:rPr>
              <w:t>HTTPS 443</w:t>
            </w:r>
          </w:p>
        </w:tc>
        <w:tc>
          <w:tcPr>
            <w:tcW w:type="dxa" w:w="3118"/>
          </w:tcPr>
          <w:p>
            <w:r>
              <w:rPr>
                <w:sz w:val="17"/>
              </w:rPr>
              <w:t>Clave solo en variable de entorno del contenedor gastro-api.</w:t>
            </w:r>
          </w:p>
        </w:tc>
      </w:tr>
      <w:tr>
        <w:tc>
          <w:tcPr>
            <w:tcW w:type="dxa" w:w="1814"/>
          </w:tcPr>
          <w:p>
            <w:r>
              <w:rPr>
                <w:sz w:val="17"/>
              </w:rPr>
              <w:t>Google Colab</w:t>
            </w:r>
          </w:p>
        </w:tc>
        <w:tc>
          <w:tcPr>
            <w:tcW w:type="dxa" w:w="2608"/>
          </w:tcPr>
          <w:p>
            <w:r>
              <w:rPr>
                <w:sz w:val="17"/>
              </w:rPr>
              <w:t>Cuaderno de entrenamiento</w:t>
            </w:r>
          </w:p>
        </w:tc>
        <w:tc>
          <w:tcPr>
            <w:tcW w:type="dxa" w:w="1814"/>
          </w:tcPr>
          <w:p>
            <w:r>
              <w:rPr>
                <w:sz w:val="17"/>
              </w:rPr>
              <w:t>HTTPS (carga por script)</w:t>
            </w:r>
          </w:p>
        </w:tc>
        <w:tc>
          <w:tcPr>
            <w:tcW w:type="dxa" w:w="3118"/>
          </w:tcPr>
          <w:p>
            <w:r>
              <w:rPr>
                <w:sz w:val="17"/>
              </w:rPr>
              <w:t>Se usa antes del ciclo 2; no forma parte del sistema en ejecución.</w:t>
            </w:r>
          </w:p>
        </w:tc>
      </w:tr>
    </w:tbl>
    <w:p>
      <w:pPr>
        <w:spacing w:after="0"/>
      </w:pPr>
    </w:p>
    <w:p>
      <w:pPr>
        <w:pStyle w:val="Heading2"/>
      </w:pPr>
      <w:r>
        <w:t>5.1 Entornos</w:t>
      </w:r>
    </w:p>
    <w:p>
      <w:pPr>
        <w:keepNext/>
        <w:spacing w:after="60"/>
        <w:jc w:val="left"/>
      </w:pPr>
      <w:r>
        <w:rPr>
          <w:b/>
          <w:i w:val="0"/>
          <w:color w:val="44546A"/>
          <w:sz w:val="18"/>
        </w:rPr>
        <w:t>Tabla 5. Entornos de ejecución</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474"/>
            <w:shd w:val="clear" w:color="auto" w:fill="1F3A5F"/>
          </w:tcPr>
          <w:p>
            <w:r>
              <w:rPr>
                <w:b/>
                <w:color w:val="FFFFFF"/>
                <w:sz w:val="17"/>
              </w:rPr>
              <w:t>Entorno</w:t>
            </w:r>
          </w:p>
        </w:tc>
        <w:tc>
          <w:tcPr>
            <w:tcW w:type="dxa" w:w="2438"/>
            <w:shd w:val="clear" w:color="auto" w:fill="1F3A5F"/>
          </w:tcPr>
          <w:p>
            <w:r>
              <w:rPr>
                <w:b/>
                <w:color w:val="FFFFFF"/>
                <w:sz w:val="17"/>
              </w:rPr>
              <w:t>Dónde</w:t>
            </w:r>
          </w:p>
        </w:tc>
        <w:tc>
          <w:tcPr>
            <w:tcW w:type="dxa" w:w="2438"/>
            <w:shd w:val="clear" w:color="auto" w:fill="1F3A5F"/>
          </w:tcPr>
          <w:p>
            <w:r>
              <w:rPr>
                <w:b/>
                <w:color w:val="FFFFFF"/>
                <w:sz w:val="17"/>
              </w:rPr>
              <w:t>Para qué</w:t>
            </w:r>
          </w:p>
        </w:tc>
        <w:tc>
          <w:tcPr>
            <w:tcW w:type="dxa" w:w="3005"/>
            <w:shd w:val="clear" w:color="auto" w:fill="1F3A5F"/>
          </w:tcPr>
          <w:p>
            <w:r>
              <w:rPr>
                <w:b/>
                <w:color w:val="FFFFFF"/>
                <w:sz w:val="17"/>
              </w:rPr>
              <w:t>Cómo se levanta</w:t>
            </w:r>
          </w:p>
        </w:tc>
      </w:tr>
      <w:tr>
        <w:tc>
          <w:tcPr>
            <w:tcW w:type="dxa" w:w="1474"/>
          </w:tcPr>
          <w:p>
            <w:r>
              <w:rPr>
                <w:sz w:val="17"/>
              </w:rPr>
              <w:t>Desarrollo</w:t>
            </w:r>
          </w:p>
        </w:tc>
        <w:tc>
          <w:tcPr>
            <w:tcW w:type="dxa" w:w="2438"/>
          </w:tcPr>
          <w:p>
            <w:r>
              <w:rPr>
                <w:sz w:val="17"/>
              </w:rPr>
              <w:t>Computador de cada integrante</w:t>
            </w:r>
          </w:p>
        </w:tc>
        <w:tc>
          <w:tcPr>
            <w:tcW w:type="dxa" w:w="2438"/>
          </w:tcPr>
          <w:p>
            <w:r>
              <w:rPr>
                <w:sz w:val="17"/>
              </w:rPr>
              <w:t>Programar y probar localmente</w:t>
            </w:r>
          </w:p>
        </w:tc>
        <w:tc>
          <w:tcPr>
            <w:tcW w:type="dxa" w:w="3005"/>
          </w:tcPr>
          <w:p>
            <w:r>
              <w:rPr>
                <w:sz w:val="17"/>
              </w:rPr>
              <w:t>docker compose up con un archivo .env propio (nunca se sube al repositorio).</w:t>
            </w:r>
          </w:p>
        </w:tc>
      </w:tr>
      <w:tr>
        <w:tc>
          <w:tcPr>
            <w:tcW w:type="dxa" w:w="1474"/>
          </w:tcPr>
          <w:p>
            <w:r>
              <w:rPr>
                <w:sz w:val="17"/>
              </w:rPr>
              <w:t>Pruebas</w:t>
            </w:r>
          </w:p>
        </w:tc>
        <w:tc>
          <w:tcPr>
            <w:tcW w:type="dxa" w:w="2438"/>
          </w:tcPr>
          <w:p>
            <w:r>
              <w:rPr>
                <w:sz w:val="17"/>
              </w:rPr>
              <w:t>Servicio de contenedores en la nube + proyecto Supabase de pruebas</w:t>
            </w:r>
          </w:p>
        </w:tc>
        <w:tc>
          <w:tcPr>
            <w:tcW w:type="dxa" w:w="2438"/>
          </w:tcPr>
          <w:p>
            <w:r>
              <w:rPr>
                <w:sz w:val="17"/>
              </w:rPr>
              <w:t>Pruebas de integración, rendimiento y usabilidad (SUS)</w:t>
            </w:r>
          </w:p>
        </w:tc>
        <w:tc>
          <w:tcPr>
            <w:tcW w:type="dxa" w:w="3005"/>
          </w:tcPr>
          <w:p>
            <w:r>
              <w:rPr>
                <w:sz w:val="17"/>
              </w:rPr>
              <w:t>Despliegue automático desde la rama main tras aprobar el pull request.</w:t>
            </w:r>
          </w:p>
        </w:tc>
      </w:tr>
      <w:tr>
        <w:tc>
          <w:tcPr>
            <w:tcW w:type="dxa" w:w="1474"/>
          </w:tcPr>
          <w:p>
            <w:r>
              <w:rPr>
                <w:sz w:val="17"/>
              </w:rPr>
              <w:t>Demostración</w:t>
            </w:r>
          </w:p>
        </w:tc>
        <w:tc>
          <w:tcPr>
            <w:tcW w:type="dxa" w:w="2438"/>
          </w:tcPr>
          <w:p>
            <w:r>
              <w:rPr>
                <w:sz w:val="17"/>
              </w:rPr>
              <w:t>El mismo servicio, con datos semilla revisados</w:t>
            </w:r>
          </w:p>
        </w:tc>
        <w:tc>
          <w:tcPr>
            <w:tcW w:type="dxa" w:w="2438"/>
          </w:tcPr>
          <w:p>
            <w:r>
              <w:rPr>
                <w:sz w:val="17"/>
              </w:rPr>
              <w:t>Validación con el Propietario del Proyecto y sustentación final</w:t>
            </w:r>
          </w:p>
        </w:tc>
        <w:tc>
          <w:tcPr>
            <w:tcW w:type="dxa" w:w="3005"/>
          </w:tcPr>
          <w:p>
            <w:r>
              <w:rPr>
                <w:sz w:val="17"/>
              </w:rPr>
              <w:t>Release etiquetado en GitHub (v0.5, v0.9 y v1.0).</w:t>
            </w:r>
          </w:p>
        </w:tc>
      </w:tr>
    </w:tbl>
    <w:p>
      <w:pPr>
        <w:spacing w:after="0"/>
      </w:pPr>
    </w:p>
    <w:p>
      <w:pPr>
        <w:pStyle w:val="Heading1"/>
      </w:pPr>
      <w:r>
        <w:t>6. Interfaces externas e interoperabilidad</w:t>
      </w:r>
    </w:p>
    <w:p>
      <w:pPr>
        <w:keepNext/>
        <w:spacing w:after="60"/>
        <w:jc w:val="left"/>
      </w:pPr>
      <w:r>
        <w:rPr>
          <w:b/>
          <w:i w:val="0"/>
          <w:color w:val="44546A"/>
          <w:sz w:val="18"/>
        </w:rPr>
        <w:t>Tabla 6. Interfaces con servicios externos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531"/>
            <w:shd w:val="clear" w:color="auto" w:fill="1F3A5F"/>
          </w:tcPr>
          <w:p>
            <w:r>
              <w:rPr>
                <w:b/>
                <w:color w:val="FFFFFF"/>
                <w:sz w:val="17"/>
              </w:rPr>
              <w:t>Servicio</w:t>
            </w:r>
          </w:p>
        </w:tc>
        <w:tc>
          <w:tcPr>
            <w:tcW w:type="dxa" w:w="1587"/>
            <w:shd w:val="clear" w:color="auto" w:fill="1F3A5F"/>
          </w:tcPr>
          <w:p>
            <w:r>
              <w:rPr>
                <w:b/>
                <w:color w:val="FFFFFF"/>
                <w:sz w:val="17"/>
              </w:rPr>
              <w:t>Uso</w:t>
            </w:r>
          </w:p>
        </w:tc>
        <w:tc>
          <w:tcPr>
            <w:tcW w:type="dxa" w:w="1474"/>
            <w:shd w:val="clear" w:color="auto" w:fill="1F3A5F"/>
          </w:tcPr>
          <w:p>
            <w:r>
              <w:rPr>
                <w:b/>
                <w:color w:val="FFFFFF"/>
                <w:sz w:val="17"/>
              </w:rPr>
              <w:t>Formato</w:t>
            </w:r>
          </w:p>
        </w:tc>
        <w:tc>
          <w:tcPr>
            <w:tcW w:type="dxa" w:w="2041"/>
            <w:shd w:val="clear" w:color="auto" w:fill="1F3A5F"/>
          </w:tcPr>
          <w:p>
            <w:r>
              <w:rPr>
                <w:b/>
                <w:color w:val="FFFFFF"/>
                <w:sz w:val="17"/>
              </w:rPr>
              <w:t>Autenticación</w:t>
            </w:r>
          </w:p>
        </w:tc>
        <w:tc>
          <w:tcPr>
            <w:tcW w:type="dxa" w:w="2721"/>
            <w:shd w:val="clear" w:color="auto" w:fill="1F3A5F"/>
          </w:tcPr>
          <w:p>
            <w:r>
              <w:rPr>
                <w:b/>
                <w:color w:val="FFFFFF"/>
                <w:sz w:val="17"/>
              </w:rPr>
              <w:t>Si el servicio falla</w:t>
            </w:r>
          </w:p>
        </w:tc>
      </w:tr>
      <w:tr>
        <w:tc>
          <w:tcPr>
            <w:tcW w:type="dxa" w:w="1531"/>
          </w:tcPr>
          <w:p>
            <w:r>
              <w:rPr>
                <w:sz w:val="17"/>
              </w:rPr>
              <w:t>API de Gemini</w:t>
            </w:r>
          </w:p>
        </w:tc>
        <w:tc>
          <w:tcPr>
            <w:tcW w:type="dxa" w:w="1587"/>
          </w:tcPr>
          <w:p>
            <w:r>
              <w:rPr>
                <w:sz w:val="17"/>
              </w:rPr>
              <w:t>Historia clínica y tutor</w:t>
            </w:r>
          </w:p>
        </w:tc>
        <w:tc>
          <w:tcPr>
            <w:tcW w:type="dxa" w:w="1474"/>
          </w:tcPr>
          <w:p>
            <w:r>
              <w:rPr>
                <w:sz w:val="17"/>
              </w:rPr>
              <w:t>JSON sobre HTTPS</w:t>
            </w:r>
          </w:p>
        </w:tc>
        <w:tc>
          <w:tcPr>
            <w:tcW w:type="dxa" w:w="2041"/>
          </w:tcPr>
          <w:p>
            <w:r>
              <w:rPr>
                <w:sz w:val="17"/>
              </w:rPr>
              <w:t>Clave de API en variable de entorno</w:t>
            </w:r>
          </w:p>
        </w:tc>
        <w:tc>
          <w:tcPr>
            <w:tcW w:type="dxa" w:w="2721"/>
          </w:tcPr>
          <w:p>
            <w:r>
              <w:rPr>
                <w:sz w:val="17"/>
              </w:rPr>
              <w:t>Reintento con espera creciente, modelo de respaldo y mensaje al usuario (RF-07.3).</w:t>
            </w:r>
          </w:p>
        </w:tc>
      </w:tr>
      <w:tr>
        <w:tc>
          <w:tcPr>
            <w:tcW w:type="dxa" w:w="1531"/>
          </w:tcPr>
          <w:p>
            <w:r>
              <w:rPr>
                <w:sz w:val="17"/>
              </w:rPr>
              <w:t>Supabase Auth</w:t>
            </w:r>
          </w:p>
        </w:tc>
        <w:tc>
          <w:tcPr>
            <w:tcW w:type="dxa" w:w="1587"/>
          </w:tcPr>
          <w:p>
            <w:r>
              <w:rPr>
                <w:sz w:val="17"/>
              </w:rPr>
              <w:t>Registro, sesión, TOTP</w:t>
            </w:r>
          </w:p>
        </w:tc>
        <w:tc>
          <w:tcPr>
            <w:tcW w:type="dxa" w:w="1474"/>
          </w:tcPr>
          <w:p>
            <w:r>
              <w:rPr>
                <w:sz w:val="17"/>
              </w:rPr>
              <w:t>JWT firmado</w:t>
            </w:r>
          </w:p>
        </w:tc>
        <w:tc>
          <w:tcPr>
            <w:tcW w:type="dxa" w:w="2041"/>
          </w:tcPr>
          <w:p>
            <w:r>
              <w:rPr>
                <w:sz w:val="17"/>
              </w:rPr>
              <w:t>Clave pública del proyecto; la API valida firma y nivel aal2</w:t>
            </w:r>
          </w:p>
        </w:tc>
        <w:tc>
          <w:tcPr>
            <w:tcW w:type="dxa" w:w="2721"/>
          </w:tcPr>
          <w:p>
            <w:r>
              <w:rPr>
                <w:sz w:val="17"/>
              </w:rPr>
              <w:t>No se puede ingresar; la página de estado lo informa.</w:t>
            </w:r>
          </w:p>
        </w:tc>
      </w:tr>
      <w:tr>
        <w:tc>
          <w:tcPr>
            <w:tcW w:type="dxa" w:w="1531"/>
          </w:tcPr>
          <w:p>
            <w:r>
              <w:rPr>
                <w:sz w:val="17"/>
              </w:rPr>
              <w:t>Supabase Storage</w:t>
            </w:r>
          </w:p>
        </w:tc>
        <w:tc>
          <w:tcPr>
            <w:tcW w:type="dxa" w:w="1587"/>
          </w:tcPr>
          <w:p>
            <w:r>
              <w:rPr>
                <w:sz w:val="17"/>
              </w:rPr>
              <w:t>Imágenes y escenas 3D</w:t>
            </w:r>
          </w:p>
        </w:tc>
        <w:tc>
          <w:tcPr>
            <w:tcW w:type="dxa" w:w="1474"/>
          </w:tcPr>
          <w:p>
            <w:r>
              <w:rPr>
                <w:sz w:val="17"/>
              </w:rPr>
              <w:t>Binario por URL firmada</w:t>
            </w:r>
          </w:p>
        </w:tc>
        <w:tc>
          <w:tcPr>
            <w:tcW w:type="dxa" w:w="2041"/>
          </w:tcPr>
          <w:p>
            <w:r>
              <w:rPr>
                <w:sz w:val="17"/>
              </w:rPr>
              <w:t>URL de corta duración generada por la API</w:t>
            </w:r>
          </w:p>
        </w:tc>
        <w:tc>
          <w:tcPr>
            <w:tcW w:type="dxa" w:w="2721"/>
          </w:tcPr>
          <w:p>
            <w:r>
              <w:rPr>
                <w:sz w:val="17"/>
              </w:rPr>
              <w:t>La escena muestra un aviso y permite reintentar la carga.</w:t>
            </w:r>
          </w:p>
        </w:tc>
      </w:tr>
      <w:tr>
        <w:tc>
          <w:tcPr>
            <w:tcW w:type="dxa" w:w="1531"/>
          </w:tcPr>
          <w:p>
            <w:r>
              <w:rPr>
                <w:sz w:val="17"/>
              </w:rPr>
              <w:t>PostgreSQL</w:t>
            </w:r>
          </w:p>
        </w:tc>
        <w:tc>
          <w:tcPr>
            <w:tcW w:type="dxa" w:w="1587"/>
          </w:tcPr>
          <w:p>
            <w:r>
              <w:rPr>
                <w:sz w:val="17"/>
              </w:rPr>
              <w:t>Persistencia</w:t>
            </w:r>
          </w:p>
        </w:tc>
        <w:tc>
          <w:tcPr>
            <w:tcW w:type="dxa" w:w="1474"/>
          </w:tcPr>
          <w:p>
            <w:r>
              <w:rPr>
                <w:sz w:val="17"/>
              </w:rPr>
              <w:t>SQL con pool de conexiones</w:t>
            </w:r>
          </w:p>
        </w:tc>
        <w:tc>
          <w:tcPr>
            <w:tcW w:type="dxa" w:w="2041"/>
          </w:tcPr>
          <w:p>
            <w:r>
              <w:rPr>
                <w:sz w:val="17"/>
              </w:rPr>
              <w:t>Usuario de servicio solo en el servidor</w:t>
            </w:r>
          </w:p>
        </w:tc>
        <w:tc>
          <w:tcPr>
            <w:tcW w:type="dxa" w:w="2721"/>
          </w:tcPr>
          <w:p>
            <w:r>
              <w:rPr>
                <w:sz w:val="17"/>
              </w:rPr>
              <w:t>La API responde 503 y no pierde intentos ya guardados.</w:t>
            </w:r>
          </w:p>
        </w:tc>
      </w:tr>
    </w:tbl>
    <w:p>
      <w:pPr>
        <w:spacing w:after="0"/>
      </w:pPr>
    </w:p>
    <w:p>
      <w:pPr>
        <w:pStyle w:val="Heading1"/>
      </w:pPr>
      <w:r>
        <w:t>7. Atributos de calidad del sistema</w:t>
      </w:r>
    </w:p>
    <w:p>
      <w:pPr>
        <w:spacing w:after="120"/>
        <w:jc w:val="both"/>
      </w:pPr>
      <w:r>
        <w:rPr>
          <w:b w:val="0"/>
          <w:i w:val="0"/>
        </w:rPr>
        <w:t>La arquitectura responde a los requisitos no funcionales de la SRS con decisiones concretas. La justificación detallada, con escenarios medibles, está en el documento de Justificación de la Arquitectura.</w:t>
      </w:r>
    </w:p>
    <w:p>
      <w:pPr>
        <w:keepNext/>
        <w:spacing w:after="60"/>
        <w:jc w:val="left"/>
      </w:pPr>
      <w:r>
        <w:rPr>
          <w:b/>
          <w:i w:val="0"/>
          <w:color w:val="44546A"/>
          <w:sz w:val="18"/>
        </w:rPr>
        <w:t>Tabla 7. Atributos de calidad y respuesta arquitectónica</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A5F"/>
          </w:tcPr>
          <w:p>
            <w:r>
              <w:rPr>
                <w:b/>
                <w:color w:val="FFFFFF"/>
                <w:sz w:val="17"/>
              </w:rPr>
              <w:t>Atributo</w:t>
            </w:r>
          </w:p>
        </w:tc>
        <w:tc>
          <w:tcPr>
            <w:tcW w:type="dxa" w:w="1587"/>
            <w:shd w:val="clear" w:color="auto" w:fill="1F3A5F"/>
          </w:tcPr>
          <w:p>
            <w:r>
              <w:rPr>
                <w:b/>
                <w:color w:val="FFFFFF"/>
                <w:sz w:val="17"/>
              </w:rPr>
              <w:t>Requisito</w:t>
            </w:r>
          </w:p>
        </w:tc>
        <w:tc>
          <w:tcPr>
            <w:tcW w:type="dxa" w:w="6066"/>
            <w:shd w:val="clear" w:color="auto" w:fill="1F3A5F"/>
          </w:tcPr>
          <w:p>
            <w:r>
              <w:rPr>
                <w:b/>
                <w:color w:val="FFFFFF"/>
                <w:sz w:val="17"/>
              </w:rPr>
              <w:t>Cómo lo atiende la arquitectura</w:t>
            </w:r>
          </w:p>
        </w:tc>
      </w:tr>
      <w:tr>
        <w:tc>
          <w:tcPr>
            <w:tcW w:type="dxa" w:w="1701"/>
          </w:tcPr>
          <w:p>
            <w:r>
              <w:rPr>
                <w:sz w:val="17"/>
              </w:rPr>
              <w:t>Rendimiento 3D</w:t>
            </w:r>
          </w:p>
        </w:tc>
        <w:tc>
          <w:tcPr>
            <w:tcW w:type="dxa" w:w="1587"/>
          </w:tcPr>
          <w:p>
            <w:r>
              <w:rPr>
                <w:sz w:val="17"/>
              </w:rPr>
              <w:t>RNF-01, RNF-02</w:t>
            </w:r>
          </w:p>
        </w:tc>
        <w:tc>
          <w:tcPr>
            <w:tcW w:type="dxa" w:w="6066"/>
          </w:tcPr>
          <w:p>
            <w:r>
              <w:rPr>
                <w:sz w:val="17"/>
              </w:rPr>
              <w:t>El 3D corre en el navegador del usuario; modelos comprimidos de máximo 10 MB por caso; descarga directa desde Storage.</w:t>
            </w:r>
          </w:p>
        </w:tc>
      </w:tr>
      <w:tr>
        <w:tc>
          <w:tcPr>
            <w:tcW w:type="dxa" w:w="1701"/>
          </w:tcPr>
          <w:p>
            <w:r>
              <w:rPr>
                <w:sz w:val="17"/>
              </w:rPr>
              <w:t>Tiempo de respuesta</w:t>
            </w:r>
          </w:p>
        </w:tc>
        <w:tc>
          <w:tcPr>
            <w:tcW w:type="dxa" w:w="1587"/>
          </w:tcPr>
          <w:p>
            <w:r>
              <w:rPr>
                <w:sz w:val="17"/>
              </w:rPr>
              <w:t>RNF-03, RNF-04, RNF-14</w:t>
            </w:r>
          </w:p>
        </w:tc>
        <w:tc>
          <w:tcPr>
            <w:tcW w:type="dxa" w:w="6066"/>
          </w:tcPr>
          <w:p>
            <w:r>
              <w:rPr>
                <w:sz w:val="17"/>
              </w:rPr>
              <w:t>API asíncrona; predicciones de visión precalculadas; límite de tiempo y respaldo en cada llamada al modelo de lenguaje.</w:t>
            </w:r>
          </w:p>
        </w:tc>
      </w:tr>
      <w:tr>
        <w:tc>
          <w:tcPr>
            <w:tcW w:type="dxa" w:w="1701"/>
          </w:tcPr>
          <w:p>
            <w:r>
              <w:rPr>
                <w:sz w:val="17"/>
              </w:rPr>
              <w:t>Seguridad</w:t>
            </w:r>
          </w:p>
        </w:tc>
        <w:tc>
          <w:tcPr>
            <w:tcW w:type="dxa" w:w="1587"/>
          </w:tcPr>
          <w:p>
            <w:r>
              <w:rPr>
                <w:sz w:val="17"/>
              </w:rPr>
              <w:t>RNF-07</w:t>
            </w:r>
          </w:p>
        </w:tc>
        <w:tc>
          <w:tcPr>
            <w:tcW w:type="dxa" w:w="6066"/>
          </w:tcPr>
          <w:p>
            <w:r>
              <w:rPr>
                <w:sz w:val="17"/>
              </w:rPr>
              <w:t>HTTPS extremo a extremo, 2FA obligatoria (aal2), secretos solo en el servidor, RLS activado y acceso a datos solo por la API.</w:t>
            </w:r>
          </w:p>
        </w:tc>
      </w:tr>
      <w:tr>
        <w:tc>
          <w:tcPr>
            <w:tcW w:type="dxa" w:w="1701"/>
          </w:tcPr>
          <w:p>
            <w:r>
              <w:rPr>
                <w:sz w:val="17"/>
              </w:rPr>
              <w:t>Privacidad</w:t>
            </w:r>
          </w:p>
        </w:tc>
        <w:tc>
          <w:tcPr>
            <w:tcW w:type="dxa" w:w="1587"/>
          </w:tcPr>
          <w:p>
            <w:r>
              <w:rPr>
                <w:sz w:val="17"/>
              </w:rPr>
              <w:t>RNF-08</w:t>
            </w:r>
          </w:p>
        </w:tc>
        <w:tc>
          <w:tcPr>
            <w:tcW w:type="dxa" w:w="6066"/>
          </w:tcPr>
          <w:p>
            <w:r>
              <w:rPr>
                <w:sz w:val="17"/>
              </w:rPr>
              <w:t>Solo imágenes públicas y datos sintéticos; intentos asociados a un seudónimo en un esquema separado.</w:t>
            </w:r>
          </w:p>
        </w:tc>
      </w:tr>
      <w:tr>
        <w:tc>
          <w:tcPr>
            <w:tcW w:type="dxa" w:w="1701"/>
          </w:tcPr>
          <w:p>
            <w:r>
              <w:rPr>
                <w:sz w:val="17"/>
              </w:rPr>
              <w:t>Disponibilidad</w:t>
            </w:r>
          </w:p>
        </w:tc>
        <w:tc>
          <w:tcPr>
            <w:tcW w:type="dxa" w:w="1587"/>
          </w:tcPr>
          <w:p>
            <w:r>
              <w:rPr>
                <w:sz w:val="17"/>
              </w:rPr>
              <w:t>RNF-11</w:t>
            </w:r>
          </w:p>
        </w:tc>
        <w:tc>
          <w:tcPr>
            <w:tcW w:type="dxa" w:w="6066"/>
          </w:tcPr>
          <w:p>
            <w:r>
              <w:rPr>
                <w:sz w:val="17"/>
              </w:rPr>
              <w:t>API sin estado que se reinicia sola; servicios administrados con respaldo diario; degradación controlada si falla la IA.</w:t>
            </w:r>
          </w:p>
        </w:tc>
      </w:tr>
      <w:tr>
        <w:tc>
          <w:tcPr>
            <w:tcW w:type="dxa" w:w="1701"/>
          </w:tcPr>
          <w:p>
            <w:r>
              <w:rPr>
                <w:sz w:val="17"/>
              </w:rPr>
              <w:t>Portabilidad</w:t>
            </w:r>
          </w:p>
        </w:tc>
        <w:tc>
          <w:tcPr>
            <w:tcW w:type="dxa" w:w="1587"/>
          </w:tcPr>
          <w:p>
            <w:r>
              <w:rPr>
                <w:sz w:val="17"/>
              </w:rPr>
              <w:t>RNF-06, RNF-10</w:t>
            </w:r>
          </w:p>
        </w:tc>
        <w:tc>
          <w:tcPr>
            <w:tcW w:type="dxa" w:w="6066"/>
          </w:tcPr>
          <w:p>
            <w:r>
              <w:rPr>
                <w:sz w:val="17"/>
              </w:rPr>
              <w:t>Navegadores estándar con WebGL 2; despliegue con un solo comando gracias a Docker.</w:t>
            </w:r>
          </w:p>
        </w:tc>
      </w:tr>
      <w:tr>
        <w:tc>
          <w:tcPr>
            <w:tcW w:type="dxa" w:w="1701"/>
          </w:tcPr>
          <w:p>
            <w:r>
              <w:rPr>
                <w:sz w:val="17"/>
              </w:rPr>
              <w:t>Mantenibilidad</w:t>
            </w:r>
          </w:p>
        </w:tc>
        <w:tc>
          <w:tcPr>
            <w:tcW w:type="dxa" w:w="1587"/>
          </w:tcPr>
          <w:p>
            <w:r>
              <w:rPr>
                <w:sz w:val="17"/>
              </w:rPr>
              <w:t>RNF-09</w:t>
            </w:r>
          </w:p>
        </w:tc>
        <w:tc>
          <w:tcPr>
            <w:tcW w:type="dxa" w:w="6066"/>
          </w:tcPr>
          <w:p>
            <w:r>
              <w:rPr>
                <w:sz w:val="17"/>
              </w:rPr>
              <w:t>Backend organizado por módulos de la EDT; integración solo por pull request revisado.</w:t>
            </w:r>
          </w:p>
        </w:tc>
      </w:tr>
    </w:tbl>
    <w:p>
      <w:pPr>
        <w:spacing w:after="0"/>
      </w:pPr>
    </w:p>
    <w:p>
      <w:pPr>
        <w:pStyle w:val="Heading1"/>
      </w:pPr>
      <w:r>
        <w:t>8. Restricciones y supuestos</w:t>
      </w:r>
    </w:p>
    <w:p>
      <w:pPr>
        <w:pStyle w:val="ListBullet"/>
        <w:spacing w:after="40"/>
        <w:jc w:val="left"/>
      </w:pPr>
      <w:r>
        <w:rPr>
          <w:b w:val="0"/>
          <w:i w:val="0"/>
        </w:rPr>
        <w:t xml:space="preserve">Los servicios externos se usan en planes gratuitos o educativos; por eso </w:t>
      </w:r>
      <w:r>
        <w:rPr>
          <w:b/>
          <w:i w:val="0"/>
        </w:rPr>
        <w:t>solo se envían datos sintéticos</w:t>
      </w:r>
      <w:r>
        <w:rPr>
          <w:b w:val="0"/>
          <w:i w:val="0"/>
        </w:rPr>
        <w:t xml:space="preserve"> a la API de Gemini.</w:t>
      </w:r>
    </w:p>
    <w:p>
      <w:pPr>
        <w:pStyle w:val="ListBullet"/>
        <w:spacing w:after="40"/>
        <w:jc w:val="left"/>
      </w:pPr>
      <w:r>
        <w:rPr>
          <w:b w:val="0"/>
          <w:i w:val="0"/>
        </w:rPr>
        <w:t>La versión 1.0 es solo para escritorio; no hay aplicaciones móviles nativas ni realidad virtual con visores.</w:t>
      </w:r>
    </w:p>
    <w:p>
      <w:pPr>
        <w:pStyle w:val="ListBullet"/>
        <w:spacing w:after="40"/>
        <w:jc w:val="left"/>
      </w:pPr>
      <w:r>
        <w:rPr>
          <w:b w:val="0"/>
          <w:i w:val="0"/>
        </w:rPr>
        <w:t>El dataset HyperKvasir solo tiene clases del tracto superior para esófago y estómago (línea Z, píloro, retroflexión, esofagitis y Barrett). El bulbo duodenal se recorre en 3D como hito anatómico, pero hoy no tiene hallazgos asociados; si se requieren, habrá que agregar otra fuente de imágenes con licencia abierta.</w:t>
      </w:r>
    </w:p>
    <w:p>
      <w:pPr>
        <w:pStyle w:val="ListBullet"/>
        <w:spacing w:after="40"/>
        <w:jc w:val="left"/>
      </w:pPr>
      <w:r>
        <w:rPr>
          <w:b w:val="0"/>
          <w:i w:val="0"/>
        </w:rPr>
        <w:t>El servicio de contenedores de la nube es intercambiable: la opción base es Render, pero cualquier servicio que ejecute imágenes Docker sirve sin cambiar el código.</w:t>
      </w:r>
    </w:p>
    <w:p>
      <w:pPr>
        <w:pStyle w:val="Heading1"/>
      </w:pPr>
      <w:r>
        <w:t>9. Trazabilidad de componentes</w:t>
      </w:r>
    </w:p>
    <w:p>
      <w:pPr>
        <w:keepNext/>
        <w:spacing w:after="60"/>
        <w:jc w:val="left"/>
      </w:pPr>
      <w:r>
        <w:rPr>
          <w:b/>
          <w:i w:val="0"/>
          <w:color w:val="44546A"/>
          <w:sz w:val="18"/>
        </w:rPr>
        <w:t>Tabla 8. Módulos del sistema, paquetes de la EDT y requisitos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81"/>
            <w:shd w:val="clear" w:color="auto" w:fill="1F3A5F"/>
          </w:tcPr>
          <w:p>
            <w:r>
              <w:rPr>
                <w:b/>
                <w:color w:val="FFFFFF"/>
                <w:sz w:val="17"/>
              </w:rPr>
              <w:t>Módulo</w:t>
            </w:r>
          </w:p>
        </w:tc>
        <w:tc>
          <w:tcPr>
            <w:tcW w:type="dxa" w:w="1134"/>
            <w:shd w:val="clear" w:color="auto" w:fill="1F3A5F"/>
          </w:tcPr>
          <w:p>
            <w:r>
              <w:rPr>
                <w:b/>
                <w:color w:val="FFFFFF"/>
                <w:sz w:val="17"/>
              </w:rPr>
              <w:t>Paquete EDT</w:t>
            </w:r>
          </w:p>
        </w:tc>
        <w:tc>
          <w:tcPr>
            <w:tcW w:type="dxa" w:w="3118"/>
            <w:shd w:val="clear" w:color="auto" w:fill="1F3A5F"/>
          </w:tcPr>
          <w:p>
            <w:r>
              <w:rPr>
                <w:b/>
                <w:color w:val="FFFFFF"/>
                <w:sz w:val="17"/>
              </w:rPr>
              <w:t>Componentes donde vive</w:t>
            </w:r>
          </w:p>
        </w:tc>
        <w:tc>
          <w:tcPr>
            <w:tcW w:type="dxa" w:w="2721"/>
            <w:shd w:val="clear" w:color="auto" w:fill="1F3A5F"/>
          </w:tcPr>
          <w:p>
            <w:r>
              <w:rPr>
                <w:b/>
                <w:color w:val="FFFFFF"/>
                <w:sz w:val="17"/>
              </w:rPr>
              <w:t>Requisitos principales</w:t>
            </w:r>
          </w:p>
        </w:tc>
      </w:tr>
      <w:tr>
        <w:tc>
          <w:tcPr>
            <w:tcW w:type="dxa" w:w="2381"/>
          </w:tcPr>
          <w:p>
            <w:r>
              <w:rPr>
                <w:sz w:val="17"/>
              </w:rPr>
              <w:t>M1 Simulador 3D</w:t>
            </w:r>
          </w:p>
        </w:tc>
        <w:tc>
          <w:tcPr>
            <w:tcW w:type="dxa" w:w="1134"/>
          </w:tcPr>
          <w:p>
            <w:r>
              <w:rPr>
                <w:sz w:val="17"/>
              </w:rPr>
              <w:t>4.1</w:t>
            </w:r>
          </w:p>
        </w:tc>
        <w:tc>
          <w:tcPr>
            <w:tcW w:type="dxa" w:w="3118"/>
          </w:tcPr>
          <w:p>
            <w:r>
              <w:rPr>
                <w:sz w:val="17"/>
              </w:rPr>
              <w:t>Simulador 3D (frontend)</w:t>
            </w:r>
          </w:p>
        </w:tc>
        <w:tc>
          <w:tcPr>
            <w:tcW w:type="dxa" w:w="2721"/>
          </w:tcPr>
          <w:p>
            <w:r>
              <w:rPr>
                <w:sz w:val="17"/>
              </w:rPr>
              <w:t>RF-03.1 a RF-03.7, RNF-01, RNF-02</w:t>
            </w:r>
          </w:p>
        </w:tc>
      </w:tr>
      <w:tr>
        <w:tc>
          <w:tcPr>
            <w:tcW w:type="dxa" w:w="2381"/>
          </w:tcPr>
          <w:p>
            <w:r>
              <w:rPr>
                <w:sz w:val="17"/>
              </w:rPr>
              <w:t>M2 Generador de casos con IA</w:t>
            </w:r>
          </w:p>
        </w:tc>
        <w:tc>
          <w:tcPr>
            <w:tcW w:type="dxa" w:w="1134"/>
          </w:tcPr>
          <w:p>
            <w:r>
              <w:rPr>
                <w:sz w:val="17"/>
              </w:rPr>
              <w:t>4.2</w:t>
            </w:r>
          </w:p>
        </w:tc>
        <w:tc>
          <w:tcPr>
            <w:tcW w:type="dxa" w:w="3118"/>
          </w:tcPr>
          <w:p>
            <w:r>
              <w:rPr>
                <w:sz w:val="17"/>
              </w:rPr>
              <w:t>API (servicio de casos) + Gemini + base de datos</w:t>
            </w:r>
          </w:p>
        </w:tc>
        <w:tc>
          <w:tcPr>
            <w:tcW w:type="dxa" w:w="2721"/>
          </w:tcPr>
          <w:p>
            <w:r>
              <w:rPr>
                <w:sz w:val="17"/>
              </w:rPr>
              <w:t>RF-02, RF-04, RF-14, RNF-13, RNF-14</w:t>
            </w:r>
          </w:p>
        </w:tc>
      </w:tr>
      <w:tr>
        <w:tc>
          <w:tcPr>
            <w:tcW w:type="dxa" w:w="2381"/>
          </w:tcPr>
          <w:p>
            <w:r>
              <w:rPr>
                <w:sz w:val="17"/>
              </w:rPr>
              <w:t>M3 Componente de IA de visión</w:t>
            </w:r>
          </w:p>
        </w:tc>
        <w:tc>
          <w:tcPr>
            <w:tcW w:type="dxa" w:w="1134"/>
          </w:tcPr>
          <w:p>
            <w:r>
              <w:rPr>
                <w:sz w:val="17"/>
              </w:rPr>
              <w:t>4.3</w:t>
            </w:r>
          </w:p>
        </w:tc>
        <w:tc>
          <w:tcPr>
            <w:tcW w:type="dxa" w:w="3118"/>
          </w:tcPr>
          <w:p>
            <w:r>
              <w:rPr>
                <w:sz w:val="17"/>
              </w:rPr>
              <w:t>Cuaderno de Colab + tabla de predicciones</w:t>
            </w:r>
          </w:p>
        </w:tc>
        <w:tc>
          <w:tcPr>
            <w:tcW w:type="dxa" w:w="2721"/>
          </w:tcPr>
          <w:p>
            <w:r>
              <w:rPr>
                <w:sz w:val="17"/>
              </w:rPr>
              <w:t>RF-06, RNF-12</w:t>
            </w:r>
          </w:p>
        </w:tc>
      </w:tr>
      <w:tr>
        <w:tc>
          <w:tcPr>
            <w:tcW w:type="dxa" w:w="2381"/>
          </w:tcPr>
          <w:p>
            <w:r>
              <w:rPr>
                <w:sz w:val="17"/>
              </w:rPr>
              <w:t>M4 Tutor e inyección de errores</w:t>
            </w:r>
          </w:p>
        </w:tc>
        <w:tc>
          <w:tcPr>
            <w:tcW w:type="dxa" w:w="1134"/>
          </w:tcPr>
          <w:p>
            <w:r>
              <w:rPr>
                <w:sz w:val="17"/>
              </w:rPr>
              <w:t>4.4</w:t>
            </w:r>
          </w:p>
        </w:tc>
        <w:tc>
          <w:tcPr>
            <w:tcW w:type="dxa" w:w="3118"/>
          </w:tcPr>
          <w:p>
            <w:r>
              <w:rPr>
                <w:sz w:val="17"/>
              </w:rPr>
              <w:t>API (servicios de tutor y alteraciones) + Gemini</w:t>
            </w:r>
          </w:p>
        </w:tc>
        <w:tc>
          <w:tcPr>
            <w:tcW w:type="dxa" w:w="2721"/>
          </w:tcPr>
          <w:p>
            <w:r>
              <w:rPr>
                <w:sz w:val="17"/>
              </w:rPr>
              <w:t>RF-07, RF-08, RNF-03</w:t>
            </w:r>
          </w:p>
        </w:tc>
      </w:tr>
      <w:tr>
        <w:tc>
          <w:tcPr>
            <w:tcW w:type="dxa" w:w="2381"/>
          </w:tcPr>
          <w:p>
            <w:r>
              <w:rPr>
                <w:sz w:val="17"/>
              </w:rPr>
              <w:t>M5 Evaluación, gamificación y registro</w:t>
            </w:r>
          </w:p>
        </w:tc>
        <w:tc>
          <w:tcPr>
            <w:tcW w:type="dxa" w:w="1134"/>
          </w:tcPr>
          <w:p>
            <w:r>
              <w:rPr>
                <w:sz w:val="17"/>
              </w:rPr>
              <w:t>4.5</w:t>
            </w:r>
          </w:p>
        </w:tc>
        <w:tc>
          <w:tcPr>
            <w:tcW w:type="dxa" w:w="3118"/>
          </w:tcPr>
          <w:p>
            <w:r>
              <w:rPr>
                <w:sz w:val="17"/>
              </w:rPr>
              <w:t>API (intentos y evaluación) + esquema de investigación</w:t>
            </w:r>
          </w:p>
        </w:tc>
        <w:tc>
          <w:tcPr>
            <w:tcW w:type="dxa" w:w="2721"/>
          </w:tcPr>
          <w:p>
            <w:r>
              <w:rPr>
                <w:sz w:val="17"/>
              </w:rPr>
              <w:t>RF-05, RF-09 a RF-13, RF-15, RF-16</w:t>
            </w:r>
          </w:p>
        </w:tc>
      </w:tr>
      <w:tr>
        <w:tc>
          <w:tcPr>
            <w:tcW w:type="dxa" w:w="2381"/>
          </w:tcPr>
          <w:p>
            <w:r>
              <w:rPr>
                <w:sz w:val="17"/>
              </w:rPr>
              <w:t>M6 Plataforma e integración</w:t>
            </w:r>
          </w:p>
        </w:tc>
        <w:tc>
          <w:tcPr>
            <w:tcW w:type="dxa" w:w="1134"/>
          </w:tcPr>
          <w:p>
            <w:r>
              <w:rPr>
                <w:sz w:val="17"/>
              </w:rPr>
              <w:t>4.6</w:t>
            </w:r>
          </w:p>
        </w:tc>
        <w:tc>
          <w:tcPr>
            <w:tcW w:type="dxa" w:w="3118"/>
          </w:tcPr>
          <w:p>
            <w:r>
              <w:rPr>
                <w:sz w:val="17"/>
              </w:rPr>
              <w:t>Supabase Auth + API (cuentas) + contenedores</w:t>
            </w:r>
          </w:p>
        </w:tc>
        <w:tc>
          <w:tcPr>
            <w:tcW w:type="dxa" w:w="2721"/>
          </w:tcPr>
          <w:p>
            <w:r>
              <w:rPr>
                <w:sz w:val="17"/>
              </w:rPr>
              <w:t>RF-01, RNF-06, RNF-07, RNF-10, RNF-11</w:t>
            </w:r>
          </w:p>
        </w:tc>
      </w:tr>
    </w:tbl>
    <w:p>
      <w:pPr>
        <w:spacing w:after="0"/>
      </w:pPr>
    </w:p>
    <w:p>
      <w:pPr>
        <w:pStyle w:val="Heading1"/>
      </w:pPr>
      <w:r>
        <w:t>Referencias</w:t>
      </w:r>
    </w:p>
    <w:p>
      <w:pPr>
        <w:spacing w:after="80"/>
        <w:ind w:left="567" w:hanging="567"/>
        <w:jc w:val="left"/>
      </w:pPr>
      <w:r>
        <w:rPr>
          <w:b w:val="0"/>
          <w:i w:val="0"/>
          <w:sz w:val="20"/>
        </w:rPr>
        <w:t>Bass, L., Clements, P. y Kazman, R. (2021). Software Architecture in Practice (4.ª ed.). Addison-Wesley.</w:t>
      </w:r>
    </w:p>
    <w:p>
      <w:pPr>
        <w:spacing w:after="80"/>
        <w:ind w:left="567" w:hanging="567"/>
        <w:jc w:val="left"/>
      </w:pPr>
      <w:r>
        <w:rPr>
          <w:b w:val="0"/>
          <w:i w:val="0"/>
          <w:sz w:val="20"/>
        </w:rPr>
        <w:t>Brown, S. (2023). The C4 model for visualising software architecture. https://c4model.com</w:t>
      </w:r>
    </w:p>
    <w:p>
      <w:pPr>
        <w:spacing w:after="80"/>
        <w:ind w:left="567" w:hanging="567"/>
        <w:jc w:val="left"/>
      </w:pPr>
      <w:r>
        <w:rPr>
          <w:b w:val="0"/>
          <w:i w:val="0"/>
          <w:sz w:val="20"/>
        </w:rPr>
        <w:t>Pressman, R. S. (2010). Ingeniería del software: un enfoque práctico (7.ª ed.). McGraw-Hill. Capítulos 9 a 11.</w:t>
      </w:r>
    </w:p>
    <w:p>
      <w:pPr>
        <w:spacing w:after="80"/>
        <w:ind w:left="567" w:hanging="567"/>
        <w:jc w:val="left"/>
      </w:pPr>
      <w:r>
        <w:rPr>
          <w:b w:val="0"/>
          <w:i w:val="0"/>
          <w:sz w:val="20"/>
        </w:rPr>
        <w:t>Sommerville, I. (2011). Ingeniería de software (9.ª ed.). Pearson. Capítulo 6: diseño arquitectónico.</w:t>
      </w:r>
    </w:p>
    <w:p>
      <w:pPr>
        <w:spacing w:after="80"/>
        <w:ind w:left="567" w:hanging="567"/>
        <w:jc w:val="left"/>
      </w:pPr>
      <w:r>
        <w:rPr>
          <w:b w:val="0"/>
          <w:i w:val="0"/>
          <w:sz w:val="20"/>
        </w:rPr>
        <w:t>Supabase (2026). Multi-Factor Authentication. https://supabase.com/docs/guides/auth/auth-mfa</w:t>
      </w:r>
    </w:p>
    <w:p>
      <w:pPr>
        <w:spacing w:after="80"/>
        <w:ind w:left="567" w:hanging="567"/>
        <w:jc w:val="left"/>
      </w:pPr>
      <w:r>
        <w:rPr>
          <w:b w:val="0"/>
          <w:i w:val="0"/>
          <w:sz w:val="20"/>
        </w:rPr>
        <w:t>Borgli, H. et al. (2020). HyperKvasir, a comprehensive multi-class image and video dataset for gastrointestinal endoscopy. Scientific Data, 7, 283.</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Equipo ITEVOLUTION · Arquitectura del Sistema v1.0 · 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1" w:color="1F3A5F"/>
      </w:pBdr>
    </w:pPr>
    <w:r>
      <w:rPr>
        <w:b/>
        <w:sz w:val="18"/>
      </w:rPr>
      <w:t>GASTRO-SIM · Arquitectura del Sistema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