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b/>
          <w:i w:val="0"/>
          <w:color w:val="1F3A5F"/>
          <w:sz w:val="48"/>
        </w:rPr>
        <w:t>Arquitectura del Software</w:t>
      </w:r>
    </w:p>
    <w:p>
      <w:pPr>
        <w:spacing w:after="480"/>
        <w:jc w:val="center"/>
      </w:pPr>
      <w:r>
        <w:rPr>
          <w:b w:val="0"/>
          <w:i w:val="0"/>
          <w:sz w:val="28"/>
        </w:rPr>
        <w:t>Estructura de componentes, vistas y contratos del producto</w:t>
      </w:r>
    </w:p>
    <w:p>
      <w:pPr>
        <w:spacing w:after="80"/>
        <w:jc w:val="center"/>
      </w:pPr>
      <w:r>
        <w:rPr>
          <w:b/>
          <w:i w:val="0"/>
          <w:color w:val="008A3E"/>
          <w:sz w:val="60"/>
        </w:rPr>
        <w:t>GASTRO-SIM</w:t>
      </w:r>
    </w:p>
    <w:p>
      <w:pPr>
        <w:spacing w:after="800"/>
        <w:jc w:val="center"/>
      </w:pPr>
      <w:r>
        <w:rPr>
          <w:b w:val="0"/>
          <w:i w:val="0"/>
          <w:sz w:val="24"/>
        </w:rPr>
        <w:t>Simulador web 3D para el entrenamiento de la toma de decisiones humano–IA en escenarios gastrointestinales</w:t>
      </w:r>
    </w:p>
    <w:p>
      <w:pPr>
        <w:spacing w:after="40"/>
        <w:jc w:val="center"/>
      </w:pPr>
      <w:r>
        <w:rPr>
          <w:b w:val="0"/>
          <w:i w:val="0"/>
          <w:sz w:val="22"/>
        </w:rPr>
        <w:t>Equipo ITEVOLUTION</w:t>
      </w:r>
    </w:p>
    <w:p>
      <w:pPr>
        <w:spacing w:after="40"/>
        <w:jc w:val="center"/>
      </w:pPr>
      <w:r>
        <w:rPr>
          <w:b w:val="0"/>
          <w:i w:val="0"/>
          <w:sz w:val="22"/>
        </w:rPr>
        <w:t>Universidad Santiago de Cali – Facultad de Ingeniería – Ingeniería de Sistemas</w:t>
      </w:r>
    </w:p>
    <w:p>
      <w:pPr>
        <w:spacing w:after="40"/>
        <w:jc w:val="center"/>
      </w:pPr>
      <w:r>
        <w:rPr>
          <w:b w:val="0"/>
          <w:i w:val="0"/>
          <w:sz w:val="22"/>
        </w:rPr>
        <w:t>Gestión de Proyectos de TI · 2026-B · Docente: Jair E. Sanclemente Castro</w:t>
      </w:r>
    </w:p>
    <w:p>
      <w:pPr>
        <w:spacing w:after="40"/>
        <w:jc w:val="center"/>
      </w:pPr>
      <w:r>
        <w:rPr>
          <w:b w:val="0"/>
          <w:i w:val="0"/>
          <w:sz w:val="22"/>
        </w:rPr>
        <w:t>Versión 1.0 · 25/10/2026</w:t>
      </w:r>
    </w:p>
    <w:p>
      <w:r>
        <w:br w:type="page"/>
      </w:r>
    </w:p>
    <w:p>
      <w:pPr>
        <w:spacing w:after="120"/>
        <w:jc w:val="left"/>
      </w:pPr>
      <w:r>
        <w:rPr>
          <w:b/>
          <w:i w:val="0"/>
          <w:color w:val="1F3A5F"/>
          <w:sz w:val="26"/>
        </w:rP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Arquitectura del Software de GASTRO-SIM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Versión / fecha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· 25/10/2026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Elaborado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Diego Armando Agudelo (Proveedor de Soluciones – Development Manager)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Revisado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Cristian Camilo Cruz Gallego (Diseñador – Support Manager, líder 3D)</w:t>
            </w:r>
          </w:p>
          <w:p>
            <w:r>
              <w:rPr>
                <w:sz w:val="18"/>
              </w:rPr>
              <w:t>Nestor David Velasco Orozco (Garantía de Calidad – Quality Manager)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Aprobado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Jair E. Sanclemente Castro – Propietario del Proyecto (Product Owner)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Paquete de la EDT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3.1 Arquitectura y despliegue · 3.2 Diagramas UML · 3.3 Modelo de datos y API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Documentos base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Acta de Constitución v1.2 · Matriz de Trazabilidad v1.3 · SRS ISO/IEC/IEEE 29148 v1.0 · Caso de uso general v1.0 · EDT v1.1</w:t>
            </w:r>
          </w:p>
        </w:tc>
      </w:tr>
    </w:tbl>
    <w:p>
      <w:pPr>
        <w:spacing w:after="0"/>
      </w:pPr>
    </w:p>
    <w:p>
      <w:pPr>
        <w:spacing w:after="120"/>
        <w:jc w:val="left"/>
      </w:pPr>
      <w:r>
        <w:rPr>
          <w:b/>
          <w:i w:val="0"/>
          <w:color w:val="1F3A5F"/>
          <w:sz w:val="26"/>
        </w:rPr>
        <w:t>Tabla de contenido</w:t>
      </w:r>
    </w:p>
    <w:p>
      <w:fldSimple w:instr="TOC \o &quot;1-2&quot; \h \z \u">
        <w:r>
          <w:t>Haga clic derecho aquí y elija «Actualizar campo» para generar la tabla de contenido.</w:t>
        </w:r>
      </w:fldSimple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¿Qué entendemos por arquitectura del software?</w:t>
      </w:r>
    </w:p>
    <w:p>
      <w:pPr>
        <w:spacing w:after="120"/>
        <w:jc w:val="both"/>
      </w:pPr>
      <w:r>
        <w:rPr>
          <w:b w:val="0"/>
          <w:i w:val="0"/>
        </w:rPr>
        <w:t>Bass, Clements y Kazman definen la arquitectura de un programa como la estructura, o el conjunto de estructuras, formada por sus componentes, las propiedades de esos componentes que otros pueden observar y las relaciones entre ellos. En esa definición la arquitectura no es el código ya funcionando, sino una representación que permite tres cosas: analizar si el diseño cumple los requisitos, comparar alternativas cuando todavía es barato cambiarlas y reducir los riesgos de la construcción (Pressman, 2010, cap. 9).</w:t>
      </w:r>
    </w:p>
    <w:p>
      <w:pPr>
        <w:spacing w:after="120"/>
        <w:jc w:val="both"/>
      </w:pPr>
      <w:r>
        <w:rPr>
          <w:b w:val="0"/>
          <w:i w:val="0"/>
        </w:rPr>
        <w:t>Por eso este documento no describe algoritmos ni detalles internos. Describe qué componentes tiene GASTRO-SIM, qué responsabilidad tiene cada uno, qué ofrece a los demás y cómo se comunican. El documento de Arquitectura del Sistema explica dónde se ejecutan; este explica cómo está construido por dentro.</w:t>
      </w:r>
    </w:p>
    <w:p>
      <w:pPr>
        <w:pStyle w:val="Heading2"/>
      </w:pPr>
      <w:r>
        <w:t>1.2 Estilo y patrones arquitectónicos</w:t>
      </w:r>
    </w:p>
    <w:p>
      <w:pPr>
        <w:spacing w:after="120"/>
        <w:jc w:val="both"/>
      </w:pPr>
      <w:r>
        <w:rPr>
          <w:b w:val="0"/>
          <w:i w:val="0"/>
        </w:rPr>
        <w:t>El producto combina tres decisiones de alto nivel que se refuerzan entre sí:</w:t>
      </w:r>
    </w:p>
    <w:p>
      <w:pPr>
        <w:pStyle w:val="ListBullet"/>
        <w:spacing w:after="40"/>
        <w:jc w:val="left"/>
      </w:pPr>
      <w:r>
        <w:rPr>
          <w:b/>
          <w:i w:val="0"/>
        </w:rPr>
        <w:t>Cliente-servidor de tres capas</w:t>
      </w:r>
      <w:r>
        <w:rPr>
          <w:b w:val="0"/>
          <w:i w:val="0"/>
        </w:rPr>
        <w:t xml:space="preserve"> a nivel de sistema (presentación en el navegador, lógica en la API, datos en Supabase).</w:t>
      </w:r>
    </w:p>
    <w:p>
      <w:pPr>
        <w:pStyle w:val="ListBullet"/>
        <w:spacing w:after="40"/>
        <w:jc w:val="left"/>
      </w:pPr>
      <w:r>
        <w:rPr>
          <w:b/>
          <w:i w:val="0"/>
        </w:rPr>
        <w:t>Monolito modular en capas</w:t>
      </w:r>
      <w:r>
        <w:rPr>
          <w:b w:val="0"/>
          <w:i w:val="0"/>
        </w:rPr>
        <w:t xml:space="preserve"> dentro de la API: interfaz, servicios de aplicación, dominio e infraestructura, con módulos que coinciden con los paquetes 4.1 a 4.6 de la EDT.</w:t>
      </w:r>
    </w:p>
    <w:p>
      <w:pPr>
        <w:pStyle w:val="ListBullet"/>
        <w:spacing w:after="40"/>
        <w:jc w:val="left"/>
      </w:pPr>
      <w:r>
        <w:rPr>
          <w:b/>
          <w:i w:val="0"/>
        </w:rPr>
        <w:t>MVVM</w:t>
      </w:r>
      <w:r>
        <w:rPr>
          <w:b w:val="0"/>
          <w:i w:val="0"/>
        </w:rPr>
        <w:t xml:space="preserve"> (Modelo–Vista–Modelo de vista) en el frontend: los componentes React solo muestran; los hooks y stores manejan el estado; los servicios hablan con la API.</w:t>
      </w:r>
    </w:p>
    <w:p>
      <w:pPr>
        <w:pStyle w:val="Heading2"/>
      </w:pPr>
      <w:r>
        <w:t>1.3 Organización del documento: vistas 4+1</w:t>
      </w:r>
    </w:p>
    <w:p>
      <w:pPr>
        <w:spacing w:after="120"/>
        <w:jc w:val="both"/>
      </w:pPr>
      <w:r>
        <w:rPr>
          <w:b w:val="0"/>
          <w:i w:val="0"/>
        </w:rPr>
        <w:t>Se usa el modelo de vistas 4+1 de Kruchten, porque cada interesado del proyecto necesita mirar la arquitectura desde un ángulo distinto.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1. Vistas de la arquitectura y su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Vista</w:t>
            </w:r>
          </w:p>
        </w:tc>
        <w:tc>
          <w:tcPr>
            <w:tcW w:type="dxa" w:w="2948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Pregunta que responde</w:t>
            </w:r>
          </w:p>
        </w:tc>
        <w:tc>
          <w:tcPr>
            <w:tcW w:type="dxa" w:w="283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Diagramas</w:t>
            </w:r>
          </w:p>
        </w:tc>
        <w:tc>
          <w:tcPr>
            <w:tcW w:type="dxa" w:w="2098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Interesado principal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Lógica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¿Qué partes tiene el software y qué hace cada una?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Contenedores, componentes del backend, MVVM del frontend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Desarrollo, diseño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De procesos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¿Cómo colaboran las partes durante la ejecución?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Secuencias de generación de caso e intento, máquina de estados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Desarrollo, pruebas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De desarrollo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¿Cómo se organiza el código y el trabajo del equipo?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Paquetes del repositorio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Todo el equipo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Física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¿Dónde se ejecuta cada parte?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Despliegue (en el documento de Arquitectura del Sistema)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Soporte, calidad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Escenarios (+1)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¿La arquitectura soporta los casos de uso?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Tabla de casos de uso frente a componentes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Propietario del Proyecto, pruebas</w:t>
            </w:r>
          </w:p>
        </w:tc>
      </w:tr>
    </w:tbl>
    <w:p>
      <w:pPr>
        <w:spacing w:after="0"/>
      </w:pPr>
    </w:p>
    <w:p>
      <w:pPr>
        <w:pStyle w:val="Heading1"/>
      </w:pPr>
      <w:r>
        <w:t>2. Vista lógica</w:t>
      </w:r>
    </w:p>
    <w:p>
      <w:pPr>
        <w:pStyle w:val="Heading2"/>
      </w:pPr>
      <w:r>
        <w:t>2.1 Contenedores</w:t>
      </w:r>
    </w:p>
    <w:p>
      <w:pPr>
        <w:spacing w:after="120"/>
        <w:jc w:val="both"/>
      </w:pPr>
      <w:r>
        <w:rPr>
          <w:b w:val="0"/>
          <w:i w:val="0"/>
        </w:rPr>
        <w:t>Un contenedor, en el modelo C4, es una unidad que se ejecuta o almacena datos por separado. GASTRO-SIM tiene cinco contenedores propios y dos servicios externos.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359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1_conten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9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1. Diagrama de contenedores de GASTRO-SIM (nivel 2 del modelo C4).</w:t>
      </w:r>
    </w:p>
    <w:p>
      <w:pPr>
        <w:pStyle w:val="Heading2"/>
      </w:pPr>
      <w:r>
        <w:t>2.2 Componentes de la API (monolito modular en capas)</w:t>
      </w:r>
    </w:p>
    <w:p>
      <w:pPr>
        <w:spacing w:after="120"/>
        <w:jc w:val="both"/>
      </w:pPr>
      <w:r>
        <w:rPr>
          <w:b w:val="0"/>
          <w:i w:val="0"/>
        </w:rPr>
        <w:t>La API se divide en cuatro capas. Una capa solo puede llamar a la que está debajo; el dominio no conoce a FastAPI ni a la base de datos, sino interfaces (puertos) que la infraestructura implementa. Gracias a esa regla se puede probar el dominio sin red y cambiar de proveedor de IA tocando un solo adaptador.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624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2_componentes_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2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2. Componentes de la API organizados por capas.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2. Responsabilidades por capa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02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Contiene</w:t>
            </w:r>
          </w:p>
        </w:tc>
        <w:tc>
          <w:tcPr>
            <w:tcW w:type="dxa" w:w="204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Puede depender de</w:t>
            </w:r>
          </w:p>
        </w:tc>
        <w:tc>
          <w:tcPr>
            <w:tcW w:type="dxa" w:w="2098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No puede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Interfaz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Routers FastAPI, esquemas Pydantic de entrada y salida, verificación del token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Servicios de aplicación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Consultar la base de datos o llamar al modelo de lenguaje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Servicios de aplicación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Una fachada por módulo de la EDT: cuentas, casos, intentos, tutor, alteraciones, evaluación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Dominio e interfaces de infraestructura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Conocer detalles HTTP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Dominio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Entidades Caso e Intento, máquina de estados, validadores, estrategias de alteración, reglas de puntaje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Nada externo (Python puro)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Importar FastAPI, SQL o google-genai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Repositorios SQL, adaptador de Gemini con reintentos, adaptador de Storage, verificador JWT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Bibliotecas externas</w:t>
            </w:r>
          </w:p>
        </w:tc>
        <w:tc>
          <w:tcPr>
            <w:tcW w:type="dxa" w:w="2098"/>
          </w:tcPr>
          <w:p>
            <w:r>
              <w:rPr>
                <w:sz w:val="17"/>
              </w:rPr>
              <w:t>Contener reglas de negocio</w:t>
            </w:r>
          </w:p>
        </w:tc>
      </w:tr>
    </w:tbl>
    <w:p>
      <w:pPr>
        <w:spacing w:after="0"/>
      </w:pPr>
    </w:p>
    <w:p>
      <w:pPr>
        <w:pStyle w:val="Heading2"/>
      </w:pPr>
      <w:r>
        <w:t>2.3 Frontend con MVVM</w:t>
      </w:r>
    </w:p>
    <w:p>
      <w:pPr>
        <w:spacing w:after="120"/>
        <w:jc w:val="both"/>
      </w:pPr>
      <w:r>
        <w:rPr>
          <w:b w:val="0"/>
          <w:i w:val="0"/>
        </w:rPr>
        <w:t xml:space="preserve">En React el patrón MVVM se implementa así: la </w:t>
      </w:r>
      <w:r>
        <w:rPr>
          <w:b/>
          <w:i w:val="0"/>
        </w:rPr>
        <w:t>Vista</w:t>
      </w:r>
      <w:r>
        <w:rPr>
          <w:b w:val="0"/>
          <w:i w:val="0"/>
        </w:rPr>
        <w:t xml:space="preserve"> son los componentes, que solo pintan y emiten eventos; el </w:t>
      </w:r>
      <w:r>
        <w:rPr>
          <w:b/>
          <w:i w:val="0"/>
        </w:rPr>
        <w:t>Modelo de vista</w:t>
      </w:r>
      <w:r>
        <w:rPr>
          <w:b w:val="0"/>
          <w:i w:val="0"/>
        </w:rPr>
        <w:t xml:space="preserve"> son hooks y stores de Zustand que guardan el estado de la pantalla y exponen acciones; el </w:t>
      </w:r>
      <w:r>
        <w:rPr>
          <w:b/>
          <w:i w:val="0"/>
        </w:rPr>
        <w:t>Modelo</w:t>
      </w:r>
      <w:r>
        <w:rPr>
          <w:b w:val="0"/>
          <w:i w:val="0"/>
        </w:rPr>
        <w:t xml:space="preserve"> es el cliente de la API y los tipos TypeScript del contrato. La escena 3D sigue la misma separación: los componentes de React Three Fiber dibujan, mientras useEndoscopio y useTelemetria guardan la posición, los hitos visitados y los eventos pendientes de enviar.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920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3_frontend_mvv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0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3. Organización del frontend según el patrón MVVM.</w:t>
      </w:r>
    </w:p>
    <w:p>
      <w:pPr>
        <w:pStyle w:val="Heading1"/>
      </w:pPr>
      <w:r>
        <w:t>3. Vista de procesos</w:t>
      </w:r>
    </w:p>
    <w:p>
      <w:pPr>
        <w:pStyle w:val="Heading2"/>
      </w:pPr>
      <w:r>
        <w:t>3.1 Generación de un caso clínico</w:t>
      </w:r>
    </w:p>
    <w:p>
      <w:pPr>
        <w:spacing w:after="120"/>
        <w:jc w:val="both"/>
      </w:pPr>
      <w:r>
        <w:rPr>
          <w:b w:val="0"/>
          <w:i w:val="0"/>
        </w:rPr>
        <w:t>Es el flujo más exigente del sistema, porque combina base de datos, modelo de lenguaje y validación en menos de 15 segundos (RNF-14). La fachada ServicioCasos coordina todo; el router solo hace una llamada.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435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4_secuencia_gener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4. Diagrama de secuencia: generación de un caso (RF-02.1, RF-14.1 a RF-14.5).</w:t>
      </w:r>
    </w:p>
    <w:p>
      <w:pPr>
        <w:pStyle w:val="Heading2"/>
      </w:pPr>
      <w:r>
        <w:t>3.2 Resolución de un intento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193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5_secuencia_int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5. Diagrama de secuencia: decisión inicial, recomendación, tutor y decisión final (RF-05 a RF-10).</w:t>
      </w:r>
    </w:p>
    <w:p>
      <w:pPr>
        <w:pStyle w:val="Heading2"/>
      </w:pPr>
      <w:r>
        <w:t>3.3 Ciclo de vida del intento</w:t>
      </w:r>
    </w:p>
    <w:p>
      <w:pPr>
        <w:spacing w:after="120"/>
        <w:jc w:val="both"/>
      </w:pPr>
      <w:r>
        <w:rPr>
          <w:b w:val="0"/>
          <w:i w:val="0"/>
        </w:rPr>
        <w:t>El intento es una máquina de estados que vive en el servidor. El cliente no puede saltarse pasos: si pide la recomendación sin haber registrado la decisión inicial, la API responde 409 (conflicto). Así se cumple RF-05 aunque alguien manipule el navegador.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4386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6_estados_int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3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6. Diagrama de estados del intento.</w:t>
      </w:r>
    </w:p>
    <w:p>
      <w:pPr>
        <w:pStyle w:val="Heading2"/>
      </w:pPr>
      <w:r>
        <w:t>3.4 Concurrencia y tiempos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API es asíncrona (async/await): mientras espera al modelo de lenguaje no bloquea otras peticiones.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Las llamadas al modelo de lenguaje hacen hasta dos reintentos con espera creciente y luego pasan al modelo de respaldo; si en 15 segundos no hay respuesta, el tutor muestra el mensaje de respaldo y el estudiante puede pasar a la decisión final (RF-07.3).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telemetría no se envía evento por evento: el frontend la acumula y la manda en lotes cada 10 segundos y al capturar el hallazgo, lo que reduce las peticiones sin perder datos.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La vista materializada del tablero se actualiza al cerrar cada intento, para que el tablero cargue en menos de 3 segundos (RNF-04).</w:t>
      </w:r>
    </w:p>
    <w:p>
      <w:pPr>
        <w:pStyle w:val="Heading1"/>
      </w:pPr>
      <w:r>
        <w:t>4. Vista de desarrollo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444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7_paque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44546A"/>
          <w:sz w:val="18"/>
        </w:rPr>
        <w:t>Figura 7. Organización en paquetes del repositorio gastro-sim.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3. Carpetas del repositorio y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Carpeta</w:t>
            </w:r>
          </w:p>
        </w:tc>
        <w:tc>
          <w:tcPr>
            <w:tcW w:type="dxa" w:w="3742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23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web/src/escena3d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Escena, endoscopio, hitos, hallazgo y minimapa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Cristian Cruz (líder 3D) con apoyo de Diego Agudelo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web/src/paginas, estado, api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Pantallas, hooks/stores y cliente de la API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Diego Agudelo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api/app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Routers, servicios, dominio e infraestructura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Diego Agudelo y Emmanuel Ospina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api/app/prompts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Instrucciones del generador y del tutor, con versión (v1.0, v1.1…)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Emmanuel Ospina, revisión clínica del validador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db/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Migraciones SQL y datos semilla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Jahan Michelle Chará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ml/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Cuaderno de entrenamiento y script de carga de predicciones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Emmanuel Ospina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api/tests, web/tests</w:t>
            </w:r>
          </w:p>
        </w:tc>
        <w:tc>
          <w:tcPr>
            <w:tcW w:type="dxa" w:w="3742"/>
          </w:tcPr>
          <w:p>
            <w:r>
              <w:rPr>
                <w:sz w:val="17"/>
              </w:rPr>
              <w:t>Pruebas automatizadas (pytest, Vitest)</w:t>
            </w:r>
          </w:p>
        </w:tc>
        <w:tc>
          <w:tcPr>
            <w:tcW w:type="dxa" w:w="3231"/>
          </w:tcPr>
          <w:p>
            <w:r>
              <w:rPr>
                <w:sz w:val="17"/>
              </w:rPr>
              <w:t>Nestor Velasco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rPr>
          <w:b w:val="0"/>
          <w:i w:val="0"/>
        </w:rPr>
        <w:t>Reglas de trabajo: la rama main está protegida; todo cambio entra por pull request con al menos una aprobación y las pruebas en verde (RNF-09). Los secretos solo existen en archivos .env locales y en las variables del servicio de nube; el repositorio incluye un .env.example sin valores.</w:t>
      </w:r>
    </w:p>
    <w:p>
      <w:pPr>
        <w:pStyle w:val="Heading1"/>
      </w:pPr>
      <w:r>
        <w:t>5. Vista física (resumen)</w:t>
      </w:r>
    </w:p>
    <w:p>
      <w:pPr>
        <w:spacing w:after="120"/>
        <w:jc w:val="both"/>
      </w:pPr>
      <w:r>
        <w:rPr>
          <w:b w:val="0"/>
          <w:i w:val="0"/>
        </w:rPr>
        <w:t>Dos contenedores Docker (gastro-web con Nginx y gastro-api con Uvicorn) más los servicios administrados de Supabase y la API de Gemini. El detalle de nodos, puertos y entornos está en el documento de Arquitectura del Sistema, sección 5.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4. Variables de configuración de la API (sin valores)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5953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SUPABASE_URL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Dirección del proyecto Supabase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SUPABASE_JWT_SECRET / JWKS_URL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Validar la firma de los tokens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DATABASE_URL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Conexión al pool de PostgreSQL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GEMINI_API_KEY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Clave del modelo de lenguaje (solo servidor)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LLM_MODELO_PRINCIPAL, LLM_MODELOS_RESPALDO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Modelo preferido y lista de respaldo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PROMPT_VERSION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Versión vigente de las instrucciones</w:t>
            </w:r>
          </w:p>
        </w:tc>
      </w:tr>
      <w:tr>
        <w:tc>
          <w:tcPr>
            <w:tcW w:type="dxa" w:w="3402"/>
          </w:tcPr>
          <w:p>
            <w:r>
              <w:rPr>
                <w:sz w:val="17"/>
              </w:rPr>
              <w:t>CORS_ORIGENES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Dominios del frontend autorizados</w:t>
            </w:r>
          </w:p>
        </w:tc>
      </w:tr>
    </w:tbl>
    <w:p>
      <w:pPr>
        <w:spacing w:after="0"/>
      </w:pPr>
    </w:p>
    <w:p>
      <w:pPr>
        <w:pStyle w:val="Heading1"/>
      </w:pPr>
      <w:r>
        <w:t>6. Contrato de la API REST</w:t>
      </w:r>
    </w:p>
    <w:p>
      <w:pPr>
        <w:spacing w:after="120"/>
        <w:jc w:val="both"/>
      </w:pPr>
      <w:r>
        <w:rPr>
          <w:b w:val="0"/>
          <w:i w:val="0"/>
        </w:rPr>
        <w:t>Todas las rutas usan JSON, exigen el encabezado Authorization: Bearer &lt;token&gt; con nivel de autenticación aal2 (contraseña + TOTP) y responden los errores con el formato estándar problem+json (RFC 9457). La especificación OpenAPI se genera automáticamente en /docs.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5. Rutas principales de la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005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1134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515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/me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Perfil, rol, estado de 2FA y aviso aceptado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RF-01.2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/me/consentimiento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Registra la aceptación del aviso académico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RF-01.4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/me/codigos-recuperacion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Genera los 10 códigos (se muestran una sola vez)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RF-01.6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/auth/codigo-recuperacion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Todos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Valida un código de un solo uso, lo marca como usado y elimina el factor anterior para que el usuario active uno nuevo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RF-01.6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/casos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Genera un caso nuevo según dificultad y región; tras 3 intentos fallidos responde 422 y registra el error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RF-02.1, RF-02.2, RF-14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/casos/historial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Casos resueltos por el usuario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RF-02.3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/intentos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Abre un intento sobre un caso (nuevo o repetido)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RF-02.3, RF-12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/intentos/{id}/eventos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Recibe un lote de eventos de telemetría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RF-03.3, RF-12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/intentos/{id}/decision-inicial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Decisión y confianza antes de ver la IA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RF-05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/intentos/{id}/recomendacion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Recomendación (original o alterada)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RF-06, RF-08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/intentos/{id}/tutor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Mensaje al tutor y respuesta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RF-07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/intentos/{id}/decision-final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Cierra el intento y devuelve la retroalimentación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RF-09, RF-10, RF-11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/casos/{id}/reportes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Reporta un caso como incorrecto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RF-14.7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/desempeno · GET /clasificacion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Tablero personal y tabla del grupo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RF-13, RF-16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· PATCH /docente/casos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Docente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Lista, aprueba o descarta casos con motivo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RF-14.6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· PUT /docente/config-alteracion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Docente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Porcentaje y tipos de alteración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RF-08.1, RF-08.2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/docente/exportacion.csv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Docente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Intentos seudonimizados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RF-15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GET /admin/usuarios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Lista de cuentas con rol y estado del 2FA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RF-01.3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PATCH /admin/usuarios/{id}/rol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Asigna o retira el rol de docente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RF-01.3</w:t>
            </w:r>
          </w:p>
        </w:tc>
      </w:tr>
      <w:tr>
        <w:tc>
          <w:tcPr>
            <w:tcW w:type="dxa" w:w="3005"/>
          </w:tcPr>
          <w:p>
            <w:r>
              <w:rPr>
                <w:sz w:val="16"/>
              </w:rPr>
              <w:t>POST /admin/usuarios/{id}/restablecer-2fa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515"/>
          </w:tcPr>
          <w:p>
            <w:r>
              <w:rPr>
                <w:sz w:val="16"/>
              </w:rPr>
              <w:t>Elimina el factor y deja registro de auditoría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RF-01.7</w:t>
            </w:r>
          </w:p>
        </w:tc>
      </w:tr>
    </w:tbl>
    <w:p>
      <w:pPr>
        <w:spacing w:after="0"/>
      </w:pPr>
    </w:p>
    <w:p>
      <w:pPr>
        <w:pStyle w:val="Heading1"/>
      </w:pPr>
      <w:r>
        <w:t>7. Escenarios: casos de uso frente a componentes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6. Componentes que participan en cada caso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608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187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Frontend</w:t>
            </w:r>
          </w:p>
        </w:tc>
        <w:tc>
          <w:tcPr>
            <w:tcW w:type="dxa" w:w="249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API (servicio)</w:t>
            </w:r>
          </w:p>
        </w:tc>
        <w:tc>
          <w:tcPr>
            <w:tcW w:type="dxa" w:w="238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Datos / externos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UC-01 a UC-05, UC-23 Cuentas y 2FA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Login, CrearCuenta, Activar2FA, Recuperacion, Usuarios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ServicioCuentas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Supabase Auth, perfil, codigo_recuperacion, auditoria_cuenta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UC-06 a UC-08 Solicitar y ver caso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Inicio, PanelCaso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ServicioCasos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imagen, caso, Gemini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UC-09 Generar caso con IA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GenerandoCaso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ServicioCasos + validadores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Gemini, ubicacion_3d, caso, generacion_fallida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UC-10 a UC-12 Explorar en 3D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Escena3D, Minimapa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ServicioIntentos (eventos)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Storage (.glb), evento_telemetria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UC-13 a UC-15, UC-17 Decidir y ver la IA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PanelCaso, Recomendación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ServicioIntentos, ServicioAlteraciones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prediccion, intento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UC-16 Consultar tutor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ChatTutor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ServicioTutor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Gemini, mensaje_tutor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UC-18 a UC-20 Retroalimentación, tablero y clasificación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Retro, Tablero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ServicioEvaluacion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mv_desempeno, insignia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UC-21, UC-22, UC-24 Funciones docentes</w:t>
            </w:r>
          </w:p>
        </w:tc>
        <w:tc>
          <w:tcPr>
            <w:tcW w:type="dxa" w:w="1871"/>
          </w:tcPr>
          <w:p>
            <w:r>
              <w:rPr>
                <w:sz w:val="17"/>
              </w:rPr>
              <w:t>Docente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ServicioCasos, ServicioAlteraciones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caso, config_alteracion, v_export_intentos</w:t>
            </w:r>
          </w:p>
        </w:tc>
      </w:tr>
    </w:tbl>
    <w:p>
      <w:pPr>
        <w:spacing w:after="0"/>
      </w:pPr>
    </w:p>
    <w:p>
      <w:pPr>
        <w:pStyle w:val="Heading1"/>
      </w:pPr>
      <w:r>
        <w:t>8. Decisiones transversales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7. Mecanismos comunes a todos los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7540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Autenticación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Supabase Auth emite el token; la API valida firma, expiración y nivel aal2 en una dependencia común de FastAPI.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Autorización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Dependencia requiere_rol(...) en cada router; RLS activado en todas las tablas como segunda barrera.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Errores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Excepciones de dominio traducidas a problem+json con código y mensaje en español.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Registro (logs)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JSON estructurado con identificador de petición; nunca se registran tokens, claves ni contenido de los mensajes.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Pruebas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pytest para dominio y servicios con adaptadores simulados; Vitest y Testing Library en el frontend; pruebas de rendimiento de la escena con el contador de FPS.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IA reproducible</w:t>
            </w:r>
          </w:p>
        </w:tc>
        <w:tc>
          <w:tcPr>
            <w:tcW w:type="dxa" w:w="7540"/>
          </w:tcPr>
          <w:p>
            <w:r>
              <w:rPr>
                <w:sz w:val="17"/>
              </w:rPr>
              <w:t>Cada caso guarda modelo, versión de instrucciones y semilla (RF-14.5); el cuaderno de visión usa semilla fija (RNF-12).</w:t>
            </w:r>
          </w:p>
        </w:tc>
      </w:tr>
    </w:tbl>
    <w:p>
      <w:pPr>
        <w:spacing w:after="0"/>
      </w:pPr>
    </w:p>
    <w:p>
      <w:pPr>
        <w:pStyle w:val="Heading1"/>
      </w:pPr>
      <w:r>
        <w:t>Referencias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Bass, L., Clements, P. y Kazman, R. (2003). Software Architecture in Practice (2.ª ed.). Addison-Wesley.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Kruchten, P. (1995). The 4+1 View Model of Architecture. IEEE Software, 12(6), 42-50.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Pressman, R. S. (2010). Ingeniería del software: un enfoque práctico (7.ª ed.). McGraw-Hill. Capítulos 9, 10 y 11.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Brown, S. (2023). The C4 model for visualising software architecture. https://c4model.com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Software Engineering Institute (2026). Software Architecture. Carnegie Mellon University. https://insights.sei.cmu.edu/software-architecture/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IETF (2023). RFC 9457: Problem Details for HTTP APIs.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Equipo ITEVOLUTION · Arquitectura del Software v1.0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1" w:color="1F3A5F"/>
      </w:pBdr>
    </w:pPr>
    <w:r>
      <w:rPr>
        <w:b/>
        <w:sz w:val="18"/>
      </w:rPr>
      <w:t>GASTRO-SIM · Arquitectura del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