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80"/>
        <w:jc w:val="center"/>
      </w:pPr>
      <w:r>
        <w:rPr>
          <w:b/>
          <w:i w:val="0"/>
          <w:color w:val="1F3A5F"/>
          <w:sz w:val="48"/>
        </w:rPr>
        <w:t>Diseño de Software: Interfaz y Módulos del Sistema</w:t>
      </w:r>
    </w:p>
    <w:p>
      <w:pPr>
        <w:spacing w:after="480"/>
        <w:jc w:val="center"/>
      </w:pPr>
      <w:r>
        <w:rPr>
          <w:b w:val="0"/>
          <w:i w:val="0"/>
          <w:sz w:val="28"/>
        </w:rPr>
        <w:t>Prototipos de interfaz (wireframes) y diseño modular</w:t>
      </w:r>
    </w:p>
    <w:p>
      <w:pPr>
        <w:spacing w:after="80"/>
        <w:jc w:val="center"/>
      </w:pPr>
      <w:r>
        <w:rPr>
          <w:b/>
          <w:i w:val="0"/>
          <w:color w:val="008A3E"/>
          <w:sz w:val="60"/>
        </w:rPr>
        <w:t>GASTRO-SIM</w:t>
      </w:r>
    </w:p>
    <w:p>
      <w:pPr>
        <w:spacing w:after="800"/>
        <w:jc w:val="center"/>
      </w:pPr>
      <w:r>
        <w:rPr>
          <w:b w:val="0"/>
          <w:i w:val="0"/>
          <w:sz w:val="24"/>
        </w:rPr>
        <w:t>Simulador web 3D para el entrenamiento de la toma de decisiones humano–IA en escenarios gastrointestinales</w:t>
      </w:r>
    </w:p>
    <w:p>
      <w:pPr>
        <w:spacing w:after="40"/>
        <w:jc w:val="center"/>
      </w:pPr>
      <w:r>
        <w:rPr>
          <w:b w:val="0"/>
          <w:i w:val="0"/>
          <w:sz w:val="22"/>
        </w:rPr>
        <w:t>Equipo ITEVOLUTION</w:t>
      </w:r>
    </w:p>
    <w:p>
      <w:pPr>
        <w:spacing w:after="40"/>
        <w:jc w:val="center"/>
      </w:pPr>
      <w:r>
        <w:rPr>
          <w:b w:val="0"/>
          <w:i w:val="0"/>
          <w:sz w:val="22"/>
        </w:rPr>
        <w:t>Universidad Santiago de Cali – Facultad de Ingeniería – Ingeniería de Sistemas</w:t>
      </w:r>
    </w:p>
    <w:p>
      <w:pPr>
        <w:spacing w:after="40"/>
        <w:jc w:val="center"/>
      </w:pPr>
      <w:r>
        <w:rPr>
          <w:b w:val="0"/>
          <w:i w:val="0"/>
          <w:sz w:val="22"/>
        </w:rPr>
        <w:t>Gestión de Proyectos de TI · 2026-B · Docente: Jair E. Sanclemente Castro</w:t>
      </w:r>
    </w:p>
    <w:p>
      <w:pPr>
        <w:spacing w:after="40"/>
        <w:jc w:val="center"/>
      </w:pPr>
      <w:r>
        <w:rPr>
          <w:b w:val="0"/>
          <w:i w:val="0"/>
          <w:sz w:val="22"/>
        </w:rPr>
        <w:t>Versión 1.0 · 25/10/2026</w:t>
      </w:r>
    </w:p>
    <w:p>
      <w:r>
        <w:br w:type="page"/>
      </w:r>
    </w:p>
    <w:p>
      <w:pPr>
        <w:spacing w:after="120"/>
        <w:jc w:val="left"/>
      </w:pPr>
      <w:r>
        <w:rPr>
          <w:b/>
          <w:i w:val="0"/>
          <w:color w:val="1F3A5F"/>
          <w:sz w:val="26"/>
        </w:rPr>
        <w:t>Control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51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803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Documento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Diseño de Software: Interfaz y Módulos del Sistema de GASTRO-SIM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Versión / fecha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1.0 · 25/10/2026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Elaborado por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Cristian Camilo Cruz Gallego (Diseñador – Support Manager, líder 3D)</w:t>
            </w:r>
          </w:p>
          <w:p>
            <w:r>
              <w:rPr>
                <w:sz w:val="18"/>
              </w:rPr>
              <w:t>Emmanuel Ospina Giraldo (Director de Proyecto)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Revisado por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Diego Armando Agudelo (Proveedor de Soluciones – Development Manager)</w:t>
            </w:r>
          </w:p>
          <w:p>
            <w:r>
              <w:rPr>
                <w:sz w:val="18"/>
              </w:rPr>
              <w:t>Nestor David Velasco Orozco (Garantía de Calidad – Quality Manager)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Aprobado por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Jair E. Sanclemente Castro – Propietario del Proyecto (Product Owner)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Paquete de la EDT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3.4 Prototipos de interfaz · 3.1 Arquitectura y despliegue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Documentos base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Acta de Constitución v1.2 · Matriz de Trazabilidad v1.3 · SRS ISO/IEC/IEEE 29148 v1.0 · Caso de uso general v1.0 · EDT v1.1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Herramienta de diseño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Figma (archivo «GASTRO-SIM · Wireframes v1.0»); ver sección 6</w:t>
            </w:r>
          </w:p>
        </w:tc>
      </w:tr>
    </w:tbl>
    <w:p>
      <w:pPr>
        <w:spacing w:after="0"/>
      </w:pPr>
    </w:p>
    <w:p>
      <w:pPr>
        <w:spacing w:after="120"/>
        <w:jc w:val="left"/>
      </w:pPr>
      <w:r>
        <w:rPr>
          <w:b/>
          <w:i w:val="0"/>
          <w:color w:val="1F3A5F"/>
          <w:sz w:val="26"/>
        </w:rPr>
        <w:t>Tabla de contenido</w:t>
      </w:r>
    </w:p>
    <w:p>
      <w:fldSimple w:instr="TOC \o &quot;1-2&quot; \h \z \u">
        <w:r>
          <w:t>Haga clic derecho aquí y elija «Actualizar campo» para generar la tabla de contenido.</w:t>
        </w:r>
      </w:fldSimple>
    </w:p>
    <w:p>
      <w:r>
        <w:br w:type="page"/>
      </w:r>
    </w:p>
    <w:p>
      <w:pPr>
        <w:pStyle w:val="Heading1"/>
      </w:pPr>
      <w:r>
        <w:t>1. Introducción</w:t>
      </w:r>
    </w:p>
    <w:p>
      <w:pPr>
        <w:spacing w:after="120"/>
        <w:jc w:val="both"/>
      </w:pPr>
      <w:r>
        <w:rPr>
          <w:b w:val="0"/>
          <w:i w:val="0"/>
        </w:rPr>
        <w:t xml:space="preserve">Este documento presenta el diseño de la interfaz de usuario de GASTRO-SIM y la descomposición del sistema en módulos. Los prototipos son </w:t>
      </w:r>
      <w:r>
        <w:rPr>
          <w:b/>
          <w:i w:val="0"/>
        </w:rPr>
        <w:t>wireframes de fidelidad media</w:t>
      </w:r>
      <w:r>
        <w:rPr>
          <w:b w:val="0"/>
          <w:i w:val="0"/>
        </w:rPr>
        <w:t>: muestran la distribución de cada pantalla, sus controles y su contenido, pero todavía no el estilo visual final. Esta etapa sirve para validar el flujo con el Propietario del Proyecto antes de programar, cuando un cambio cuesta minutos y no días.</w:t>
      </w:r>
    </w:p>
    <w:p>
      <w:pPr>
        <w:spacing w:after="120"/>
        <w:jc w:val="both"/>
      </w:pPr>
      <w:r>
        <w:rPr>
          <w:b w:val="0"/>
          <w:i w:val="0"/>
        </w:rPr>
        <w:t>Son 21 pantallas y estados de pantalla, y cada una se deriva de un requisito funcional de la Matriz de Trazabilidad v1.3; no se agregaron funciones fuera de ella. Cubren los dos perfiles de la SRS (estudiante y docente/administrador) y siguen el orden del caso de uso general: ingresar con verificación en dos pasos, solicitar un caso, explorarlo en 3D, decidir antes y después de ver la IA, recibir retroalimentación y revisar el desempeño.</w:t>
      </w:r>
    </w:p>
    <w:p>
      <w:pPr>
        <w:pStyle w:val="Heading1"/>
      </w:pPr>
      <w:r>
        <w:t>2. Principios de diseño de la interfaz</w:t>
      </w: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1. Heurísticas de usabilidad aplicadas (Nielsen)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51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Heurística</w:t>
            </w:r>
          </w:p>
        </w:tc>
        <w:tc>
          <w:tcPr>
            <w:tcW w:type="dxa" w:w="6803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Cómo se aplica en GASTRO-SIM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Visibilidad del estado del sistema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Indicador de pasos 1-2-3 en el panel del caso, hitos visitados y tiempo en el simulador, aviso de generación del caso en menos de 15 s.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Coincidencia con el mundo real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Terminología médica en español, nombres reales de hitos anatómicos y escala de confianza de 1 a 5.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Control y libertad del usuario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Volver a la escena desde el panel del caso; repetir casos del historial.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Consistencia y estándares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Barra superior, colores y botones iguales en todas las pantallas; acción principal siempre en azul o verde.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Prevención de errores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La decisión final pide confirmación y advierte que no se puede cambiar; la captura solo se habilita con el hallazgo a la vista.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Reconocer antes que recordar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Lista de hitos visible durante el recorrido; decisión inicial visible al lado de la recomendación.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Diseño estético y minimalista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Una tarea principal por pantalla; la información secundaria va en paneles laterales.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Ayuda para reconocer errores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Retroalimentación que explica qué estuvo bien, qué faltó y si la IA estaba alterada.</w:t>
            </w:r>
          </w:p>
        </w:tc>
      </w:tr>
    </w:tbl>
    <w:p>
      <w:pPr>
        <w:spacing w:after="0"/>
      </w:pPr>
    </w:p>
    <w:p>
      <w:pPr>
        <w:pStyle w:val="Heading2"/>
      </w:pPr>
      <w:r>
        <w:t>2.1 Guía de estilo</w:t>
      </w: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2. Elementos de la guía de estilo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7654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Definición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Colores</w:t>
            </w:r>
          </w:p>
        </w:tc>
        <w:tc>
          <w:tcPr>
            <w:tcW w:type="dxa" w:w="7654"/>
          </w:tcPr>
          <w:p>
            <w:r>
              <w:rPr>
                <w:sz w:val="17"/>
              </w:rPr>
              <w:t>Azul institucional #1F3A5F (acción principal y barra), verde #008A3E (acierto, confirmar), rojo #B42318 (error, descartar), ámbar #C9A227 (advertencias), fondo #F4F6FA.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Tipografía</w:t>
            </w:r>
          </w:p>
        </w:tc>
        <w:tc>
          <w:tcPr>
            <w:tcW w:type="dxa" w:w="7654"/>
          </w:tcPr>
          <w:p>
            <w:r>
              <w:rPr>
                <w:sz w:val="17"/>
              </w:rPr>
              <w:t>Arial / Inter: títulos de 22 a 28 px, texto de 14 a 16 px, etiquetas de 13 px.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Rejilla</w:t>
            </w:r>
          </w:p>
        </w:tc>
        <w:tc>
          <w:tcPr>
            <w:tcW w:type="dxa" w:w="7654"/>
          </w:tcPr>
          <w:p>
            <w:r>
              <w:rPr>
                <w:sz w:val="17"/>
              </w:rPr>
              <w:t>Lienzo de 1440 × 900 px con márgenes de 40 px; adaptable hasta 1366 × 768 (RNF-01).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Componentes</w:t>
            </w:r>
          </w:p>
        </w:tc>
        <w:tc>
          <w:tcPr>
            <w:tcW w:type="dxa" w:w="7654"/>
          </w:tcPr>
          <w:p>
            <w:r>
              <w:rPr>
                <w:sz w:val="17"/>
              </w:rPr>
              <w:t>Botón principal, botón secundario, campo de texto, opción única, casilla, escala 1-5, tarjeta de indicador, burbuja de chat.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Aviso permanente</w:t>
            </w:r>
          </w:p>
        </w:tc>
        <w:tc>
          <w:tcPr>
            <w:tcW w:type="dxa" w:w="7654"/>
          </w:tcPr>
          <w:p>
            <w:r>
              <w:rPr>
                <w:sz w:val="17"/>
              </w:rPr>
              <w:t>Etiqueta «Uso académico · no diagnóstico» en la barra superior de todas las pantallas internas (RF-01.4).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Accesibilidad</w:t>
            </w:r>
          </w:p>
        </w:tc>
        <w:tc>
          <w:tcPr>
            <w:tcW w:type="dxa" w:w="7654"/>
          </w:tcPr>
          <w:p>
            <w:r>
              <w:rPr>
                <w:sz w:val="17"/>
              </w:rPr>
              <w:t>Contraste mínimo 4.5:1 (WCAG 2.1 AA), estados no indicados solo por color (✓ y ✗) y navegación por teclado en formularios.</w:t>
            </w:r>
          </w:p>
        </w:tc>
      </w:tr>
    </w:tbl>
    <w:p>
      <w:pPr>
        <w:spacing w:after="0"/>
      </w:pPr>
    </w:p>
    <w:p>
      <w:pPr>
        <w:pStyle w:val="Heading1"/>
      </w:pPr>
      <w:r>
        <w:t>3. Mapa de navegación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441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1_navega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4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1. Mapa de navegación entre pantallas.</w:t>
      </w:r>
    </w:p>
    <w:p>
      <w:pPr>
        <w:pStyle w:val="Heading1"/>
      </w:pPr>
      <w:r>
        <w:t>4. Prototipos de las pantallas</w:t>
      </w:r>
    </w:p>
    <w:p>
      <w:pPr>
        <w:pStyle w:val="Heading2"/>
      </w:pPr>
      <w:r>
        <w:t>4.1 W01 · Inicio de sesión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2. Wireframe W01: Inicio de sesión.</w:t>
      </w:r>
    </w:p>
    <w:p>
      <w:pPr>
        <w:spacing w:after="120"/>
        <w:jc w:val="both"/>
      </w:pPr>
      <w:r>
        <w:rPr>
          <w:b w:val="0"/>
          <w:i w:val="0"/>
        </w:rPr>
        <w:t>Primer paso del ingreso. Pide correo y contraseña e informa que después se pedirá el código de verificación. Si los datos son incorrectos, muestra «Correo o contraseña incorrectos» sin indicar cuál de los dos falló. El panel izquierdo aclara que no es una herramienta de diagnóstico. Enlaza con la creación de cuenta (W02).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RF-01.1, RF-01.2.</w:t>
      </w:r>
    </w:p>
    <w:p>
      <w:pPr>
        <w:pStyle w:val="Heading2"/>
      </w:pPr>
      <w:r>
        <w:t>4.2 W02 · Crear cuenta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3. Wireframe W02: Crear cuenta.</w:t>
      </w:r>
    </w:p>
    <w:p>
      <w:pPr>
        <w:spacing w:after="120"/>
        <w:jc w:val="both"/>
      </w:pPr>
      <w:r>
        <w:rPr>
          <w:b w:val="0"/>
          <w:i w:val="0"/>
        </w:rPr>
        <w:t>Registro con correo y contraseña. La cuenta nueva siempre tiene rol de estudiante. Valida la contraseña de mínimo 8 caracteres y avisa con un mensaje claro si el correo ya está registrado. Al crearla, el usuario inicia sesión y pasa a activar el 2FA (W03).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RF-01.1.</w:t>
      </w:r>
    </w:p>
    <w:p>
      <w:pPr>
        <w:pStyle w:val="Heading2"/>
      </w:pPr>
      <w:r>
        <w:t>4.3 W03 · Activación de 2FA y aviso académico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4. Wireframe W03: Activación de 2FA y aviso académico.</w:t>
      </w:r>
    </w:p>
    <w:p>
      <w:pPr>
        <w:spacing w:after="120"/>
        <w:jc w:val="both"/>
      </w:pPr>
      <w:r>
        <w:rPr>
          <w:b w:val="0"/>
          <w:i w:val="0"/>
        </w:rPr>
        <w:t>Aparece en el primer ingreso y cuando un administrador restablece el 2FA. Muestra una sola vez el código QR para la aplicación autenticadora, entrega los diez códigos de recuperación y pide aceptar el aviso de uso académico (no diagnóstico) y el tratamiento de datos. Sin ambas aceptaciones no se accede a los casos; se guardan la fecha y la hora.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RF-01.4, RF-01.6.</w:t>
      </w:r>
    </w:p>
    <w:p>
      <w:pPr>
        <w:pStyle w:val="Heading2"/>
      </w:pPr>
      <w:r>
        <w:t>4.4 W04 · Verificación en dos pasos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5. Wireframe W04: Verificación en dos pasos.</w:t>
      </w:r>
    </w:p>
    <w:p>
      <w:pPr>
        <w:spacing w:after="120"/>
        <w:jc w:val="both"/>
      </w:pPr>
      <w:r>
        <w:rPr>
          <w:b w:val="0"/>
          <w:i w:val="0"/>
        </w:rPr>
        <w:t>Seis casillas para el código TOTP, con la opción de usar un código de recuperación. Se muestra en cada inicio de sesión.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RF-01.5, RNF-07.</w:t>
      </w:r>
    </w:p>
    <w:p>
      <w:pPr>
        <w:pStyle w:val="Heading2"/>
      </w:pPr>
      <w:r>
        <w:t>4.5 W05 · Ingreso con código de recuperación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6. Wireframe W05: Ingreso con código de recuperación.</w:t>
      </w:r>
    </w:p>
    <w:p>
      <w:pPr>
        <w:spacing w:after="120"/>
        <w:jc w:val="both"/>
      </w:pPr>
      <w:r>
        <w:rPr>
          <w:b w:val="0"/>
          <w:i w:val="0"/>
        </w:rPr>
        <w:t>Alternativa a W04 cuando el usuario no tiene su teléfono. Acepta uno de los diez códigos de recuperación; cada código funciona una sola vez. Al usarlo, el sistema elimina el factor anterior y lleva al usuario a W03 para vincular su nuevo teléfono. Si también los perdió, se le indica que pida el restablecimiento al administrador.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RF-01.6, RF-01.7.</w:t>
      </w:r>
    </w:p>
    <w:p>
      <w:pPr>
        <w:pStyle w:val="Heading2"/>
      </w:pPr>
      <w:r>
        <w:t>4.6 W06 · Inicio del estudiante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7. Wireframe W06: Inicio del estudiante.</w:t>
      </w:r>
    </w:p>
    <w:p>
      <w:pPr>
        <w:spacing w:after="120"/>
        <w:jc w:val="both"/>
      </w:pPr>
      <w:r>
        <w:rPr>
          <w:b w:val="0"/>
          <w:i w:val="0"/>
        </w:rPr>
        <w:t>Permite pedir un caso nuevo eligiendo dificultad y región, ver el progreso (nivel, puntos e insignias) y consultar el historial con fecha, región, dificultad, resultado y puntaje. El botón Repetir carga exactamente el mismo caso.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RF-02.1, RF-02.2, RF-02.3, RF-11.</w:t>
      </w:r>
    </w:p>
    <w:p>
      <w:pPr>
        <w:pStyle w:val="Heading2"/>
      </w:pPr>
      <w:r>
        <w:t>4.7 W07 · Generando el caso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8. Wireframe W07: Generando el caso.</w:t>
      </w:r>
    </w:p>
    <w:p>
      <w:pPr>
        <w:spacing w:after="120"/>
        <w:jc w:val="both"/>
      </w:pPr>
      <w:r>
        <w:rPr>
          <w:b w:val="0"/>
          <w:i w:val="0"/>
        </w:rPr>
        <w:t>Pantalla de espera mientras el agente de IA prepara el caso. Muestra el avance de cada paso: selección de la imagen, ubicación del hallazgo en la ruta 3D, redacción de la historia y validación.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RF-14.1 a RF-14.4, RNF-14.</w:t>
      </w:r>
    </w:p>
    <w:p>
      <w:pPr>
        <w:pStyle w:val="Heading2"/>
      </w:pPr>
      <w:r>
        <w:t>4.8 W08 · Error al generar el caso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9. Wireframe W08: Error al generar el caso.</w:t>
      </w:r>
    </w:p>
    <w:p>
      <w:pPr>
        <w:spacing w:after="120"/>
        <w:jc w:val="both"/>
      </w:pPr>
      <w:r>
        <w:rPr>
          <w:b w:val="0"/>
          <w:i w:val="0"/>
        </w:rPr>
        <w:t>Mensaje que aparece si el caso no pasa la validación automática después de 3 intentos (el original y 2 regeneraciones). El error queda registrado y el estudiante puede volver a intentarlo.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RF-14.4.</w:t>
      </w:r>
    </w:p>
    <w:p>
      <w:pPr>
        <w:pStyle w:val="Heading2"/>
      </w:pPr>
      <w:r>
        <w:t>4.9 W09 · Simulador 3D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10. Wireframe W09: Simulador 3D.</w:t>
      </w:r>
    </w:p>
    <w:p>
      <w:pPr>
        <w:spacing w:after="120"/>
        <w:jc w:val="both"/>
      </w:pPr>
      <w:r>
        <w:rPr>
          <w:b w:val="0"/>
          <w:i w:val="0"/>
        </w:rPr>
        <w:t>Escena del tracto superior con el endoscopio virtual. Muestra el caso y el tiempo, el minimapa con la posición, la lista de hitos visitados, la ayuda de controles y el botón para capturar el hallazgo.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RF-03.1 a RF-03.6, RNF-01.</w:t>
      </w:r>
    </w:p>
    <w:p>
      <w:pPr>
        <w:pStyle w:val="Heading2"/>
      </w:pPr>
      <w:r>
        <w:t>4.10 W10 · Panel del caso: decisión inicial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11. Wireframe W10: Panel del caso: decisión inicial.</w:t>
      </w:r>
    </w:p>
    <w:p>
      <w:pPr>
        <w:spacing w:after="120"/>
        <w:jc w:val="both"/>
      </w:pPr>
      <w:r>
        <w:rPr>
          <w:b w:val="0"/>
          <w:i w:val="0"/>
        </w:rPr>
        <w:t>Historia clínica sintética, imagen endoscópica y formulario de diagnóstico con nivel de confianza. Recuerda que la recomendación de la IA aparece después.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RF-04, RF-05.</w:t>
      </w:r>
    </w:p>
    <w:p>
      <w:pPr>
        <w:pStyle w:val="Heading2"/>
      </w:pPr>
      <w:r>
        <w:t>4.11 W11 · Recomendación, tutor y decisión final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12. Wireframe W11: Recomendación, tutor y decisión final.</w:t>
      </w:r>
    </w:p>
    <w:p>
      <w:pPr>
        <w:spacing w:after="120"/>
        <w:jc w:val="both"/>
      </w:pPr>
      <w:r>
        <w:rPr>
          <w:b w:val="0"/>
          <w:i w:val="0"/>
        </w:rPr>
        <w:t>Muestra la clase sugerida por la IA, su confianza y la región de interés, con la opción de ver el mapa de calor. En el centro está el chat con el tutor y a la derecha la decisión final.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RF-06, RF-07, RF-08, RF-09.</w:t>
      </w:r>
    </w:p>
    <w:p>
      <w:pPr>
        <w:pStyle w:val="Heading2"/>
      </w:pPr>
      <w:r>
        <w:t>4.12 W12 · Recomendación con mapa de calor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13. Wireframe W12: Recomendación con mapa de calor.</w:t>
      </w:r>
    </w:p>
    <w:p>
      <w:pPr>
        <w:spacing w:after="120"/>
        <w:jc w:val="both"/>
      </w:pPr>
      <w:r>
        <w:rPr>
          <w:b w:val="0"/>
          <w:i w:val="0"/>
        </w:rPr>
        <w:t>Estado de W11 con el mapa de calor Grad-CAM activado sobre la imagen y un control para ajustar su transparencia.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RF-06.3.</w:t>
      </w:r>
    </w:p>
    <w:p>
      <w:pPr>
        <w:pStyle w:val="Heading2"/>
      </w:pPr>
      <w:r>
        <w:t>4.13 W13 · Tutor no disponible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14. Wireframe W13: Tutor no disponible.</w:t>
      </w:r>
    </w:p>
    <w:p>
      <w:pPr>
        <w:spacing w:after="120"/>
        <w:jc w:val="both"/>
      </w:pPr>
      <w:r>
        <w:rPr>
          <w:b w:val="0"/>
          <w:i w:val="0"/>
        </w:rPr>
        <w:t>Estado de W11 cuando el modelo de lenguaje no responde en 15 segundos: muestra un mensaje de respaldo, permite reintentar y deja continuar a la decisión final.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RF-07.3.</w:t>
      </w:r>
    </w:p>
    <w:p>
      <w:pPr>
        <w:pStyle w:val="Heading2"/>
      </w:pPr>
      <w:r>
        <w:t>4.14 W14 · Retroalimentación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15. Wireframe W14: Retroalimentación.</w:t>
      </w:r>
    </w:p>
    <w:p>
      <w:pPr>
        <w:spacing w:after="120"/>
        <w:jc w:val="both"/>
      </w:pPr>
      <w:r>
        <w:rPr>
          <w:b w:val="0"/>
          <w:i w:val="0"/>
        </w:rPr>
        <w:t>Compara la respuesta de referencia con las dos decisiones del estudiante y con la IA, indicando si estaba alterada. Resume el recorrido, los puntos y las insignias, y permite reportar el caso.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RF-10, RF-11, RF-14.7.</w:t>
      </w:r>
    </w:p>
    <w:p>
      <w:pPr>
        <w:pStyle w:val="Heading2"/>
      </w:pPr>
      <w:r>
        <w:t>4.15 W15 · Reportar caso incorrecto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16. Wireframe W15: Reportar caso incorrecto.</w:t>
      </w:r>
    </w:p>
    <w:p>
      <w:pPr>
        <w:spacing w:after="120"/>
        <w:jc w:val="both"/>
      </w:pPr>
      <w:r>
        <w:rPr>
          <w:b w:val="0"/>
          <w:i w:val="0"/>
        </w:rPr>
        <w:t>Ventana sobre la retroalimentación para escribir por qué el caso parece incorrecto. El caso queda marcado y el comentario aparece en la pestaña Reportados del docente (W18).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RF-14.7.</w:t>
      </w:r>
    </w:p>
    <w:p>
      <w:pPr>
        <w:pStyle w:val="Heading2"/>
      </w:pPr>
      <w:r>
        <w:t>4.16 W16 · Tablero de desempeño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17. Wireframe W16: Tablero de desempeño.</w:t>
      </w:r>
    </w:p>
    <w:p>
      <w:pPr>
        <w:spacing w:after="120"/>
        <w:jc w:val="both"/>
      </w:pPr>
      <w:r>
        <w:rPr>
          <w:b w:val="0"/>
          <w:i w:val="0"/>
        </w:rPr>
        <w:t>Indicadores de precisión, detección de errores de la IA, sobre-dependencia y calibración de la confianza, con su evolución semanal y la clasificación del grupo.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RF-13, RF-16.</w:t>
      </w:r>
    </w:p>
    <w:p>
      <w:pPr>
        <w:pStyle w:val="Heading2"/>
      </w:pPr>
      <w:r>
        <w:t>4.17 W17 · Menú de usuario y cierre de sesión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18. Wireframe W17: Menú de usuario y cierre de sesión.</w:t>
      </w:r>
    </w:p>
    <w:p>
      <w:pPr>
        <w:spacing w:after="120"/>
        <w:jc w:val="both"/>
      </w:pPr>
      <w:r>
        <w:rPr>
          <w:b w:val="0"/>
          <w:i w:val="0"/>
        </w:rPr>
        <w:t>Menú desplegable de la barra superior con el nombre, el correo, el rol y la opción Cerrar sesión. Después de cerrar sesión no se puede volver a las páginas privadas.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RF-01.2.</w:t>
      </w:r>
    </w:p>
    <w:p>
      <w:pPr>
        <w:pStyle w:val="Heading2"/>
      </w:pPr>
      <w:r>
        <w:t>4.18 W18 · Docente: revisión de casos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19. Wireframe W18: Docente: revisión de casos.</w:t>
      </w:r>
    </w:p>
    <w:p>
      <w:pPr>
        <w:spacing w:after="120"/>
        <w:jc w:val="both"/>
      </w:pPr>
      <w:r>
        <w:rPr>
          <w:b w:val="0"/>
          <w:i w:val="0"/>
        </w:rPr>
        <w:t>Lista de casos por estado y detalle del caso seleccionado: imagen, etiqueta, ubicación 3D, modelo, versión, semilla y resultado de la validación automática. Permite aprobar o descartar con motivo.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RF-14.5, RF-14.6, RF-14.7.</w:t>
      </w:r>
    </w:p>
    <w:p>
      <w:pPr>
        <w:pStyle w:val="Heading2"/>
      </w:pPr>
      <w:r>
        <w:t>4.19 W19 · Docente: configuración de errores y exportación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20. Wireframe W19: Docente: configuración de errores y exportación.</w:t>
      </w:r>
    </w:p>
    <w:p>
      <w:pPr>
        <w:spacing w:after="120"/>
        <w:jc w:val="both"/>
      </w:pPr>
      <w:r>
        <w:rPr>
          <w:b w:val="0"/>
          <w:i w:val="0"/>
        </w:rPr>
        <w:t>Configura el porcentaje de intentos con recomendación alterada (de 0 % a 50 %) y los tipos de alteración, y descarga en CSV los intentos seudonimizados, sin nombres ni correos.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RF-08.1, RF-08.2, RF-15.</w:t>
      </w:r>
    </w:p>
    <w:p>
      <w:pPr>
        <w:pStyle w:val="Heading2"/>
      </w:pPr>
      <w:r>
        <w:t>4.20 W20 · Administrador: usuarios y roles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21. Wireframe W20: Administrador: usuarios y roles.</w:t>
      </w:r>
    </w:p>
    <w:p>
      <w:pPr>
        <w:spacing w:after="120"/>
        <w:jc w:val="both"/>
      </w:pPr>
      <w:r>
        <w:rPr>
          <w:b w:val="0"/>
          <w:i w:val="0"/>
        </w:rPr>
        <w:t>Solo la ve el administrador. Lista las cuentas con su rol y el estado del 2FA; permite asignar o retirar el rol de docente, cambio que aplica en el siguiente inicio de sesión del usuario.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RF-01.3.</w:t>
      </w:r>
    </w:p>
    <w:p>
      <w:pPr>
        <w:pStyle w:val="Heading2"/>
      </w:pPr>
      <w:r>
        <w:t>4.21 W21 · Confirmar restablecimiento de 2FA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22. Wireframe W21: Confirmar restablecimiento de 2FA.</w:t>
      </w:r>
    </w:p>
    <w:p>
      <w:pPr>
        <w:spacing w:after="120"/>
        <w:jc w:val="both"/>
      </w:pPr>
      <w:r>
        <w:rPr>
          <w:b w:val="0"/>
          <w:i w:val="0"/>
        </w:rPr>
        <w:t>Ventana de confirmación antes de restablecer el 2FA de una cuenta. Explica que el usuario deberá activarlo de nuevo y que queda registro de quién lo hizo, cuándo y a qué cuenta.</w:t>
      </w:r>
    </w:p>
    <w:p>
      <w:pPr>
        <w:spacing w:after="120"/>
        <w:jc w:val="both"/>
      </w:pPr>
      <w:r>
        <w:rPr>
          <w:b/>
          <w:i w:val="0"/>
        </w:rPr>
        <w:t>Requisitos que cubre:</w:t>
      </w:r>
      <w:r>
        <w:rPr>
          <w:b w:val="0"/>
          <w:i w:val="0"/>
        </w:rPr>
        <w:t xml:space="preserve"> RF-01.7.</w:t>
      </w:r>
    </w:p>
    <w:p>
      <w:pPr>
        <w:pStyle w:val="Heading1"/>
      </w:pPr>
      <w:r>
        <w:t>5. Diseño de módulos</w:t>
      </w:r>
    </w:p>
    <w:p>
      <w:pPr>
        <w:spacing w:after="120"/>
        <w:jc w:val="both"/>
      </w:pPr>
      <w:r>
        <w:rPr>
          <w:b w:val="0"/>
          <w:i w:val="0"/>
        </w:rPr>
        <w:t>El sistema se divide en seis módulos que corresponden uno a uno con los paquetes de producto de la EDT. Cada módulo tiene un responsable, ofrece una interfaz a los demás y depende solo de lo que declara, lo que permite repartir el trabajo y probar cada parte por separado.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312182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2_modulo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23. Módulos del sistema y sus dependencias.</w:t>
      </w: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3. Especificación de módulos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587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Módulo</w:t>
            </w:r>
          </w:p>
        </w:tc>
        <w:tc>
          <w:tcPr>
            <w:tcW w:type="dxa" w:w="204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Responsabilidad</w:t>
            </w:r>
          </w:p>
        </w:tc>
        <w:tc>
          <w:tcPr>
            <w:tcW w:type="dxa" w:w="164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Ofrece</w:t>
            </w:r>
          </w:p>
        </w:tc>
        <w:tc>
          <w:tcPr>
            <w:tcW w:type="dxa" w:w="1587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Necesita</w:t>
            </w:r>
          </w:p>
        </w:tc>
        <w:tc>
          <w:tcPr>
            <w:tcW w:type="dxa" w:w="10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Pantallas</w:t>
            </w:r>
          </w:p>
        </w:tc>
        <w:tc>
          <w:tcPr>
            <w:tcW w:type="dxa" w:w="147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Responsable</w:t>
            </w:r>
          </w:p>
        </w:tc>
      </w:tr>
      <w:tr>
        <w:tc>
          <w:tcPr>
            <w:tcW w:type="dxa" w:w="1587"/>
          </w:tcPr>
          <w:p>
            <w:r>
              <w:rPr>
                <w:sz w:val="15"/>
              </w:rPr>
              <w:t>M1 Simulador 3D (4.1)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Escena, endoscopio, hitos, hallazgo, minimapa y captura</w:t>
            </w:r>
          </w:p>
        </w:tc>
        <w:tc>
          <w:tcPr>
            <w:tcW w:type="dxa" w:w="1644"/>
          </w:tcPr>
          <w:p>
            <w:r>
              <w:rPr>
                <w:sz w:val="15"/>
              </w:rPr>
              <w:t>Eventos de escena; captura válida</w:t>
            </w:r>
          </w:p>
        </w:tc>
        <w:tc>
          <w:tcPr>
            <w:tcW w:type="dxa" w:w="1587"/>
          </w:tcPr>
          <w:p>
            <w:r>
              <w:rPr>
                <w:sz w:val="15"/>
              </w:rPr>
              <w:t>Caso y ubicación 3D (M2)</w:t>
            </w:r>
          </w:p>
        </w:tc>
        <w:tc>
          <w:tcPr>
            <w:tcW w:type="dxa" w:w="1020"/>
          </w:tcPr>
          <w:p>
            <w:r>
              <w:rPr>
                <w:sz w:val="15"/>
              </w:rPr>
              <w:t>W09</w:t>
            </w:r>
          </w:p>
        </w:tc>
        <w:tc>
          <w:tcPr>
            <w:tcW w:type="dxa" w:w="1474"/>
          </w:tcPr>
          <w:p>
            <w:r>
              <w:rPr>
                <w:sz w:val="15"/>
              </w:rPr>
              <w:t>Cristian Cruz</w:t>
            </w:r>
          </w:p>
        </w:tc>
      </w:tr>
      <w:tr>
        <w:tc>
          <w:tcPr>
            <w:tcW w:type="dxa" w:w="1587"/>
          </w:tcPr>
          <w:p>
            <w:r>
              <w:rPr>
                <w:sz w:val="15"/>
              </w:rPr>
              <w:t>M2 Generador de casos (4.2)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Seleccionar imagen, redactar historia, ubicar, validar y guardar el caso</w:t>
            </w:r>
          </w:p>
        </w:tc>
        <w:tc>
          <w:tcPr>
            <w:tcW w:type="dxa" w:w="1644"/>
          </w:tcPr>
          <w:p>
            <w:r>
              <w:rPr>
                <w:sz w:val="15"/>
              </w:rPr>
              <w:t>POST /casos, historial, revisión docente</w:t>
            </w:r>
          </w:p>
        </w:tc>
        <w:tc>
          <w:tcPr>
            <w:tcW w:type="dxa" w:w="1587"/>
          </w:tcPr>
          <w:p>
            <w:r>
              <w:rPr>
                <w:sz w:val="15"/>
              </w:rPr>
              <w:t>Predicciones (M3), cliente LLM, cuentas (M6)</w:t>
            </w:r>
          </w:p>
        </w:tc>
        <w:tc>
          <w:tcPr>
            <w:tcW w:type="dxa" w:w="1020"/>
          </w:tcPr>
          <w:p>
            <w:r>
              <w:rPr>
                <w:sz w:val="15"/>
              </w:rPr>
              <w:t>W06 a W08, W10, W15, W18</w:t>
            </w:r>
          </w:p>
        </w:tc>
        <w:tc>
          <w:tcPr>
            <w:tcW w:type="dxa" w:w="1474"/>
          </w:tcPr>
          <w:p>
            <w:r>
              <w:rPr>
                <w:sz w:val="15"/>
              </w:rPr>
              <w:t>Emmanuel Ospina</w:t>
            </w:r>
          </w:p>
        </w:tc>
      </w:tr>
      <w:tr>
        <w:tc>
          <w:tcPr>
            <w:tcW w:type="dxa" w:w="1587"/>
          </w:tcPr>
          <w:p>
            <w:r>
              <w:rPr>
                <w:sz w:val="15"/>
              </w:rPr>
              <w:t>M3 IA de visión (4.3)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Entrenar el modelo y precalcular predicciones, ROI y Grad-CAM</w:t>
            </w:r>
          </w:p>
        </w:tc>
        <w:tc>
          <w:tcPr>
            <w:tcW w:type="dxa" w:w="1644"/>
          </w:tcPr>
          <w:p>
            <w:r>
              <w:rPr>
                <w:sz w:val="15"/>
              </w:rPr>
              <w:t>Tabla prediccion</w:t>
            </w:r>
          </w:p>
        </w:tc>
        <w:tc>
          <w:tcPr>
            <w:tcW w:type="dxa" w:w="1587"/>
          </w:tcPr>
          <w:p>
            <w:r>
              <w:rPr>
                <w:sz w:val="15"/>
              </w:rPr>
              <w:t>Dataset HyperKvasir</w:t>
            </w:r>
          </w:p>
        </w:tc>
        <w:tc>
          <w:tcPr>
            <w:tcW w:type="dxa" w:w="1020"/>
          </w:tcPr>
          <w:p>
            <w:r>
              <w:rPr>
                <w:sz w:val="15"/>
              </w:rPr>
              <w:t>W11, W12 (datos)</w:t>
            </w:r>
          </w:p>
        </w:tc>
        <w:tc>
          <w:tcPr>
            <w:tcW w:type="dxa" w:w="1474"/>
          </w:tcPr>
          <w:p>
            <w:r>
              <w:rPr>
                <w:sz w:val="15"/>
              </w:rPr>
              <w:t>Emmanuel Ospina</w:t>
            </w:r>
          </w:p>
        </w:tc>
      </w:tr>
      <w:tr>
        <w:tc>
          <w:tcPr>
            <w:tcW w:type="dxa" w:w="1587"/>
          </w:tcPr>
          <w:p>
            <w:r>
              <w:rPr>
                <w:sz w:val="15"/>
              </w:rPr>
              <w:t>M4 Tutor e inyección de errores (4.4)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Conversación con el tutor; alterar recomendaciones según la configuración</w:t>
            </w:r>
          </w:p>
        </w:tc>
        <w:tc>
          <w:tcPr>
            <w:tcW w:type="dxa" w:w="1644"/>
          </w:tcPr>
          <w:p>
            <w:r>
              <w:rPr>
                <w:sz w:val="15"/>
              </w:rPr>
              <w:t>Recomendación mostrada; respuestas del tutor</w:t>
            </w:r>
          </w:p>
        </w:tc>
        <w:tc>
          <w:tcPr>
            <w:tcW w:type="dxa" w:w="1587"/>
          </w:tcPr>
          <w:p>
            <w:r>
              <w:rPr>
                <w:sz w:val="15"/>
              </w:rPr>
              <w:t>Historia (M2), predicción (M3)</w:t>
            </w:r>
          </w:p>
        </w:tc>
        <w:tc>
          <w:tcPr>
            <w:tcW w:type="dxa" w:w="1020"/>
          </w:tcPr>
          <w:p>
            <w:r>
              <w:rPr>
                <w:sz w:val="15"/>
              </w:rPr>
              <w:t>W11, W13, W19</w:t>
            </w:r>
          </w:p>
        </w:tc>
        <w:tc>
          <w:tcPr>
            <w:tcW w:type="dxa" w:w="1474"/>
          </w:tcPr>
          <w:p>
            <w:r>
              <w:rPr>
                <w:sz w:val="15"/>
              </w:rPr>
              <w:t>Diego Agudelo</w:t>
            </w:r>
          </w:p>
        </w:tc>
      </w:tr>
      <w:tr>
        <w:tc>
          <w:tcPr>
            <w:tcW w:type="dxa" w:w="1587"/>
          </w:tcPr>
          <w:p>
            <w:r>
              <w:rPr>
                <w:sz w:val="15"/>
              </w:rPr>
              <w:t>M5 Evaluación y registro (4.5)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Decisiones, puntaje, insignias, telemetría, tablero y exportación</w:t>
            </w:r>
          </w:p>
        </w:tc>
        <w:tc>
          <w:tcPr>
            <w:tcW w:type="dxa" w:w="1644"/>
          </w:tcPr>
          <w:p>
            <w:r>
              <w:rPr>
                <w:sz w:val="15"/>
              </w:rPr>
              <w:t>Retroalimentación, tablero, CSV</w:t>
            </w:r>
          </w:p>
        </w:tc>
        <w:tc>
          <w:tcPr>
            <w:tcW w:type="dxa" w:w="1587"/>
          </w:tcPr>
          <w:p>
            <w:r>
              <w:rPr>
                <w:sz w:val="15"/>
              </w:rPr>
              <w:t>Eventos (M1), recomendación (M4)</w:t>
            </w:r>
          </w:p>
        </w:tc>
        <w:tc>
          <w:tcPr>
            <w:tcW w:type="dxa" w:w="1020"/>
          </w:tcPr>
          <w:p>
            <w:r>
              <w:rPr>
                <w:sz w:val="15"/>
              </w:rPr>
              <w:t>W10, W11, W14, W16, W19</w:t>
            </w:r>
          </w:p>
        </w:tc>
        <w:tc>
          <w:tcPr>
            <w:tcW w:type="dxa" w:w="1474"/>
          </w:tcPr>
          <w:p>
            <w:r>
              <w:rPr>
                <w:sz w:val="15"/>
              </w:rPr>
              <w:t>Jahan Michelle Chará</w:t>
            </w:r>
          </w:p>
        </w:tc>
      </w:tr>
      <w:tr>
        <w:tc>
          <w:tcPr>
            <w:tcW w:type="dxa" w:w="1587"/>
          </w:tcPr>
          <w:p>
            <w:r>
              <w:rPr>
                <w:sz w:val="15"/>
              </w:rPr>
              <w:t>M6 Plataforma e integración (4.6)</w:t>
            </w:r>
          </w:p>
        </w:tc>
        <w:tc>
          <w:tcPr>
            <w:tcW w:type="dxa" w:w="2041"/>
          </w:tcPr>
          <w:p>
            <w:r>
              <w:rPr>
                <w:sz w:val="15"/>
              </w:rPr>
              <w:t>Registro, sesión, 2FA, roles, aviso, despliegue</w:t>
            </w:r>
          </w:p>
        </w:tc>
        <w:tc>
          <w:tcPr>
            <w:tcW w:type="dxa" w:w="1644"/>
          </w:tcPr>
          <w:p>
            <w:r>
              <w:rPr>
                <w:sz w:val="15"/>
              </w:rPr>
              <w:t>Usuario autenticado (aal2) y su rol</w:t>
            </w:r>
          </w:p>
        </w:tc>
        <w:tc>
          <w:tcPr>
            <w:tcW w:type="dxa" w:w="1587"/>
          </w:tcPr>
          <w:p>
            <w:r>
              <w:rPr>
                <w:sz w:val="15"/>
              </w:rPr>
              <w:t>Supabase Auth, Docker</w:t>
            </w:r>
          </w:p>
        </w:tc>
        <w:tc>
          <w:tcPr>
            <w:tcW w:type="dxa" w:w="1020"/>
          </w:tcPr>
          <w:p>
            <w:r>
              <w:rPr>
                <w:sz w:val="15"/>
              </w:rPr>
              <w:t>W01 a W05, W17, W20, W21</w:t>
            </w:r>
          </w:p>
        </w:tc>
        <w:tc>
          <w:tcPr>
            <w:tcW w:type="dxa" w:w="1474"/>
          </w:tcPr>
          <w:p>
            <w:r>
              <w:rPr>
                <w:sz w:val="15"/>
              </w:rPr>
              <w:t>Diego Agudelo y Nestor Velasco</w:t>
            </w:r>
          </w:p>
        </w:tc>
      </w:tr>
    </w:tbl>
    <w:p>
      <w:pPr>
        <w:spacing w:after="0"/>
      </w:pPr>
    </w:p>
    <w:p>
      <w:pPr>
        <w:pStyle w:val="Heading2"/>
      </w:pPr>
      <w:r>
        <w:t>5.1 Criterios de diseño modular</w:t>
      </w:r>
    </w:p>
    <w:p>
      <w:pPr>
        <w:pStyle w:val="ListBullet"/>
        <w:spacing w:after="40"/>
        <w:jc w:val="left"/>
      </w:pPr>
      <w:r>
        <w:rPr>
          <w:b/>
          <w:i w:val="0"/>
        </w:rPr>
        <w:t>Alta cohesión:</w:t>
      </w:r>
      <w:r>
        <w:rPr>
          <w:b w:val="0"/>
          <w:i w:val="0"/>
        </w:rPr>
        <w:t xml:space="preserve"> cada módulo agrupa funciones de un mismo paquete de la EDT y un mismo propósito.</w:t>
      </w:r>
    </w:p>
    <w:p>
      <w:pPr>
        <w:pStyle w:val="ListBullet"/>
        <w:spacing w:after="40"/>
        <w:jc w:val="left"/>
      </w:pPr>
      <w:r>
        <w:rPr>
          <w:b/>
          <w:i w:val="0"/>
        </w:rPr>
        <w:t>Bajo acoplamiento:</w:t>
      </w:r>
      <w:r>
        <w:rPr>
          <w:b w:val="0"/>
          <w:i w:val="0"/>
        </w:rPr>
        <w:t xml:space="preserve"> los módulos se comunican por las interfaces de la tabla anterior (rutas de la API, eventos o tablas); ninguno modifica los datos de otro.</w:t>
      </w:r>
    </w:p>
    <w:p>
      <w:pPr>
        <w:pStyle w:val="ListBullet"/>
        <w:spacing w:after="40"/>
        <w:jc w:val="left"/>
      </w:pPr>
      <w:r>
        <w:rPr>
          <w:b/>
          <w:i w:val="0"/>
        </w:rPr>
        <w:t>Ocultamiento de información:</w:t>
      </w:r>
      <w:r>
        <w:rPr>
          <w:b w:val="0"/>
          <w:i w:val="0"/>
        </w:rPr>
        <w:t xml:space="preserve"> la respuesta de referencia vive solo en M2 y M5 del lado del servidor; M1 y la interfaz nunca la reciben antes de la decisión final.</w:t>
      </w:r>
    </w:p>
    <w:p>
      <w:pPr>
        <w:pStyle w:val="ListBullet"/>
        <w:spacing w:after="40"/>
        <w:jc w:val="left"/>
      </w:pPr>
      <w:r>
        <w:rPr>
          <w:b/>
          <w:i w:val="0"/>
        </w:rPr>
        <w:t>Independencia para probar:</w:t>
      </w:r>
      <w:r>
        <w:rPr>
          <w:b w:val="0"/>
          <w:i w:val="0"/>
        </w:rPr>
        <w:t xml:space="preserve"> M1 se prueba con un caso de ejemplo y M4 con un cliente de IA simulado, sin depender de servicios externos.</w:t>
      </w:r>
    </w:p>
    <w:p>
      <w:pPr>
        <w:pStyle w:val="Heading1"/>
      </w:pPr>
      <w:r>
        <w:t>6. Herramienta de diseño: acceso al prototipo</w:t>
      </w:r>
    </w:p>
    <w:p>
      <w:pPr>
        <w:spacing w:after="120"/>
        <w:jc w:val="both"/>
      </w:pPr>
      <w:r>
        <w:rPr>
          <w:b w:val="0"/>
          <w:i w:val="0"/>
        </w:rPr>
        <w:t xml:space="preserve">Los wireframes se publicaron en </w:t>
      </w:r>
      <w:r>
        <w:rPr>
          <w:b/>
          <w:i w:val="0"/>
        </w:rPr>
        <w:t>Figma</w:t>
      </w:r>
      <w:r>
        <w:rPr>
          <w:b w:val="0"/>
          <w:i w:val="0"/>
        </w:rPr>
        <w:t>, herramienta colaborativa recomendada en el curso. Cada una de las 21 pantallas es un marco (frame) de 1440 × 900 px con capas editables, y las pantallas están enlazadas en modo prototipo siguiendo el mapa de navegación de la figura 1.</w:t>
      </w: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4. Datos de acceso a la herramienta de diseño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51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6803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Herramienta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Figma (plan gratuito para educación)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Nombre del archivo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GASTRO-SIM · Wireframes v1.0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Enlace de visualización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[pegar aquí el enlace «Cualquiera con el enlace puede ver»]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Enlace del prototipo navegable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[pegar aquí el enlace de Presentar → Compartir prototipo]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Credenciales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Acceso de solo lectura por enlace, sin necesidad de usuario ni contraseña. Si el docente requiere edición, se le invita con su correo institucional.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Fuentes del diseño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Archivos SVG editables en docs/04-diseno/wireframes del repositorio gastro-sim</w:t>
            </w:r>
          </w:p>
        </w:tc>
      </w:tr>
    </w:tbl>
    <w:p>
      <w:pPr>
        <w:spacing w:after="0"/>
      </w:pPr>
    </w:p>
    <w:p>
      <w:pPr>
        <w:pStyle w:val="Heading1"/>
      </w:pPr>
      <w:r>
        <w:t>Referencias</w:t>
      </w:r>
    </w:p>
    <w:p>
      <w:pPr>
        <w:spacing w:after="80"/>
        <w:ind w:left="567" w:hanging="567"/>
        <w:jc w:val="left"/>
      </w:pPr>
      <w:r>
        <w:rPr>
          <w:b w:val="0"/>
          <w:i w:val="0"/>
          <w:sz w:val="20"/>
        </w:rPr>
        <w:t>Nielsen, J. (2024). 10 Usability Heuristics for User Interface Design. Nielsen Norman Group. https://www.nngroup.com/articles/ten-usability-heuristics/</w:t>
      </w:r>
    </w:p>
    <w:p>
      <w:pPr>
        <w:spacing w:after="80"/>
        <w:ind w:left="567" w:hanging="567"/>
        <w:jc w:val="left"/>
      </w:pPr>
      <w:r>
        <w:rPr>
          <w:b w:val="0"/>
          <w:i w:val="0"/>
          <w:sz w:val="20"/>
        </w:rPr>
        <w:t>W3C (2018). Web Content Accessibility Guidelines (WCAG) 2.1. https://www.w3.org/TR/WCAG21/</w:t>
      </w:r>
    </w:p>
    <w:p>
      <w:pPr>
        <w:spacing w:after="80"/>
        <w:ind w:left="567" w:hanging="567"/>
        <w:jc w:val="left"/>
      </w:pPr>
      <w:r>
        <w:rPr>
          <w:b w:val="0"/>
          <w:i w:val="0"/>
          <w:sz w:val="20"/>
        </w:rPr>
        <w:t>Pressman, R. S. (2010). Ingeniería del software: un enfoque práctico (7.ª ed.). McGraw-Hill. Capítulo 11: diseño de la interfaz de usuario.</w:t>
      </w:r>
    </w:p>
    <w:p>
      <w:pPr>
        <w:spacing w:after="80"/>
        <w:ind w:left="567" w:hanging="567"/>
        <w:jc w:val="left"/>
      </w:pPr>
      <w:r>
        <w:rPr>
          <w:b w:val="0"/>
          <w:i w:val="0"/>
          <w:sz w:val="20"/>
        </w:rPr>
        <w:t>Figma (2026). Figma Help Center: Share files and prototypes. https://help.figma.com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Equipo ITEVOLUTION · Diseño del SW: Interfaz y Módulos v1.0 · Página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2" w:space="1" w:color="1F3A5F"/>
      </w:pBdr>
    </w:pPr>
    <w:r>
      <w:rPr>
        <w:b/>
        <w:sz w:val="18"/>
      </w:rPr>
      <w:t>GASTRO-SIM · Diseño del SW: Interfaz y Módulos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Arial" w:cs="Arial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Arial" w:cs="Arial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Arial" w:cs="Arial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